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9A36B6C">
      <w:pPr>
        <w:pStyle w:val="56"/>
        <w:rPr>
          <w:rFonts w:hint="eastAsia" w:eastAsia="宋体"/>
          <w:color w:val="000000" w:themeColor="text1"/>
          <w:sz w:val="52"/>
          <w:szCs w:val="44"/>
          <w:lang w:eastAsia="zh-CN"/>
          <w14:textFill>
            <w14:solidFill>
              <w14:schemeClr w14:val="tx1"/>
            </w14:solidFill>
          </w14:textFill>
        </w:rPr>
      </w:pPr>
      <w:r>
        <w:rPr>
          <w:rFonts w:hint="eastAsia" w:eastAsia="宋体"/>
          <w:color w:val="000000" w:themeColor="text1"/>
          <w:sz w:val="52"/>
          <w:szCs w:val="44"/>
          <w:lang w:eastAsia="zh-CN"/>
          <w14:textFill>
            <w14:solidFill>
              <w14:schemeClr w14:val="tx1"/>
            </w14:solidFill>
          </w14:textFill>
        </w:rPr>
        <w:drawing>
          <wp:inline distT="0" distB="0" distL="114300" distR="114300">
            <wp:extent cx="5608955" cy="7924800"/>
            <wp:effectExtent l="0" t="0" r="10795" b="0"/>
            <wp:docPr id="41" name="图片 41"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 首页"/>
                    <pic:cNvPicPr>
                      <a:picLocks noChangeAspect="1"/>
                    </pic:cNvPicPr>
                  </pic:nvPicPr>
                  <pic:blipFill>
                    <a:blip r:embed="rId19"/>
                    <a:stretch>
                      <a:fillRect/>
                    </a:stretch>
                  </pic:blipFill>
                  <pic:spPr>
                    <a:xfrm>
                      <a:off x="0" y="0"/>
                      <a:ext cx="5608955" cy="7924800"/>
                    </a:xfrm>
                    <a:prstGeom prst="rect">
                      <a:avLst/>
                    </a:prstGeom>
                  </pic:spPr>
                </pic:pic>
              </a:graphicData>
            </a:graphic>
          </wp:inline>
        </w:drawing>
      </w:r>
    </w:p>
    <w:p w14:paraId="7B3A19FA">
      <w:pPr>
        <w:tabs>
          <w:tab w:val="right" w:leader="dot" w:pos="8844"/>
        </w:tabs>
        <w:adjustRightInd w:val="0"/>
        <w:snapToGrid w:val="0"/>
        <w:spacing w:before="0" w:beforeLines="0" w:after="0" w:afterLines="0" w:line="240" w:lineRule="auto"/>
        <w:ind w:left="0" w:leftChars="0" w:right="0" w:rightChars="0" w:firstLine="0" w:firstLineChars="0"/>
        <w:jc w:val="center"/>
        <w:rPr>
          <w:rFonts w:ascii="宋体" w:hAnsi="宋体" w:eastAsia="宋体"/>
          <w:b/>
          <w:bCs/>
          <w:color w:val="000000" w:themeColor="text1"/>
          <w:sz w:val="28"/>
          <w:szCs w:val="28"/>
          <w:highlight w:val="none"/>
          <w14:textFill>
            <w14:solidFill>
              <w14:schemeClr w14:val="tx1"/>
            </w14:solidFill>
          </w14:textFill>
        </w:rPr>
      </w:pPr>
    </w:p>
    <w:p w14:paraId="15A57C71">
      <w:pPr>
        <w:tabs>
          <w:tab w:val="right" w:leader="dot" w:pos="8844"/>
        </w:tabs>
        <w:adjustRightInd w:val="0"/>
        <w:snapToGrid w:val="0"/>
        <w:spacing w:before="0" w:beforeLines="0" w:after="0" w:afterLines="0" w:line="240" w:lineRule="auto"/>
        <w:ind w:left="0" w:leftChars="0" w:right="0" w:rightChars="0" w:firstLine="0" w:firstLineChars="0"/>
        <w:jc w:val="center"/>
        <w:rPr>
          <w:rFonts w:ascii="宋体" w:hAnsi="宋体" w:eastAsia="宋体"/>
          <w:b/>
          <w:bCs/>
          <w:color w:val="000000" w:themeColor="text1"/>
          <w:sz w:val="28"/>
          <w:szCs w:val="28"/>
          <w:highlight w:val="none"/>
          <w14:textFill>
            <w14:solidFill>
              <w14:schemeClr w14:val="tx1"/>
            </w14:solidFill>
          </w14:textFill>
        </w:rPr>
      </w:pPr>
    </w:p>
    <w:p w14:paraId="73BA90D6">
      <w:pPr>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宋体" w:hAnsi="宋体" w:eastAsia="宋体"/>
          <w:b/>
          <w:bCs/>
          <w:color w:val="000000" w:themeColor="text1"/>
          <w:sz w:val="28"/>
          <w:szCs w:val="28"/>
          <w:highlight w:val="none"/>
          <w14:textFill>
            <w14:solidFill>
              <w14:schemeClr w14:val="tx1"/>
            </w14:solidFill>
          </w14:textFill>
        </w:rPr>
        <w:t>目</w:t>
      </w:r>
      <w:r>
        <w:rPr>
          <w:rFonts w:hint="eastAsia" w:ascii="宋体" w:hAnsi="宋体" w:eastAsia="宋体"/>
          <w:b/>
          <w:bCs/>
          <w:color w:val="000000" w:themeColor="text1"/>
          <w:sz w:val="28"/>
          <w:szCs w:val="28"/>
          <w:highlight w:val="none"/>
          <w:lang w:val="en-US" w:eastAsia="zh-CN"/>
          <w14:textFill>
            <w14:solidFill>
              <w14:schemeClr w14:val="tx1"/>
            </w14:solidFill>
          </w14:textFill>
        </w:rPr>
        <w:t xml:space="preserve"> </w:t>
      </w:r>
      <w:r>
        <w:rPr>
          <w:rFonts w:ascii="宋体" w:hAnsi="宋体" w:eastAsia="宋体"/>
          <w:b/>
          <w:bCs/>
          <w:color w:val="000000" w:themeColor="text1"/>
          <w:sz w:val="28"/>
          <w:szCs w:val="28"/>
          <w:highlight w:val="none"/>
          <w14:textFill>
            <w14:solidFill>
              <w14:schemeClr w14:val="tx1"/>
            </w14:solidFill>
          </w14:textFill>
        </w:rPr>
        <w:t>录</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TOC \o "1-1" \h \u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p>
    <w:p w14:paraId="7F82E99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_Toc17943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_Toc17943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8BBD05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_Toc14981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二、建设项目工程分析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_Toc14981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A44DEE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_Toc13496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三、区域环境质量现状、环境保护目标及评价标准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13C9D9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_Toc31582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四、主要环境影响和保护措施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_Toc31582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24B6C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_Toc5281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五、环境保护措施监督检查清单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_Toc5281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58712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_Toc6762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六、结论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_Toc6762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39B3B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_Toc2248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cs="Times New Roman"/>
          <w:snapToGrid w:val="0"/>
          <w:color w:val="000000" w:themeColor="text1"/>
          <w:kern w:val="0"/>
          <w:szCs w:val="32"/>
          <w:highlight w:val="none"/>
          <w:lang w:val="en-US" w:eastAsia="zh-CN" w:bidi="ar-SA"/>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803F27E">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_Toc8498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4"/>
          <w:highlight w:val="none"/>
          <w:lang w:val="en-US" w:eastAsia="zh-CN" w:bidi="ar-SA"/>
          <w14:textFill>
            <w14:solidFill>
              <w14:schemeClr w14:val="tx1"/>
            </w14:solidFill>
          </w14:textFill>
        </w:rPr>
        <w:t>附图1 项目地理位置图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8F9512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_Toc17747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0"/>
          <w:highlight w:val="none"/>
          <w:lang w:val="en-US" w:eastAsia="zh-CN" w:bidi="ar-SA"/>
          <w14:textFill>
            <w14:solidFill>
              <w14:schemeClr w14:val="tx1"/>
            </w14:solidFill>
          </w14:textFill>
        </w:rPr>
        <w:t>附图2 项目卫星四至及实景图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_Toc17747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AB4962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_Toc2303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1"/>
          <w:highlight w:val="none"/>
          <w14:textFill>
            <w14:solidFill>
              <w14:schemeClr w14:val="tx1"/>
            </w14:solidFill>
          </w14:textFill>
        </w:rPr>
        <w:t>附图</w:t>
      </w:r>
      <w:r>
        <w:rPr>
          <w:rFonts w:hint="eastAsia" w:ascii="Times New Roman" w:eastAsia="宋体"/>
          <w:bCs/>
          <w:color w:val="000000" w:themeColor="text1"/>
          <w:szCs w:val="21"/>
          <w:highlight w:val="none"/>
          <w:lang w:val="en-US" w:eastAsia="zh-CN"/>
          <w14:textFill>
            <w14:solidFill>
              <w14:schemeClr w14:val="tx1"/>
            </w14:solidFill>
          </w14:textFill>
        </w:rPr>
        <w:t>3</w:t>
      </w:r>
      <w:r>
        <w:rPr>
          <w:bCs/>
          <w:color w:val="000000" w:themeColor="text1"/>
          <w:szCs w:val="21"/>
          <w:highlight w:val="none"/>
          <w14:textFill>
            <w14:solidFill>
              <w14:schemeClr w14:val="tx1"/>
            </w14:solidFill>
          </w14:textFill>
        </w:rPr>
        <w:t xml:space="preserve"> </w:t>
      </w:r>
      <w:r>
        <w:rPr>
          <w:rFonts w:hint="eastAsia" w:ascii="Times New Roman" w:eastAsia="宋体"/>
          <w:bCs/>
          <w:color w:val="000000" w:themeColor="text1"/>
          <w:szCs w:val="21"/>
          <w:highlight w:val="none"/>
          <w:lang w:val="en-US" w:eastAsia="zh-CN"/>
          <w14:textFill>
            <w14:solidFill>
              <w14:schemeClr w14:val="tx1"/>
            </w14:solidFill>
          </w14:textFill>
        </w:rPr>
        <w:t>项目</w:t>
      </w:r>
      <w:r>
        <w:rPr>
          <w:bCs/>
          <w:color w:val="000000" w:themeColor="text1"/>
          <w:szCs w:val="21"/>
          <w:highlight w:val="none"/>
          <w14:textFill>
            <w14:solidFill>
              <w14:schemeClr w14:val="tx1"/>
            </w14:solidFill>
          </w14:textFill>
        </w:rPr>
        <w:t>周边现状</w:t>
      </w:r>
      <w:r>
        <w:rPr>
          <w:rFonts w:hint="eastAsia"/>
          <w:bCs/>
          <w:color w:val="000000" w:themeColor="text1"/>
          <w:szCs w:val="2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0603AC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4</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 xml:space="preserve"> 项目</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总</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0661F7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_Toc29800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5-1</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5#厂房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_Toc29800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D460E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_Toc3620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5-2</w:t>
      </w:r>
      <w:r>
        <w:rPr>
          <w:rFonts w:hint="default" w:ascii="Times New Roman" w:hAnsi="Times New Roman" w:eastAsia="宋体" w:cs="Times New Roman"/>
          <w:bCs/>
          <w:color w:val="000000" w:themeColor="text1"/>
          <w:highlight w:val="none"/>
          <w14:textFill>
            <w14:solidFill>
              <w14:schemeClr w14:val="tx1"/>
            </w14:solidFill>
          </w14:textFill>
        </w:rPr>
        <w:t xml:space="preserve"> 项目</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4#厂房</w:t>
      </w:r>
      <w:r>
        <w:rPr>
          <w:rFonts w:hint="default" w:ascii="Times New Roman" w:hAnsi="Times New Roman" w:eastAsia="宋体" w:cs="Times New Roman"/>
          <w:bCs/>
          <w:color w:val="000000" w:themeColor="text1"/>
          <w:highlight w:val="none"/>
          <w14:textFill>
            <w14:solidFill>
              <w14:schemeClr w14:val="tx1"/>
            </w14:solidFill>
          </w14:textFill>
        </w:rPr>
        <w:t>平面</w:t>
      </w:r>
      <w:r>
        <w:rPr>
          <w:rFonts w:hint="default" w:ascii="Times New Roman" w:hAnsi="Times New Roman" w:cs="Times New Roman"/>
          <w:bCs/>
          <w:color w:val="000000" w:themeColor="text1"/>
          <w:highlight w:val="none"/>
          <w14:textFill>
            <w14:solidFill>
              <w14:schemeClr w14:val="tx1"/>
            </w14:solidFill>
          </w14:textFill>
        </w:rPr>
        <w:t>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_Toc3620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CA12F7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_Toc4729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5-3</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3#厂房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7607E54">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_Toc15186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5-4</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2#厂房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_Toc15186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591D33B">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_Toc24556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5-5</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1#厂房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_Toc24556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0757C2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6</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项目所在区域大气</w:t>
      </w:r>
      <w:r>
        <w:rPr>
          <w:rFonts w:hint="eastAsia" w:ascii="Times New Roman" w:hAnsi="Times New Roman" w:cs="Times New Roman"/>
          <w:bCs/>
          <w:color w:val="000000" w:themeColor="text1"/>
          <w:highlight w:val="none"/>
          <w:lang w:val="en-US" w:eastAsia="zh-CN"/>
          <w14:textFill>
            <w14:solidFill>
              <w14:schemeClr w14:val="tx1"/>
            </w14:solidFill>
          </w14:textFill>
        </w:rPr>
        <w:t>环境</w:t>
      </w:r>
      <w:r>
        <w:rPr>
          <w:rFonts w:hint="default" w:ascii="Times New Roman" w:hAnsi="Times New Roman" w:cs="Times New Roman"/>
          <w:bCs/>
          <w:color w:val="000000" w:themeColor="text1"/>
          <w:highlight w:val="none"/>
          <w14:textFill>
            <w14:solidFill>
              <w14:schemeClr w14:val="tx1"/>
            </w14:solidFill>
          </w14:textFill>
        </w:rPr>
        <w:t>功能区划图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F65021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7</w:t>
      </w:r>
      <w:r>
        <w:rPr>
          <w:rFonts w:hint="default" w:ascii="Times New Roman" w:hAnsi="Times New Roman" w:cs="Times New Roman"/>
          <w:bCs/>
          <w:color w:val="000000" w:themeColor="text1"/>
          <w:highlight w:val="none"/>
          <w14:textFill>
            <w14:solidFill>
              <w14:schemeClr w14:val="tx1"/>
            </w14:solidFill>
          </w14:textFill>
        </w:rPr>
        <w:t xml:space="preserve"> 环境空气质量现状</w:t>
      </w:r>
      <w:r>
        <w:rPr>
          <w:rFonts w:hint="eastAsia" w:ascii="Times New Roman" w:hAnsi="Times New Roman" w:cs="Times New Roman"/>
          <w:bCs/>
          <w:color w:val="000000" w:themeColor="text1"/>
          <w:highlight w:val="none"/>
          <w:lang w:val="en-US" w:eastAsia="zh-CN"/>
          <w14:textFill>
            <w14:solidFill>
              <w14:schemeClr w14:val="tx1"/>
            </w14:solidFill>
          </w14:textFill>
        </w:rPr>
        <w:t>引用</w:t>
      </w:r>
      <w:r>
        <w:rPr>
          <w:rFonts w:hint="default" w:ascii="Times New Roman" w:hAnsi="Times New Roman" w:cs="Times New Roman"/>
          <w:bCs/>
          <w:color w:val="000000" w:themeColor="text1"/>
          <w:highlight w:val="none"/>
          <w14:textFill>
            <w14:solidFill>
              <w14:schemeClr w14:val="tx1"/>
            </w14:solidFill>
          </w14:textFill>
        </w:rPr>
        <w:t>监测布点示意图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246C8C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_Toc14457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8</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项目周边水系</w:t>
      </w:r>
      <w:r>
        <w:rPr>
          <w:rFonts w:hint="default" w:ascii="Times New Roman" w:hAnsi="Times New Roman"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_Toc14457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D1EEF9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9</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项目所在区域声环境</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功能区</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区</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C07418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附图10 韶关乐昌经济开发区周边主要饮用水源保护区分布图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3D1F9A8">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_Toc23610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11</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项目周边</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环境</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保护目标分布</w:t>
      </w:r>
      <w:r>
        <w:rPr>
          <w:rFonts w:hint="default" w:ascii="Times New Roman" w:hAnsi="Times New Roman" w:eastAsia="宋体" w:cs="Times New Roman"/>
          <w:bCs/>
          <w:color w:val="000000" w:themeColor="text1"/>
          <w:highlight w:val="none"/>
          <w14:textFill>
            <w14:solidFill>
              <w14:schemeClr w14:val="tx1"/>
            </w14:solidFill>
          </w14:textFill>
        </w:rPr>
        <w:t>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_Toc23610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31127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_Toc24107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bCs/>
          <w:color w:val="000000" w:themeColor="text1"/>
          <w:highlight w:val="none"/>
          <w14:textFill>
            <w14:solidFill>
              <w14:schemeClr w14:val="tx1"/>
            </w14:solidFill>
          </w14:textFill>
        </w:rPr>
        <w:t xml:space="preserve"> </w:t>
      </w:r>
      <w:r>
        <w:rPr>
          <w:rFonts w:hint="eastAsia" w:ascii="Times New Roman" w:hAnsi="Times New Roman" w:cs="Times New Roman"/>
          <w:bCs/>
          <w:color w:val="000000" w:themeColor="text1"/>
          <w:highlight w:val="none"/>
          <w:lang w:val="en-US" w:eastAsia="zh-CN"/>
          <w14:textFill>
            <w14:solidFill>
              <w14:schemeClr w14:val="tx1"/>
            </w14:solidFill>
          </w14:textFill>
        </w:rPr>
        <w:t>韶关乐</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昌经济开发区</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城东片区控制性详细规划</w:t>
      </w:r>
      <w:r>
        <w:rPr>
          <w:rFonts w:hint="eastAsia" w:ascii="Times New Roman" w:hAnsi="Times New Roman" w:eastAsia="宋体"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_Toc24107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447452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_Toc11664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附图13 项目与广东省“三区三线”的位置关系</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_Toc11664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D18C77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_Toc25512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附图14-3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管控</w:t>
      </w:r>
      <w:r>
        <w:rPr>
          <w:rFonts w:hint="eastAsia" w:eastAsia="宋体....." w:cs="Times New Roman"/>
          <w:bCs/>
          <w:color w:val="000000" w:themeColor="text1"/>
          <w:kern w:val="2"/>
          <w:szCs w:val="24"/>
          <w:highlight w:val="none"/>
          <w:lang w:val="en-US" w:eastAsia="zh-CN" w:bidi="ar-SA"/>
          <w14:textFill>
            <w14:solidFill>
              <w14:schemeClr w14:val="tx1"/>
            </w14:solidFill>
          </w14:textFill>
        </w:rPr>
        <w:t>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水环境管控分区截图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_Toc25512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B0306F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_Toc10425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附图14-4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大气环境管控分区截图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_Toc10425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38FFB4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附图14-5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高污染燃料禁燃区截图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AE437A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_Toc31205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5</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韶关乐</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昌经济开发区</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管网分布图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_Toc31205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C85FB9A">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_Toc14143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附图16  项目所在区域</w:t>
      </w:r>
      <w:r>
        <w:rPr>
          <w:rFonts w:hint="default" w:ascii="Times New Roman" w:hAnsi="Times New Roman" w:eastAsia="宋体....." w:cs="Times New Roman"/>
          <w:bCs/>
          <w:color w:val="000000" w:themeColor="text1"/>
          <w:kern w:val="2"/>
          <w:szCs w:val="24"/>
          <w:highlight w:val="none"/>
          <w:lang w:val="en-US" w:eastAsia="en-US" w:bidi="ar-SA"/>
          <w14:textFill>
            <w14:solidFill>
              <w14:schemeClr w14:val="tx1"/>
            </w14:solidFill>
          </w14:textFill>
        </w:rPr>
        <w:t>土地利用规划图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_Toc14143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82756B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_Toc16243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附图17  项目所在区域生态红线分布图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_Toc16243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92C265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_Toc15485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附图18  项目周边永久农田、耕地、园地分布图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_Toc15485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207496">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附件</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营业执照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6EE44F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_Toc18951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2</w:t>
      </w:r>
      <w:r>
        <w:rPr>
          <w:rFonts w:hint="default" w:ascii="Times New Roman" w:hAnsi="Times New Roman" w:cs="Times New Roman"/>
          <w:bCs/>
          <w:color w:val="000000" w:themeColor="text1"/>
          <w:highlight w:val="none"/>
          <w14:textFill>
            <w14:solidFill>
              <w14:schemeClr w14:val="tx1"/>
            </w14:solidFill>
          </w14:textFill>
        </w:rPr>
        <w:t>：法人身份证复印件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_Toc18951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BCF0724">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_Toc3366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附件3：不动产权证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_Toc3366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056E2F8">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_Toc900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4</w:t>
      </w:r>
      <w:r>
        <w:rPr>
          <w:rFonts w:hint="default" w:ascii="Times New Roman" w:hAnsi="Times New Roman" w:cs="Times New Roman"/>
          <w:bCs/>
          <w:color w:val="000000" w:themeColor="text1"/>
          <w:highlight w:val="none"/>
          <w14:textFill>
            <w14:solidFill>
              <w14:schemeClr w14:val="tx1"/>
            </w14:solidFill>
          </w14:textFill>
        </w:rPr>
        <w:t>：</w:t>
      </w:r>
      <w:r>
        <w:rPr>
          <w:rFonts w:hint="default" w:ascii="Times New Roman" w:hAnsi="Times New Roman" w:cs="Times New Roman"/>
          <w:bCs/>
          <w:color w:val="000000" w:themeColor="text1"/>
          <w:highlight w:val="none"/>
          <w:lang w:val="en-US" w:eastAsia="zh-CN"/>
          <w14:textFill>
            <w14:solidFill>
              <w14:schemeClr w14:val="tx1"/>
            </w14:solidFill>
          </w14:textFill>
        </w:rPr>
        <w:t>备案证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F803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_Toc5358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5-1</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除油剂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D2B352">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_Toc10257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5-2</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无铬钝化剂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_Toc10257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A34AAC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_Toc27056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5-3</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底漆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_Toc27056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7DA276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5-4</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面漆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95BB9FB">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5-5</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清漆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DAB76BA">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_Toc19354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5-6</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稀释剂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299AAA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_Toc10093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5-7</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粉末涂料</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_Toc10093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5C11EC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_Toc14389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8</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lang w:val="en-US" w:eastAsia="zh-CN"/>
          <w14:textFill>
            <w14:solidFill>
              <w14:schemeClr w14:val="tx1"/>
            </w14:solidFill>
          </w14:textFill>
        </w:rPr>
        <w:t>清洗剂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FBCDA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_Toc19146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9</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24"/>
          <w:highlight w:val="none"/>
          <w:lang w:val="en-US" w:eastAsia="zh-CN"/>
          <w14:textFill>
            <w14:solidFill>
              <w14:schemeClr w14:val="tx1"/>
            </w14:solidFill>
          </w14:textFill>
        </w:rPr>
        <w:t>油漆和粉末涂料VOCs含量检测</w:t>
      </w:r>
      <w:r>
        <w:rPr>
          <w:bCs/>
          <w:color w:val="000000" w:themeColor="text1"/>
          <w:szCs w:val="24"/>
          <w:highlight w:val="none"/>
          <w:lang w:bidi="ar"/>
          <w14:textFill>
            <w14:solidFill>
              <w14:schemeClr w14:val="tx1"/>
            </w14:solidFill>
          </w14:textFill>
        </w:rPr>
        <w:t>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_Toc19146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35B3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_Toc28463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
          <w14:textFill>
            <w14:solidFill>
              <w14:schemeClr w14:val="tx1"/>
            </w14:solidFill>
          </w14:textFill>
        </w:rPr>
        <w:t>附件6 环境质量现状监测报告（摘录部分）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_Toc28463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EBE7D4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_Toc11455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附件7 武江中钛的监测数据（引用摘录）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_Toc11455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7DBE45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_Toc30277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附件8 废水水质监测报告（引用摘录）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_Toc30277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EED8ED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cs="Times New Roman"/>
          <w:bCs/>
          <w:color w:val="000000" w:themeColor="text1"/>
          <w:szCs w:val="24"/>
          <w:highlight w:val="none"/>
          <w:lang w:val="en-US" w:eastAsia="zh-CN"/>
          <w14:textFill>
            <w14:solidFill>
              <w14:schemeClr w14:val="tx1"/>
            </w14:solidFill>
          </w14:textFill>
        </w:rPr>
        <w:t>附件9 总量替代指标来源复函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ACE1FDC">
      <w:pPr>
        <w:pStyle w:val="40"/>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p>
    <w:p w14:paraId="104E825B">
      <w:pPr>
        <w:adjustRightInd w:val="0"/>
        <w:snapToGrid w:val="0"/>
        <w:spacing w:line="288" w:lineRule="auto"/>
        <w:jc w:val="center"/>
        <w:rPr>
          <w:rFonts w:hint="default" w:ascii="Times New Roman" w:hAnsi="Times New Roman" w:eastAsia="宋体" w:cs="Times New Roman"/>
          <w:color w:val="000000" w:themeColor="text1"/>
          <w:sz w:val="24"/>
          <w:szCs w:val="24"/>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134DE0AE">
      <w:pPr>
        <w:pStyle w:val="45"/>
        <w:jc w:val="center"/>
        <w:outlineLvl w:val="0"/>
        <w:rPr>
          <w:rFonts w:hint="eastAsia" w:ascii="黑体" w:hAnsi="黑体" w:eastAsia="黑体"/>
          <w:snapToGrid w:val="0"/>
          <w:color w:val="auto"/>
          <w:sz w:val="30"/>
          <w:szCs w:val="30"/>
          <w:highlight w:val="none"/>
        </w:rPr>
      </w:pPr>
      <w:bookmarkStart w:id="0" w:name="_Toc19762"/>
      <w:bookmarkStart w:id="1" w:name="_Toc17943"/>
      <w:bookmarkStart w:id="2" w:name="_Toc4519"/>
      <w:bookmarkStart w:id="3" w:name="_Toc19677"/>
      <w:r>
        <w:rPr>
          <w:rFonts w:hint="eastAsia" w:ascii="黑体" w:hAnsi="黑体" w:eastAsia="黑体"/>
          <w:snapToGrid w:val="0"/>
          <w:color w:val="auto"/>
          <w:sz w:val="30"/>
          <w:szCs w:val="30"/>
          <w:highlight w:val="none"/>
        </w:rPr>
        <w:t>一、建设项目基本情况</w:t>
      </w:r>
      <w:bookmarkEnd w:id="0"/>
      <w:bookmarkEnd w:id="1"/>
      <w:bookmarkEnd w:id="2"/>
      <w:bookmarkEnd w:id="3"/>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78"/>
        <w:gridCol w:w="2041"/>
        <w:gridCol w:w="1989"/>
        <w:gridCol w:w="2862"/>
      </w:tblGrid>
      <w:tr w14:paraId="2303A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D4134C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建设项目名称</w:t>
            </w:r>
          </w:p>
        </w:tc>
        <w:tc>
          <w:tcPr>
            <w:tcW w:w="6892" w:type="dxa"/>
            <w:gridSpan w:val="3"/>
            <w:noWrap w:val="0"/>
            <w:vAlign w:val="center"/>
          </w:tcPr>
          <w:p w14:paraId="27E55AE9">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乐昌市三筑金属材料智造项目（</w:t>
            </w:r>
            <w:r>
              <w:rPr>
                <w:rFonts w:hint="eastAsia" w:ascii="Times New Roman" w:hAnsi="Times New Roman" w:eastAsia="宋体" w:cs="Times New Roman"/>
                <w:color w:val="auto"/>
                <w:sz w:val="24"/>
                <w:highlight w:val="none"/>
                <w:lang w:val="en-US" w:eastAsia="zh-CN"/>
              </w:rPr>
              <w:t>重新报批）</w:t>
            </w:r>
          </w:p>
        </w:tc>
      </w:tr>
      <w:tr w14:paraId="43687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4F0AD35">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项目代码</w:t>
            </w:r>
          </w:p>
        </w:tc>
        <w:tc>
          <w:tcPr>
            <w:tcW w:w="6892" w:type="dxa"/>
            <w:gridSpan w:val="3"/>
            <w:noWrap w:val="0"/>
            <w:vAlign w:val="center"/>
          </w:tcPr>
          <w:p w14:paraId="3EC9E275">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2507-440281-04-01-982896</w:t>
            </w:r>
          </w:p>
        </w:tc>
      </w:tr>
      <w:tr w14:paraId="09FD6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21681A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建设单位联系人</w:t>
            </w:r>
          </w:p>
        </w:tc>
        <w:tc>
          <w:tcPr>
            <w:tcW w:w="2041" w:type="dxa"/>
            <w:noWrap w:val="0"/>
            <w:vAlign w:val="center"/>
          </w:tcPr>
          <w:p w14:paraId="3B76B617">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邢</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胜</w:t>
            </w:r>
          </w:p>
        </w:tc>
        <w:tc>
          <w:tcPr>
            <w:tcW w:w="1989" w:type="dxa"/>
            <w:noWrap w:val="0"/>
            <w:vAlign w:val="center"/>
          </w:tcPr>
          <w:p w14:paraId="2547486B">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联系方式</w:t>
            </w:r>
          </w:p>
        </w:tc>
        <w:tc>
          <w:tcPr>
            <w:tcW w:w="2862" w:type="dxa"/>
            <w:noWrap w:val="0"/>
            <w:vAlign w:val="center"/>
          </w:tcPr>
          <w:p w14:paraId="462C3736">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159</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1502</w:t>
            </w:r>
          </w:p>
        </w:tc>
      </w:tr>
      <w:tr w14:paraId="70D47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58A25A31">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建设地点</w:t>
            </w:r>
          </w:p>
        </w:tc>
        <w:tc>
          <w:tcPr>
            <w:tcW w:w="6892" w:type="dxa"/>
            <w:gridSpan w:val="3"/>
            <w:noWrap w:val="0"/>
            <w:vAlign w:val="center"/>
          </w:tcPr>
          <w:p w14:paraId="01DABA0B">
            <w:pPr>
              <w:adjustRightInd w:val="0"/>
              <w:snapToGrid w:val="0"/>
              <w:jc w:val="center"/>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韶关市乐昌市</w:t>
            </w:r>
            <w:r>
              <w:rPr>
                <w:rFonts w:hint="eastAsia" w:cs="Times New Roman"/>
                <w:color w:val="auto"/>
                <w:sz w:val="24"/>
                <w:highlight w:val="none"/>
                <w:lang w:eastAsia="zh-CN"/>
              </w:rPr>
              <w:t>乐昌产业转移工业园GL-02-02-01地块</w:t>
            </w:r>
          </w:p>
        </w:tc>
      </w:tr>
      <w:tr w14:paraId="683D6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A38E31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地理坐标</w:t>
            </w:r>
          </w:p>
        </w:tc>
        <w:tc>
          <w:tcPr>
            <w:tcW w:w="6892" w:type="dxa"/>
            <w:gridSpan w:val="3"/>
            <w:noWrap w:val="0"/>
            <w:vAlign w:val="center"/>
          </w:tcPr>
          <w:p w14:paraId="5202A073">
            <w:pPr>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东经113°24'30.099"，北纬25°9'23.358"</w:t>
            </w:r>
          </w:p>
        </w:tc>
      </w:tr>
      <w:tr w14:paraId="01BC4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978" w:type="dxa"/>
            <w:noWrap w:val="0"/>
            <w:tcMar>
              <w:top w:w="16" w:type="dxa"/>
              <w:left w:w="16" w:type="dxa"/>
              <w:right w:w="16" w:type="dxa"/>
            </w:tcMar>
            <w:vAlign w:val="center"/>
          </w:tcPr>
          <w:p w14:paraId="6327D62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国民经济</w:t>
            </w:r>
          </w:p>
          <w:p w14:paraId="0942D71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p>
        </w:tc>
        <w:tc>
          <w:tcPr>
            <w:tcW w:w="2041" w:type="dxa"/>
            <w:noWrap w:val="0"/>
            <w:vAlign w:val="center"/>
          </w:tcPr>
          <w:p w14:paraId="6F77823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C3360金属表面处理及热处理加工</w:t>
            </w:r>
          </w:p>
        </w:tc>
        <w:tc>
          <w:tcPr>
            <w:tcW w:w="1989" w:type="dxa"/>
            <w:noWrap w:val="0"/>
            <w:vAlign w:val="center"/>
          </w:tcPr>
          <w:p w14:paraId="643D2C7A">
            <w:pPr>
              <w:adjustRightInd w:val="0"/>
              <w:snapToGrid w:val="0"/>
              <w:jc w:val="center"/>
              <w:rPr>
                <w:rFonts w:hint="default" w:ascii="Times New Roman" w:hAnsi="Times New Roman" w:eastAsia="宋体" w:cs="Times New Roman"/>
                <w:color w:val="auto"/>
                <w:sz w:val="24"/>
                <w:highlight w:val="none"/>
              </w:rPr>
            </w:pPr>
            <w:bookmarkStart w:id="4" w:name="_Hlk49843745"/>
            <w:r>
              <w:rPr>
                <w:rFonts w:hint="default" w:ascii="Times New Roman" w:hAnsi="Times New Roman" w:eastAsia="宋体" w:cs="Times New Roman"/>
                <w:color w:val="auto"/>
                <w:sz w:val="24"/>
                <w:highlight w:val="none"/>
              </w:rPr>
              <w:t>建设项目</w:t>
            </w:r>
          </w:p>
          <w:p w14:paraId="343D3B0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bookmarkEnd w:id="4"/>
          </w:p>
        </w:tc>
        <w:tc>
          <w:tcPr>
            <w:tcW w:w="2862" w:type="dxa"/>
            <w:noWrap w:val="0"/>
            <w:vAlign w:val="center"/>
          </w:tcPr>
          <w:p w14:paraId="4D6FE86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三十、金属制品业 33—67、金属表面处理及热处理加工 336</w:t>
            </w:r>
          </w:p>
        </w:tc>
      </w:tr>
      <w:tr w14:paraId="182EFB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34" w:hRule="atLeast"/>
          <w:jc w:val="center"/>
        </w:trPr>
        <w:tc>
          <w:tcPr>
            <w:tcW w:w="1978" w:type="dxa"/>
            <w:noWrap w:val="0"/>
            <w:tcMar>
              <w:top w:w="16" w:type="dxa"/>
              <w:left w:w="16" w:type="dxa"/>
              <w:right w:w="16" w:type="dxa"/>
            </w:tcMar>
            <w:vAlign w:val="center"/>
          </w:tcPr>
          <w:p w14:paraId="7AF8B6C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建设性质</w:t>
            </w:r>
          </w:p>
        </w:tc>
        <w:tc>
          <w:tcPr>
            <w:tcW w:w="2041" w:type="dxa"/>
            <w:noWrap w:val="0"/>
            <w:vAlign w:val="center"/>
          </w:tcPr>
          <w:p w14:paraId="189850F0">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52"/>
            </w:r>
            <w:r>
              <w:rPr>
                <w:rFonts w:hint="default" w:ascii="Times New Roman" w:hAnsi="Times New Roman" w:eastAsia="宋体" w:cs="Times New Roman"/>
                <w:color w:val="auto"/>
                <w:sz w:val="24"/>
                <w:highlight w:val="none"/>
              </w:rPr>
              <w:t>新建（迁建）</w:t>
            </w:r>
          </w:p>
          <w:p w14:paraId="29125996">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改建</w:t>
            </w:r>
          </w:p>
          <w:p w14:paraId="19919C30">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扩建</w:t>
            </w:r>
          </w:p>
          <w:p w14:paraId="052C6C91">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技术改造</w:t>
            </w:r>
          </w:p>
        </w:tc>
        <w:tc>
          <w:tcPr>
            <w:tcW w:w="1989" w:type="dxa"/>
            <w:noWrap w:val="0"/>
            <w:vAlign w:val="center"/>
          </w:tcPr>
          <w:p w14:paraId="79CFAF6D">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w:t>
            </w:r>
          </w:p>
          <w:p w14:paraId="12A8741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申报情形</w:t>
            </w:r>
          </w:p>
        </w:tc>
        <w:tc>
          <w:tcPr>
            <w:tcW w:w="2862" w:type="dxa"/>
            <w:noWrap w:val="0"/>
            <w:vAlign w:val="center"/>
          </w:tcPr>
          <w:p w14:paraId="1FA42C80">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首次申报项目</w:t>
            </w:r>
          </w:p>
          <w:p w14:paraId="67F1780F">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□不予批准后再次申报项目</w:t>
            </w:r>
          </w:p>
          <w:p w14:paraId="5493AF68">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□超五年重新审核项目</w:t>
            </w:r>
          </w:p>
          <w:p w14:paraId="17D4CAEC">
            <w:pPr>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重大变动重新报批项目</w:t>
            </w:r>
          </w:p>
        </w:tc>
      </w:tr>
      <w:tr w14:paraId="7F21E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978" w:type="dxa"/>
            <w:noWrap w:val="0"/>
            <w:tcMar>
              <w:top w:w="16" w:type="dxa"/>
              <w:left w:w="16" w:type="dxa"/>
              <w:right w:w="16" w:type="dxa"/>
            </w:tcMar>
            <w:vAlign w:val="center"/>
          </w:tcPr>
          <w:p w14:paraId="037B1B02">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0A30172F">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备案）部门（选填）</w:t>
            </w:r>
          </w:p>
        </w:tc>
        <w:tc>
          <w:tcPr>
            <w:tcW w:w="2041" w:type="dxa"/>
            <w:noWrap w:val="0"/>
            <w:vAlign w:val="center"/>
          </w:tcPr>
          <w:p w14:paraId="0DBCE66E">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w:t>
            </w:r>
          </w:p>
        </w:tc>
        <w:tc>
          <w:tcPr>
            <w:tcW w:w="1989" w:type="dxa"/>
            <w:noWrap w:val="0"/>
            <w:vAlign w:val="center"/>
          </w:tcPr>
          <w:p w14:paraId="58D0B87B">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53C9275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备案）文号（选填）</w:t>
            </w:r>
          </w:p>
        </w:tc>
        <w:tc>
          <w:tcPr>
            <w:tcW w:w="2862" w:type="dxa"/>
            <w:noWrap w:val="0"/>
            <w:vAlign w:val="center"/>
          </w:tcPr>
          <w:p w14:paraId="5C7D7844">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w:t>
            </w:r>
          </w:p>
        </w:tc>
      </w:tr>
      <w:tr w14:paraId="480BB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B7A305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总投资（万元）</w:t>
            </w:r>
          </w:p>
        </w:tc>
        <w:tc>
          <w:tcPr>
            <w:tcW w:w="2041" w:type="dxa"/>
            <w:noWrap w:val="0"/>
            <w:vAlign w:val="center"/>
          </w:tcPr>
          <w:p w14:paraId="590D0286">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15000</w:t>
            </w:r>
          </w:p>
        </w:tc>
        <w:tc>
          <w:tcPr>
            <w:tcW w:w="1989" w:type="dxa"/>
            <w:noWrap w:val="0"/>
            <w:tcMar>
              <w:top w:w="16" w:type="dxa"/>
              <w:left w:w="16" w:type="dxa"/>
              <w:right w:w="16" w:type="dxa"/>
            </w:tcMar>
            <w:vAlign w:val="center"/>
          </w:tcPr>
          <w:p w14:paraId="0398D9CF">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环保投资（万元）</w:t>
            </w:r>
          </w:p>
        </w:tc>
        <w:tc>
          <w:tcPr>
            <w:tcW w:w="2862" w:type="dxa"/>
            <w:noWrap w:val="0"/>
            <w:vAlign w:val="center"/>
          </w:tcPr>
          <w:p w14:paraId="2EFD999A">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00</w:t>
            </w:r>
          </w:p>
        </w:tc>
      </w:tr>
      <w:tr w14:paraId="71366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6148A1A1">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环保投资占比（%）</w:t>
            </w:r>
          </w:p>
        </w:tc>
        <w:tc>
          <w:tcPr>
            <w:tcW w:w="2041" w:type="dxa"/>
            <w:noWrap w:val="0"/>
            <w:vAlign w:val="center"/>
          </w:tcPr>
          <w:p w14:paraId="7963B011">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w:t>
            </w:r>
          </w:p>
        </w:tc>
        <w:tc>
          <w:tcPr>
            <w:tcW w:w="1989" w:type="dxa"/>
            <w:noWrap w:val="0"/>
            <w:tcMar>
              <w:top w:w="16" w:type="dxa"/>
              <w:left w:w="16" w:type="dxa"/>
              <w:right w:w="16" w:type="dxa"/>
            </w:tcMar>
            <w:vAlign w:val="center"/>
          </w:tcPr>
          <w:p w14:paraId="25A019D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施工工期</w:t>
            </w:r>
          </w:p>
        </w:tc>
        <w:tc>
          <w:tcPr>
            <w:tcW w:w="2862" w:type="dxa"/>
            <w:noWrap w:val="0"/>
            <w:vAlign w:val="center"/>
          </w:tcPr>
          <w:p w14:paraId="137F0DD7">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个月</w:t>
            </w:r>
          </w:p>
        </w:tc>
      </w:tr>
      <w:tr w14:paraId="1AF53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41EAC16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是否开工建设</w:t>
            </w:r>
          </w:p>
        </w:tc>
        <w:tc>
          <w:tcPr>
            <w:tcW w:w="2041" w:type="dxa"/>
            <w:noWrap w:val="0"/>
            <w:vAlign w:val="center"/>
          </w:tcPr>
          <w:p w14:paraId="263B1782">
            <w:pPr>
              <w:adjustRightInd w:val="0"/>
              <w:snapToGrid w:val="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否</w:t>
            </w:r>
          </w:p>
          <w:p w14:paraId="50E12261">
            <w:pPr>
              <w:adjustRightInd w:val="0"/>
              <w:snapToGrid w:val="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52"/>
            </w:r>
            <w:r>
              <w:rPr>
                <w:rFonts w:hint="default" w:ascii="Times New Roman" w:hAnsi="Times New Roman" w:eastAsia="宋体" w:cs="Times New Roman"/>
                <w:color w:val="auto"/>
                <w:sz w:val="24"/>
                <w:highlight w:val="none"/>
              </w:rPr>
              <w:t>是：</w:t>
            </w:r>
            <w:r>
              <w:rPr>
                <w:rFonts w:hint="default"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lang w:val="en-US" w:eastAsia="zh-CN"/>
              </w:rPr>
              <w:t>原项目在建设过程中发生重大变动</w:t>
            </w:r>
            <w:r>
              <w:rPr>
                <w:rFonts w:hint="default" w:ascii="Times New Roman" w:hAnsi="Times New Roman" w:eastAsia="宋体" w:cs="Times New Roman"/>
                <w:color w:val="auto"/>
                <w:sz w:val="24"/>
                <w:highlight w:val="none"/>
                <w:u w:val="single"/>
              </w:rPr>
              <w:t xml:space="preserve">         </w:t>
            </w:r>
          </w:p>
        </w:tc>
        <w:tc>
          <w:tcPr>
            <w:tcW w:w="1989" w:type="dxa"/>
            <w:noWrap w:val="0"/>
            <w:tcMar>
              <w:top w:w="16" w:type="dxa"/>
              <w:left w:w="16" w:type="dxa"/>
              <w:right w:w="16" w:type="dxa"/>
            </w:tcMar>
            <w:vAlign w:val="center"/>
          </w:tcPr>
          <w:p w14:paraId="2DCD810F">
            <w:pPr>
              <w:adjustRightInd w:val="0"/>
              <w:snapToGrid w:val="0"/>
              <w:jc w:val="center"/>
              <w:rPr>
                <w:rFonts w:hint="default" w:ascii="Times New Roman" w:hAnsi="Times New Roman" w:eastAsia="宋体" w:cs="Times New Roman"/>
                <w:color w:val="auto"/>
                <w:spacing w:val="-6"/>
                <w:sz w:val="24"/>
                <w:highlight w:val="none"/>
              </w:rPr>
            </w:pPr>
            <w:r>
              <w:rPr>
                <w:rFonts w:hint="default" w:ascii="Times New Roman" w:hAnsi="Times New Roman" w:eastAsia="宋体" w:cs="Times New Roman"/>
                <w:color w:val="auto"/>
                <w:spacing w:val="-6"/>
                <w:sz w:val="24"/>
                <w:highlight w:val="none"/>
              </w:rPr>
              <w:t>用地（用海）</w:t>
            </w:r>
          </w:p>
          <w:p w14:paraId="299CB2B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pacing w:val="-6"/>
                <w:sz w:val="24"/>
                <w:highlight w:val="none"/>
              </w:rPr>
              <w:t>面积（m</w:t>
            </w:r>
            <w:r>
              <w:rPr>
                <w:rFonts w:hint="default" w:ascii="Times New Roman" w:hAnsi="Times New Roman" w:eastAsia="宋体" w:cs="Times New Roman"/>
                <w:color w:val="auto"/>
                <w:spacing w:val="-6"/>
                <w:sz w:val="24"/>
                <w:highlight w:val="none"/>
                <w:vertAlign w:val="superscript"/>
              </w:rPr>
              <w:t>2</w:t>
            </w:r>
            <w:r>
              <w:rPr>
                <w:rFonts w:hint="default" w:ascii="Times New Roman" w:hAnsi="Times New Roman" w:eastAsia="宋体" w:cs="Times New Roman"/>
                <w:color w:val="auto"/>
                <w:spacing w:val="-6"/>
                <w:sz w:val="24"/>
                <w:highlight w:val="none"/>
              </w:rPr>
              <w:t>）</w:t>
            </w:r>
          </w:p>
        </w:tc>
        <w:tc>
          <w:tcPr>
            <w:tcW w:w="2862" w:type="dxa"/>
            <w:noWrap w:val="0"/>
            <w:vAlign w:val="center"/>
          </w:tcPr>
          <w:p w14:paraId="1D8830B3">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54139.29</w:t>
            </w:r>
          </w:p>
        </w:tc>
      </w:tr>
      <w:tr w14:paraId="1B579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E9E060D">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专项评价设置情况</w:t>
            </w:r>
          </w:p>
        </w:tc>
        <w:tc>
          <w:tcPr>
            <w:tcW w:w="6892" w:type="dxa"/>
            <w:gridSpan w:val="3"/>
            <w:noWrap w:val="0"/>
            <w:vAlign w:val="center"/>
          </w:tcPr>
          <w:p w14:paraId="296721F2">
            <w:pPr>
              <w:pStyle w:val="120"/>
              <w:keepNext w:val="0"/>
              <w:keepLines w:val="0"/>
              <w:pageBreakBefore w:val="0"/>
              <w:widowControl w:val="0"/>
              <w:kinsoku/>
              <w:wordWrap/>
              <w:overflowPunct/>
              <w:topLinePunct w:val="0"/>
              <w:autoSpaceDE/>
              <w:autoSpaceDN/>
              <w:bidi w:val="0"/>
              <w:adjustRightInd/>
              <w:snapToGrid/>
              <w:spacing w:line="100" w:lineRule="exact"/>
              <w:jc w:val="left"/>
              <w:textAlignment w:val="auto"/>
              <w:rPr>
                <w:rFonts w:hint="default" w:ascii="Times New Roman" w:hAnsi="Times New Roman" w:eastAsia="宋体" w:cs="Times New Roman"/>
                <w:color w:val="auto"/>
                <w:kern w:val="2"/>
                <w:sz w:val="24"/>
                <w:szCs w:val="24"/>
                <w:highlight w:val="none"/>
                <w:lang w:val="en-US" w:eastAsia="zh-CN" w:bidi="ar-SA"/>
              </w:rPr>
            </w:pPr>
          </w:p>
          <w:p w14:paraId="0BA9A221">
            <w:pPr>
              <w:pStyle w:val="120"/>
              <w:adjustRightInd/>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根据《建设项目环境影响报告表编制技术指南（污染影响类）（试行）》中“表1专项评价设置原则表”，本项目专项评价设置情况如下：</w:t>
            </w:r>
          </w:p>
          <w:p w14:paraId="49A3CDDC">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专项评价设置情况</w:t>
            </w:r>
          </w:p>
          <w:tbl>
            <w:tblPr>
              <w:tblStyle w:val="132"/>
              <w:tblW w:w="499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2"/>
              <w:gridCol w:w="3057"/>
              <w:gridCol w:w="2226"/>
              <w:gridCol w:w="867"/>
            </w:tblGrid>
            <w:tr w14:paraId="656EF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384" w:type="pct"/>
                  <w:tcBorders>
                    <w:tl2br w:val="nil"/>
                    <w:tr2bl w:val="nil"/>
                  </w:tcBorders>
                  <w:noWrap w:val="0"/>
                  <w:vAlign w:val="center"/>
                </w:tcPr>
                <w:p w14:paraId="65C2A5B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专项类别</w:t>
                  </w:r>
                </w:p>
              </w:tc>
              <w:tc>
                <w:tcPr>
                  <w:tcW w:w="2294" w:type="pct"/>
                  <w:tcBorders>
                    <w:tl2br w:val="nil"/>
                    <w:tr2bl w:val="nil"/>
                  </w:tcBorders>
                  <w:noWrap w:val="0"/>
                  <w:vAlign w:val="center"/>
                </w:tcPr>
                <w:p w14:paraId="2585FB9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涉及项目类别</w:t>
                  </w:r>
                </w:p>
              </w:tc>
              <w:tc>
                <w:tcPr>
                  <w:tcW w:w="1671" w:type="pct"/>
                  <w:tcBorders>
                    <w:tl2br w:val="nil"/>
                    <w:tr2bl w:val="nil"/>
                  </w:tcBorders>
                  <w:noWrap w:val="0"/>
                  <w:vAlign w:val="center"/>
                </w:tcPr>
                <w:p w14:paraId="3F33EC97">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本项目情况</w:t>
                  </w:r>
                </w:p>
              </w:tc>
              <w:tc>
                <w:tcPr>
                  <w:tcW w:w="649" w:type="pct"/>
                  <w:tcBorders>
                    <w:tl2br w:val="nil"/>
                    <w:tr2bl w:val="nil"/>
                  </w:tcBorders>
                  <w:noWrap w:val="0"/>
                  <w:vAlign w:val="center"/>
                </w:tcPr>
                <w:p w14:paraId="1B555A2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是否设置</w:t>
                  </w:r>
                </w:p>
              </w:tc>
            </w:tr>
            <w:tr w14:paraId="21CC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384" w:type="pct"/>
                  <w:tcBorders>
                    <w:tl2br w:val="nil"/>
                    <w:tr2bl w:val="nil"/>
                  </w:tcBorders>
                  <w:noWrap w:val="0"/>
                  <w:vAlign w:val="center"/>
                </w:tcPr>
                <w:p w14:paraId="5A6300F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大气</w:t>
                  </w:r>
                </w:p>
              </w:tc>
              <w:tc>
                <w:tcPr>
                  <w:tcW w:w="2294" w:type="pct"/>
                  <w:tcBorders>
                    <w:tl2br w:val="nil"/>
                    <w:tr2bl w:val="nil"/>
                  </w:tcBorders>
                  <w:noWrap w:val="0"/>
                  <w:vAlign w:val="center"/>
                </w:tcPr>
                <w:p w14:paraId="17441BB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排放废气含有毒有害污染物</w:t>
                  </w:r>
                  <w:r>
                    <w:rPr>
                      <w:rFonts w:hint="default" w:ascii="Times New Roman" w:hAnsi="Times New Roman" w:eastAsia="宋体" w:cs="Times New Roman"/>
                      <w:b w:val="0"/>
                      <w:bCs w:val="0"/>
                      <w:snapToGrid/>
                      <w:color w:val="auto"/>
                      <w:kern w:val="2"/>
                      <w:szCs w:val="21"/>
                      <w:highlight w:val="none"/>
                      <w:vertAlign w:val="superscript"/>
                      <w:lang w:eastAsia="zh-CN"/>
                    </w:rPr>
                    <w:t>1</w:t>
                  </w:r>
                  <w:r>
                    <w:rPr>
                      <w:rFonts w:hint="default" w:ascii="Times New Roman" w:hAnsi="Times New Roman" w:eastAsia="宋体" w:cs="Times New Roman"/>
                      <w:b w:val="0"/>
                      <w:bCs w:val="0"/>
                      <w:snapToGrid/>
                      <w:color w:val="auto"/>
                      <w:kern w:val="2"/>
                      <w:szCs w:val="21"/>
                      <w:highlight w:val="none"/>
                      <w:lang w:eastAsia="zh-CN"/>
                    </w:rPr>
                    <w:t>、二噁英、苯并[a]芘、氰化物、氯气且厂界外500米范围内有环境空气保护目标</w:t>
                  </w:r>
                  <w:r>
                    <w:rPr>
                      <w:rFonts w:hint="default" w:ascii="Times New Roman" w:hAnsi="Times New Roman" w:eastAsia="宋体" w:cs="Times New Roman"/>
                      <w:b w:val="0"/>
                      <w:bCs w:val="0"/>
                      <w:snapToGrid/>
                      <w:color w:val="auto"/>
                      <w:kern w:val="2"/>
                      <w:szCs w:val="21"/>
                      <w:highlight w:val="none"/>
                      <w:vertAlign w:val="superscript"/>
                      <w:lang w:eastAsia="zh-CN"/>
                    </w:rPr>
                    <w:t>2</w:t>
                  </w:r>
                  <w:r>
                    <w:rPr>
                      <w:rFonts w:hint="default" w:ascii="Times New Roman" w:hAnsi="Times New Roman" w:eastAsia="宋体" w:cs="Times New Roman"/>
                      <w:b w:val="0"/>
                      <w:bCs w:val="0"/>
                      <w:snapToGrid/>
                      <w:color w:val="auto"/>
                      <w:kern w:val="2"/>
                      <w:szCs w:val="21"/>
                      <w:highlight w:val="none"/>
                      <w:lang w:eastAsia="zh-CN"/>
                    </w:rPr>
                    <w:t>的建设项目</w:t>
                  </w:r>
                </w:p>
              </w:tc>
              <w:tc>
                <w:tcPr>
                  <w:tcW w:w="2226" w:type="dxa"/>
                  <w:tcBorders>
                    <w:tl2br w:val="nil"/>
                    <w:tr2bl w:val="nil"/>
                  </w:tcBorders>
                  <w:noWrap w:val="0"/>
                  <w:vAlign w:val="center"/>
                </w:tcPr>
                <w:p w14:paraId="47C6DA2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本项目排放的</w:t>
                  </w:r>
                  <w:r>
                    <w:rPr>
                      <w:rFonts w:hint="eastAsia" w:ascii="Times New Roman" w:hAnsi="Times New Roman" w:eastAsia="宋体" w:cs="Times New Roman"/>
                      <w:b w:val="0"/>
                      <w:bCs w:val="0"/>
                      <w:snapToGrid/>
                      <w:color w:val="auto"/>
                      <w:kern w:val="2"/>
                      <w:szCs w:val="21"/>
                      <w:highlight w:val="none"/>
                      <w:lang w:val="en-US" w:eastAsia="zh-CN"/>
                    </w:rPr>
                    <w:t>废气</w:t>
                  </w:r>
                  <w:r>
                    <w:rPr>
                      <w:rFonts w:hint="default" w:ascii="Times New Roman" w:hAnsi="Times New Roman" w:eastAsia="宋体" w:cs="Times New Roman"/>
                      <w:b w:val="0"/>
                      <w:bCs w:val="0"/>
                      <w:snapToGrid/>
                      <w:color w:val="auto"/>
                      <w:kern w:val="2"/>
                      <w:szCs w:val="21"/>
                      <w:highlight w:val="none"/>
                      <w:lang w:val="en-US" w:eastAsia="zh-CN"/>
                    </w:rPr>
                    <w:t>不涉及技术指南规定的有毒有害废气污染物</w:t>
                  </w:r>
                </w:p>
              </w:tc>
              <w:tc>
                <w:tcPr>
                  <w:tcW w:w="649" w:type="pct"/>
                  <w:tcBorders>
                    <w:tl2br w:val="nil"/>
                    <w:tr2bl w:val="nil"/>
                  </w:tcBorders>
                  <w:noWrap w:val="0"/>
                  <w:vAlign w:val="center"/>
                </w:tcPr>
                <w:p w14:paraId="7FCFE6CC">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44D8D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84" w:type="pct"/>
                  <w:tcBorders>
                    <w:tl2br w:val="nil"/>
                    <w:tr2bl w:val="nil"/>
                  </w:tcBorders>
                  <w:noWrap w:val="0"/>
                  <w:vAlign w:val="center"/>
                </w:tcPr>
                <w:p w14:paraId="4AE28995">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地表水</w:t>
                  </w:r>
                </w:p>
              </w:tc>
              <w:tc>
                <w:tcPr>
                  <w:tcW w:w="2294" w:type="pct"/>
                  <w:tcBorders>
                    <w:tl2br w:val="nil"/>
                    <w:tr2bl w:val="nil"/>
                  </w:tcBorders>
                  <w:noWrap w:val="0"/>
                  <w:vAlign w:val="center"/>
                </w:tcPr>
                <w:p w14:paraId="2278C630">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新增工业废水直排建设项目（槽罐车外送污水处理厂的除外）；新增废水直排的污水集中处理厂</w:t>
                  </w:r>
                </w:p>
              </w:tc>
              <w:tc>
                <w:tcPr>
                  <w:tcW w:w="2226" w:type="dxa"/>
                  <w:tcBorders>
                    <w:tl2br w:val="nil"/>
                    <w:tr2bl w:val="nil"/>
                  </w:tcBorders>
                  <w:noWrap w:val="0"/>
                  <w:vAlign w:val="center"/>
                </w:tcPr>
                <w:p w14:paraId="661A4F5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项目废水自处理后依托园区污水处理厂进一步处理，达标后排放至武江，不直排</w:t>
                  </w:r>
                </w:p>
              </w:tc>
              <w:tc>
                <w:tcPr>
                  <w:tcW w:w="649" w:type="pct"/>
                  <w:tcBorders>
                    <w:tl2br w:val="nil"/>
                    <w:tr2bl w:val="nil"/>
                  </w:tcBorders>
                  <w:noWrap w:val="0"/>
                  <w:vAlign w:val="center"/>
                </w:tcPr>
                <w:p w14:paraId="38CC51F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eastAsia" w:ascii="Times New Roman" w:hAnsi="Times New Roman" w:eastAsia="宋体" w:cs="Times New Roman"/>
                      <w:b w:val="0"/>
                      <w:bCs w:val="0"/>
                      <w:snapToGrid/>
                      <w:color w:val="auto"/>
                      <w:kern w:val="2"/>
                      <w:szCs w:val="21"/>
                      <w:highlight w:val="none"/>
                      <w:lang w:val="en-US" w:eastAsia="zh-CN"/>
                    </w:rPr>
                    <w:t>否</w:t>
                  </w:r>
                </w:p>
              </w:tc>
            </w:tr>
            <w:tr w14:paraId="120AA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62AD2E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环境风险</w:t>
                  </w:r>
                </w:p>
              </w:tc>
              <w:tc>
                <w:tcPr>
                  <w:tcW w:w="2294" w:type="pct"/>
                  <w:tcBorders>
                    <w:tl2br w:val="nil"/>
                    <w:tr2bl w:val="nil"/>
                  </w:tcBorders>
                  <w:noWrap w:val="0"/>
                  <w:vAlign w:val="center"/>
                </w:tcPr>
                <w:p w14:paraId="221780B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有毒有害和易燃易爆危险物质存储量超过临界量</w:t>
                  </w:r>
                  <w:r>
                    <w:rPr>
                      <w:rFonts w:hint="default" w:ascii="Times New Roman" w:hAnsi="Times New Roman" w:eastAsia="宋体" w:cs="Times New Roman"/>
                      <w:b w:val="0"/>
                      <w:bCs w:val="0"/>
                      <w:snapToGrid/>
                      <w:color w:val="auto"/>
                      <w:kern w:val="2"/>
                      <w:szCs w:val="21"/>
                      <w:highlight w:val="none"/>
                      <w:vertAlign w:val="superscript"/>
                      <w:lang w:eastAsia="zh-CN"/>
                    </w:rPr>
                    <w:t>3</w:t>
                  </w:r>
                  <w:r>
                    <w:rPr>
                      <w:rFonts w:hint="default" w:ascii="Times New Roman" w:hAnsi="Times New Roman" w:eastAsia="宋体" w:cs="Times New Roman"/>
                      <w:b w:val="0"/>
                      <w:bCs w:val="0"/>
                      <w:snapToGrid/>
                      <w:color w:val="auto"/>
                      <w:kern w:val="2"/>
                      <w:szCs w:val="21"/>
                      <w:highlight w:val="none"/>
                      <w:lang w:eastAsia="zh-CN"/>
                    </w:rPr>
                    <w:t>的建设项目</w:t>
                  </w:r>
                </w:p>
              </w:tc>
              <w:tc>
                <w:tcPr>
                  <w:tcW w:w="2226" w:type="dxa"/>
                  <w:tcBorders>
                    <w:tl2br w:val="nil"/>
                    <w:tr2bl w:val="nil"/>
                  </w:tcBorders>
                  <w:noWrap w:val="0"/>
                  <w:vAlign w:val="center"/>
                </w:tcPr>
                <w:p w14:paraId="5E7B3894">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经分析，本项目危险物质存储量总计未超过临界量</w:t>
                  </w:r>
                </w:p>
              </w:tc>
              <w:tc>
                <w:tcPr>
                  <w:tcW w:w="649" w:type="pct"/>
                  <w:tcBorders>
                    <w:tl2br w:val="nil"/>
                    <w:tr2bl w:val="nil"/>
                  </w:tcBorders>
                  <w:noWrap w:val="0"/>
                  <w:vAlign w:val="center"/>
                </w:tcPr>
                <w:p w14:paraId="0712E732">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2B508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5390E7F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生态</w:t>
                  </w:r>
                </w:p>
              </w:tc>
              <w:tc>
                <w:tcPr>
                  <w:tcW w:w="2294" w:type="pct"/>
                  <w:tcBorders>
                    <w:tl2br w:val="nil"/>
                    <w:tr2bl w:val="nil"/>
                  </w:tcBorders>
                  <w:noWrap w:val="0"/>
                  <w:vAlign w:val="center"/>
                </w:tcPr>
                <w:p w14:paraId="407AC82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取水口下游500米范围内有重要水生生物的自然产卵场、索饵场、越冬场和洄游通道的新增河道取水的污染类建设项目</w:t>
                  </w:r>
                </w:p>
              </w:tc>
              <w:tc>
                <w:tcPr>
                  <w:tcW w:w="2226" w:type="dxa"/>
                  <w:tcBorders>
                    <w:tl2br w:val="nil"/>
                    <w:tr2bl w:val="nil"/>
                  </w:tcBorders>
                  <w:noWrap w:val="0"/>
                  <w:vAlign w:val="center"/>
                </w:tcPr>
                <w:p w14:paraId="1074E12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val="en-US" w:eastAsia="zh-CN"/>
                    </w:rPr>
                    <w:t>本项目不涉及直接从河道取水</w:t>
                  </w:r>
                </w:p>
              </w:tc>
              <w:tc>
                <w:tcPr>
                  <w:tcW w:w="649" w:type="pct"/>
                  <w:tcBorders>
                    <w:tl2br w:val="nil"/>
                    <w:tr2bl w:val="nil"/>
                  </w:tcBorders>
                  <w:noWrap w:val="0"/>
                  <w:vAlign w:val="center"/>
                </w:tcPr>
                <w:p w14:paraId="4FD8D7D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58688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C1C73AE">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海洋</w:t>
                  </w:r>
                </w:p>
              </w:tc>
              <w:tc>
                <w:tcPr>
                  <w:tcW w:w="2294" w:type="pct"/>
                  <w:tcBorders>
                    <w:tl2br w:val="nil"/>
                    <w:tr2bl w:val="nil"/>
                  </w:tcBorders>
                  <w:noWrap w:val="0"/>
                  <w:vAlign w:val="center"/>
                </w:tcPr>
                <w:p w14:paraId="1B52977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直接向海排放污染物的海洋工程建设项目</w:t>
                  </w:r>
                </w:p>
              </w:tc>
              <w:tc>
                <w:tcPr>
                  <w:tcW w:w="2226" w:type="dxa"/>
                  <w:tcBorders>
                    <w:tl2br w:val="nil"/>
                    <w:tr2bl w:val="nil"/>
                  </w:tcBorders>
                  <w:noWrap w:val="0"/>
                  <w:vAlign w:val="center"/>
                </w:tcPr>
                <w:p w14:paraId="637ADDC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val="en-US" w:eastAsia="zh-CN"/>
                    </w:rPr>
                    <w:t>本项目污水排放不涉及海洋</w:t>
                  </w:r>
                </w:p>
              </w:tc>
              <w:tc>
                <w:tcPr>
                  <w:tcW w:w="649" w:type="pct"/>
                  <w:tcBorders>
                    <w:tl2br w:val="nil"/>
                    <w:tr2bl w:val="nil"/>
                  </w:tcBorders>
                  <w:noWrap w:val="0"/>
                  <w:vAlign w:val="center"/>
                </w:tcPr>
                <w:p w14:paraId="4FDE6046">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654F6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5000" w:type="pct"/>
                  <w:gridSpan w:val="4"/>
                  <w:tcBorders>
                    <w:tl2br w:val="nil"/>
                    <w:tr2bl w:val="nil"/>
                  </w:tcBorders>
                  <w:noWrap w:val="0"/>
                  <w:vAlign w:val="center"/>
                </w:tcPr>
                <w:p w14:paraId="3AD33EB0">
                  <w:pPr>
                    <w:widowControl w:val="0"/>
                    <w:kinsoku/>
                    <w:autoSpaceDE/>
                    <w:autoSpaceDN/>
                    <w:adjustRightInd/>
                    <w:snapToGrid/>
                    <w:spacing w:line="240" w:lineRule="auto"/>
                    <w:jc w:val="left"/>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169）附录B、附录C。</w:t>
                  </w:r>
                </w:p>
              </w:tc>
            </w:tr>
          </w:tbl>
          <w:p w14:paraId="3CD2D015">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auto"/>
                <w:kern w:val="0"/>
                <w:highlight w:val="none"/>
              </w:rPr>
            </w:pPr>
          </w:p>
          <w:p w14:paraId="6943482A">
            <w:pPr>
              <w:spacing w:line="360" w:lineRule="auto"/>
              <w:ind w:firstLine="420" w:firstLineChars="200"/>
              <w:jc w:val="left"/>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根据上表分析，本项目</w:t>
            </w:r>
            <w:r>
              <w:rPr>
                <w:rFonts w:hint="eastAsia" w:ascii="Times New Roman" w:hAnsi="Times New Roman" w:eastAsia="宋体" w:cs="Times New Roman"/>
                <w:color w:val="auto"/>
                <w:kern w:val="0"/>
                <w:highlight w:val="none"/>
                <w:lang w:eastAsia="zh-CN"/>
              </w:rPr>
              <w:t>无须设置</w:t>
            </w:r>
            <w:r>
              <w:rPr>
                <w:rFonts w:hint="default" w:ascii="Times New Roman" w:hAnsi="Times New Roman" w:eastAsia="宋体" w:cs="Times New Roman"/>
                <w:color w:val="auto"/>
                <w:kern w:val="0"/>
                <w:highlight w:val="none"/>
              </w:rPr>
              <w:t>专项评价。</w:t>
            </w:r>
          </w:p>
        </w:tc>
      </w:tr>
      <w:tr w14:paraId="4D07E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978" w:type="dxa"/>
            <w:noWrap w:val="0"/>
            <w:vAlign w:val="center"/>
          </w:tcPr>
          <w:p w14:paraId="58871FF1">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规划情况</w:t>
            </w:r>
          </w:p>
        </w:tc>
        <w:tc>
          <w:tcPr>
            <w:tcW w:w="6892" w:type="dxa"/>
            <w:gridSpan w:val="3"/>
            <w:noWrap w:val="0"/>
            <w:vAlign w:val="center"/>
          </w:tcPr>
          <w:p w14:paraId="1DF713E3">
            <w:pPr>
              <w:autoSpaceDE w:val="0"/>
              <w:autoSpaceDN w:val="0"/>
              <w:adjustRightInd w:val="0"/>
              <w:snapToGrid w:val="0"/>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sz w:val="24"/>
                <w:highlight w:val="none"/>
              </w:rPr>
              <w:t>《乐昌产业转移工业园</w:t>
            </w:r>
            <w:r>
              <w:rPr>
                <w:rFonts w:hint="default" w:ascii="Times New Roman" w:hAnsi="Times New Roman" w:eastAsia="宋体" w:cs="Times New Roman"/>
                <w:color w:val="auto"/>
                <w:sz w:val="24"/>
                <w:highlight w:val="none"/>
                <w:lang w:val="en-US" w:eastAsia="zh-CN"/>
              </w:rPr>
              <w:t>城东片区控制性详细规划修编</w:t>
            </w:r>
            <w:r>
              <w:rPr>
                <w:rFonts w:hint="default" w:ascii="Times New Roman" w:hAnsi="Times New Roman" w:eastAsia="宋体" w:cs="Times New Roman"/>
                <w:color w:val="auto"/>
                <w:sz w:val="24"/>
                <w:highlight w:val="none"/>
              </w:rPr>
              <w:t>》</w:t>
            </w:r>
          </w:p>
        </w:tc>
      </w:tr>
      <w:tr w14:paraId="309580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0B6ADCA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规划环境影响</w:t>
            </w:r>
          </w:p>
          <w:p w14:paraId="5B527D29">
            <w:pPr>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评价情况</w:t>
            </w:r>
          </w:p>
        </w:tc>
        <w:tc>
          <w:tcPr>
            <w:tcW w:w="6892" w:type="dxa"/>
            <w:gridSpan w:val="3"/>
            <w:noWrap w:val="0"/>
            <w:vAlign w:val="center"/>
          </w:tcPr>
          <w:p w14:paraId="1DA6595D">
            <w:pPr>
              <w:pStyle w:val="109"/>
              <w:keepNext w:val="0"/>
              <w:keepLines w:val="0"/>
              <w:pageBreakBefore w:val="0"/>
              <w:tabs>
                <w:tab w:val="left" w:pos="-2848"/>
              </w:tabs>
              <w:kinsoku/>
              <w:wordWrap w:val="0"/>
              <w:overflowPunct/>
              <w:topLinePunct w:val="0"/>
              <w:bidi w:val="0"/>
              <w:adjustRightInd/>
              <w:snapToGrid/>
              <w:spacing w:line="36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pacing w:val="-1"/>
                <w:sz w:val="24"/>
                <w:szCs w:val="24"/>
                <w:highlight w:val="none"/>
              </w:rPr>
              <w:t>《韶关乐昌经济开发区规划环境影响报告书》，</w:t>
            </w:r>
            <w:r>
              <w:rPr>
                <w:rFonts w:hint="default" w:ascii="Times New Roman" w:hAnsi="Times New Roman" w:eastAsia="宋体" w:cs="Times New Roman"/>
                <w:color w:val="auto"/>
                <w:spacing w:val="-1"/>
                <w:sz w:val="24"/>
                <w:szCs w:val="24"/>
                <w:highlight w:val="none"/>
                <w:lang w:eastAsia="zh-CN"/>
              </w:rPr>
              <w:t>审查单位：</w:t>
            </w:r>
            <w:r>
              <w:rPr>
                <w:rFonts w:hint="default" w:ascii="Times New Roman" w:hAnsi="Times New Roman" w:eastAsia="宋体" w:cs="Times New Roman"/>
                <w:color w:val="auto"/>
                <w:spacing w:val="-1"/>
                <w:sz w:val="24"/>
                <w:szCs w:val="24"/>
                <w:highlight w:val="none"/>
              </w:rPr>
              <w:t>广东省</w:t>
            </w:r>
            <w:r>
              <w:rPr>
                <w:rFonts w:hint="default" w:ascii="Times New Roman" w:hAnsi="Times New Roman" w:eastAsia="宋体" w:cs="Times New Roman"/>
                <w:color w:val="auto"/>
                <w:spacing w:val="-1"/>
                <w:sz w:val="24"/>
                <w:szCs w:val="24"/>
                <w:highlight w:val="none"/>
                <w:lang w:val="en-US" w:eastAsia="zh-CN"/>
              </w:rPr>
              <w:t>生态环境</w:t>
            </w:r>
            <w:r>
              <w:rPr>
                <w:rFonts w:hint="default" w:ascii="Times New Roman" w:hAnsi="Times New Roman" w:eastAsia="宋体" w:cs="Times New Roman"/>
                <w:color w:val="auto"/>
                <w:spacing w:val="-1"/>
                <w:sz w:val="24"/>
                <w:szCs w:val="24"/>
                <w:highlight w:val="none"/>
              </w:rPr>
              <w:t>厅，广东省生态环境厅关于印发</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的函</w:t>
            </w:r>
            <w:r>
              <w:rPr>
                <w:rFonts w:hint="default" w:ascii="Times New Roman" w:hAnsi="Times New Roman" w:eastAsia="宋体"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粤环审〔2026〕80 号</w:t>
            </w:r>
          </w:p>
        </w:tc>
      </w:tr>
      <w:tr w14:paraId="257A4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3DB7E6C">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规划及规划环境</w:t>
            </w:r>
          </w:p>
          <w:p w14:paraId="48851F8B">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影响评价符合性分析</w:t>
            </w:r>
          </w:p>
        </w:tc>
        <w:tc>
          <w:tcPr>
            <w:tcW w:w="6892" w:type="dxa"/>
            <w:gridSpan w:val="3"/>
            <w:noWrap w:val="0"/>
            <w:vAlign w:val="center"/>
          </w:tcPr>
          <w:p w14:paraId="34BD84BD">
            <w:pPr>
              <w:keepNext w:val="0"/>
              <w:keepLines w:val="0"/>
              <w:pageBreakBefore w:val="0"/>
              <w:numPr>
                <w:ilvl w:val="0"/>
                <w:numId w:val="0"/>
              </w:numPr>
              <w:tabs>
                <w:tab w:val="left" w:pos="0"/>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highlight w:val="none"/>
              </w:rPr>
              <w:t>根据</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，新引入企业</w:t>
            </w:r>
            <w:r>
              <w:rPr>
                <w:rFonts w:hint="default" w:ascii="Times New Roman" w:hAnsi="Times New Roman" w:eastAsia="宋体" w:cs="Times New Roman"/>
                <w:color w:val="auto"/>
                <w:sz w:val="24"/>
                <w:szCs w:val="24"/>
                <w:vertAlign w:val="baseline"/>
              </w:rPr>
              <w:t>应符合现行有效的《产业结构调整指导目录</w:t>
            </w:r>
            <w:r>
              <w:rPr>
                <w:rFonts w:hint="eastAsia"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lang w:val="en-US" w:eastAsia="zh-CN"/>
              </w:rPr>
              <w:t>2024</w:t>
            </w:r>
            <w:r>
              <w:rPr>
                <w:rFonts w:hint="eastAsia" w:cs="Times New Roman"/>
                <w:color w:val="auto"/>
                <w:sz w:val="24"/>
                <w:szCs w:val="24"/>
                <w:vertAlign w:val="baseline"/>
                <w:lang w:val="en-US" w:eastAsia="zh-CN"/>
              </w:rPr>
              <w:t>年</w:t>
            </w:r>
            <w:r>
              <w:rPr>
                <w:rFonts w:hint="default" w:ascii="Times New Roman" w:hAnsi="Times New Roman" w:eastAsia="宋体" w:cs="Times New Roman"/>
                <w:color w:val="auto"/>
                <w:sz w:val="24"/>
                <w:szCs w:val="24"/>
                <w:vertAlign w:val="baseline"/>
                <w:lang w:val="en-US" w:eastAsia="zh-CN"/>
              </w:rPr>
              <w:t>本</w:t>
            </w:r>
            <w:r>
              <w:rPr>
                <w:rFonts w:hint="eastAsia" w:cs="Times New Roman"/>
                <w:color w:val="auto"/>
                <w:sz w:val="24"/>
                <w:szCs w:val="24"/>
                <w:vertAlign w:val="baseline"/>
                <w:lang w:val="en-US" w:eastAsia="zh-CN"/>
              </w:rPr>
              <w:t>）</w:t>
            </w:r>
            <w:r>
              <w:rPr>
                <w:rFonts w:hint="default" w:ascii="Times New Roman" w:hAnsi="Times New Roman" w:eastAsia="宋体" w:cs="Times New Roman"/>
                <w:color w:val="auto"/>
                <w:sz w:val="24"/>
                <w:szCs w:val="24"/>
                <w:vertAlign w:val="baseline"/>
              </w:rPr>
              <w:t>》、《市场准入负面清单》</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发改体改规〔2025〕466 号</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、《广东省国家重点生态功能区产业准入负面清单(试行</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粤发改规划〔2017〕331 号</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等相关产业政策要求</w:t>
            </w:r>
            <w:r>
              <w:rPr>
                <w:rFonts w:hint="default" w:ascii="Times New Roman" w:hAnsi="Times New Roman" w:eastAsia="宋体" w:cs="Times New Roman"/>
                <w:color w:val="auto"/>
                <w:spacing w:val="-1"/>
                <w:sz w:val="24"/>
                <w:szCs w:val="24"/>
                <w:highlight w:val="none"/>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eastAsia="宋体" w:cs="Times New Roman"/>
                <w:color w:val="auto"/>
                <w:sz w:val="24"/>
                <w:szCs w:val="24"/>
              </w:rPr>
              <w:t>禁止建设生产和使用高VOCs含量的溶剂型涂料、油墨、胶粘剂等项目。</w:t>
            </w:r>
            <w:r>
              <w:rPr>
                <w:rFonts w:hint="default" w:ascii="Times New Roman" w:hAnsi="Times New Roman" w:eastAsia="宋体" w:cs="Times New Roman"/>
                <w:color w:val="auto"/>
                <w:sz w:val="24"/>
                <w:szCs w:val="24"/>
                <w:vertAlign w:val="baseline"/>
              </w:rPr>
              <w:t>禁止新建、扩建专业电镀、鞣革、印染、化学制浆等水污染物排放量大或排放一类污染物、持久性有机污染物的项目。</w:t>
            </w:r>
          </w:p>
          <w:p w14:paraId="58F6471E">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本项目满足国家和地方相关产业政策，</w:t>
            </w:r>
            <w:r>
              <w:rPr>
                <w:rFonts w:hint="default" w:ascii="Times New Roman" w:hAnsi="Times New Roman" w:eastAsia="宋体" w:cs="Times New Roman"/>
                <w:color w:val="auto"/>
                <w:spacing w:val="-1"/>
                <w:sz w:val="24"/>
                <w:szCs w:val="24"/>
                <w:highlight w:val="none"/>
                <w:lang w:val="en-US" w:eastAsia="zh-CN"/>
              </w:rPr>
              <w:t>项目所使用溶剂型涂料均为低挥发性产品，项目</w:t>
            </w:r>
            <w:r>
              <w:rPr>
                <w:rFonts w:hint="default" w:ascii="Times New Roman" w:hAnsi="Times New Roman" w:eastAsia="宋体" w:cs="Times New Roman"/>
                <w:color w:val="auto"/>
                <w:spacing w:val="-1"/>
                <w:sz w:val="24"/>
                <w:szCs w:val="24"/>
                <w:highlight w:val="none"/>
              </w:rPr>
              <w:t>不排放一类污染物和有毒有害物质，不向河流排放含汞、砷、镉、铬、铅等重金属污染物和持久性有机污染物，不属于园区禁止项目，符合园区准入条件。</w:t>
            </w:r>
          </w:p>
          <w:p w14:paraId="0C070EFB">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lang w:val="en-US" w:eastAsia="zh-CN"/>
              </w:rPr>
              <w:t>《韶关乐昌经济开发区规划</w:t>
            </w:r>
          </w:p>
          <w:p w14:paraId="1F06AF07">
            <w:pPr>
              <w:pStyle w:val="15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环境影响报告书审查意见》的</w:t>
            </w:r>
            <w:r>
              <w:rPr>
                <w:rFonts w:hint="eastAsia" w:ascii="Times New Roman" w:hAnsi="Times New Roman" w:eastAsia="宋体" w:cs="Times New Roman"/>
                <w:color w:val="auto"/>
                <w:sz w:val="21"/>
                <w:szCs w:val="21"/>
                <w:highlight w:val="none"/>
                <w:lang w:val="en-US" w:eastAsia="zh-CN"/>
              </w:rPr>
              <w:t>相符性分析</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3324"/>
              <w:gridCol w:w="2172"/>
              <w:gridCol w:w="482"/>
            </w:tblGrid>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02265759">
                  <w:pPr>
                    <w:jc w:val="center"/>
                    <w:rPr>
                      <w:rFonts w:hint="default" w:eastAsiaTheme="minorEastAsia"/>
                      <w:b/>
                      <w:bCs/>
                      <w:color w:val="auto"/>
                      <w:vertAlign w:val="baseline"/>
                      <w:lang w:val="en-US" w:eastAsia="zh-CN"/>
                    </w:rPr>
                  </w:pPr>
                  <w:r>
                    <w:rPr>
                      <w:rFonts w:hint="eastAsia"/>
                      <w:b/>
                      <w:bCs/>
                      <w:color w:val="auto"/>
                      <w:vertAlign w:val="baseline"/>
                      <w:lang w:val="en-US" w:eastAsia="zh-CN"/>
                    </w:rPr>
                    <w:t>管控要求</w:t>
                  </w:r>
                </w:p>
              </w:tc>
              <w:tc>
                <w:tcPr>
                  <w:tcW w:w="3324" w:type="dxa"/>
                  <w:vAlign w:val="center"/>
                </w:tcPr>
                <w:p w14:paraId="034E8FDF">
                  <w:pPr>
                    <w:jc w:val="center"/>
                    <w:rPr>
                      <w:rFonts w:hint="default" w:eastAsiaTheme="minorEastAsia"/>
                      <w:b/>
                      <w:bCs/>
                      <w:color w:val="auto"/>
                      <w:vertAlign w:val="baseline"/>
                      <w:lang w:val="en-US" w:eastAsia="zh-CN"/>
                    </w:rPr>
                  </w:pPr>
                  <w:r>
                    <w:rPr>
                      <w:rFonts w:hint="eastAsia"/>
                      <w:b/>
                      <w:bCs/>
                      <w:color w:val="auto"/>
                      <w:vertAlign w:val="baseline"/>
                      <w:lang w:val="en-US" w:eastAsia="zh-CN"/>
                    </w:rPr>
                    <w:t>总体准入要求</w:t>
                  </w:r>
                </w:p>
              </w:tc>
              <w:tc>
                <w:tcPr>
                  <w:tcW w:w="2172" w:type="dxa"/>
                  <w:vAlign w:val="center"/>
                </w:tcPr>
                <w:p w14:paraId="55B94685">
                  <w:pPr>
                    <w:jc w:val="center"/>
                    <w:rPr>
                      <w:rFonts w:hint="default"/>
                      <w:b/>
                      <w:bCs/>
                      <w:color w:val="auto"/>
                      <w:vertAlign w:val="baseline"/>
                      <w:lang w:val="en-US" w:eastAsia="zh-CN"/>
                    </w:rPr>
                  </w:pPr>
                  <w:r>
                    <w:rPr>
                      <w:rFonts w:hint="eastAsia"/>
                      <w:b/>
                      <w:bCs/>
                      <w:color w:val="auto"/>
                      <w:vertAlign w:val="baseline"/>
                      <w:lang w:val="en-US" w:eastAsia="zh-CN"/>
                    </w:rPr>
                    <w:t>项目情况</w:t>
                  </w:r>
                </w:p>
              </w:tc>
              <w:tc>
                <w:tcPr>
                  <w:tcW w:w="482" w:type="dxa"/>
                  <w:vAlign w:val="center"/>
                </w:tcPr>
                <w:p w14:paraId="7CA629BE">
                  <w:pPr>
                    <w:jc w:val="center"/>
                    <w:rPr>
                      <w:rFonts w:hint="default"/>
                      <w:b/>
                      <w:bCs/>
                      <w:color w:val="auto"/>
                      <w:vertAlign w:val="baseline"/>
                      <w:lang w:val="en-US" w:eastAsia="zh-CN"/>
                    </w:rPr>
                  </w:pPr>
                  <w:r>
                    <w:rPr>
                      <w:rFonts w:hint="eastAsia"/>
                      <w:b/>
                      <w:bCs/>
                      <w:color w:val="auto"/>
                      <w:vertAlign w:val="baseline"/>
                      <w:lang w:val="en-US" w:eastAsia="zh-CN"/>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688" w:type="dxa"/>
                  <w:vAlign w:val="center"/>
                </w:tcPr>
                <w:p w14:paraId="6B5E015F">
                  <w:pPr>
                    <w:jc w:val="center"/>
                    <w:rPr>
                      <w:rFonts w:hint="default" w:eastAsiaTheme="minorEastAsia"/>
                      <w:b/>
                      <w:bCs/>
                      <w:color w:val="auto"/>
                      <w:vertAlign w:val="baseline"/>
                      <w:lang w:val="en-US" w:eastAsia="zh-CN"/>
                    </w:rPr>
                  </w:pPr>
                  <w:r>
                    <w:rPr>
                      <w:rFonts w:hint="eastAsia"/>
                      <w:b/>
                      <w:bCs/>
                      <w:color w:val="auto"/>
                      <w:vertAlign w:val="baseline"/>
                      <w:lang w:val="en-US" w:eastAsia="zh-CN"/>
                    </w:rPr>
                    <w:t>空间布局约束</w:t>
                  </w:r>
                </w:p>
              </w:tc>
              <w:tc>
                <w:tcPr>
                  <w:tcW w:w="3324" w:type="dxa"/>
                  <w:vAlign w:val="center"/>
                </w:tcPr>
                <w:p w14:paraId="256B593B">
                  <w:pPr>
                    <w:jc w:val="center"/>
                    <w:rPr>
                      <w:rFonts w:hint="eastAsia"/>
                      <w:color w:val="auto"/>
                      <w:vertAlign w:val="baseline"/>
                    </w:rPr>
                  </w:pPr>
                  <w:r>
                    <w:rPr>
                      <w:rFonts w:hint="eastAsia"/>
                      <w:color w:val="auto"/>
                      <w:vertAlign w:val="baseline"/>
                    </w:rPr>
                    <w:t>引入产业应符合现行有效的《产业结构调整指导目录》、《市场准入负面清单》、《广东省国家重点生态功能区产业准入负面清单(试行</w:t>
                  </w:r>
                  <w:r>
                    <w:rPr>
                      <w:rFonts w:hint="eastAsia"/>
                      <w:color w:val="auto"/>
                      <w:vertAlign w:val="baseline"/>
                      <w:lang w:eastAsia="zh-CN"/>
                    </w:rPr>
                    <w:t>）</w:t>
                  </w:r>
                  <w:r>
                    <w:rPr>
                      <w:rFonts w:hint="eastAsia"/>
                      <w:color w:val="auto"/>
                      <w:vertAlign w:val="baseline"/>
                    </w:rPr>
                    <w:t>》等相关产业政策要求。</w:t>
                  </w:r>
                </w:p>
                <w:p w14:paraId="31C47328">
                  <w:pPr>
                    <w:jc w:val="center"/>
                    <w:rPr>
                      <w:rFonts w:hint="eastAsia"/>
                      <w:color w:val="auto"/>
                      <w:vertAlign w:val="baseline"/>
                      <w:lang w:val="en-US" w:eastAsia="zh-CN"/>
                    </w:rPr>
                  </w:pPr>
                  <w:r>
                    <w:rPr>
                      <w:rFonts w:hint="eastAsia"/>
                      <w:color w:val="auto"/>
                    </w:rPr>
                    <w:t>严格控制高污染高能耗项目建设。</w:t>
                  </w:r>
                  <w:r>
                    <w:rPr>
                      <w:rFonts w:hint="eastAsia"/>
                      <w:color w:val="auto"/>
                      <w:vertAlign w:val="baseline"/>
                    </w:rPr>
                    <w:t>新、改、扩建项目要达到国内清洁生产先进水平。</w:t>
                  </w:r>
                </w:p>
                <w:p w14:paraId="09EDE0FD">
                  <w:pPr>
                    <w:jc w:val="center"/>
                    <w:rPr>
                      <w:rFonts w:hint="eastAsia"/>
                      <w:color w:val="auto"/>
                      <w:vertAlign w:val="baseline"/>
                      <w:lang w:val="en-US" w:eastAsia="zh-CN"/>
                    </w:rPr>
                  </w:pPr>
                  <w:r>
                    <w:rPr>
                      <w:rFonts w:hint="eastAsia"/>
                      <w:color w:val="auto"/>
                      <w:vertAlign w:val="baseline"/>
                    </w:rPr>
                    <w:t>禁止销售、燃用高污染燃料</w:t>
                  </w:r>
                  <w:r>
                    <w:rPr>
                      <w:rFonts w:hint="eastAsia"/>
                      <w:color w:val="auto"/>
                      <w:vertAlign w:val="baseline"/>
                      <w:lang w:eastAsia="zh-CN"/>
                    </w:rPr>
                    <w:t>；</w:t>
                  </w:r>
                  <w:r>
                    <w:rPr>
                      <w:rFonts w:hint="eastAsia"/>
                      <w:color w:val="auto"/>
                      <w:vertAlign w:val="baseline"/>
                    </w:rPr>
                    <w:t>禁止新建、扩建燃用高污染燃料的设施</w:t>
                  </w:r>
                  <w:r>
                    <w:rPr>
                      <w:rFonts w:hint="eastAsia"/>
                      <w:color w:val="auto"/>
                      <w:vertAlign w:val="baseline"/>
                      <w:lang w:eastAsia="zh-CN"/>
                    </w:rPr>
                    <w:t>；</w:t>
                  </w:r>
                  <w:r>
                    <w:rPr>
                      <w:rFonts w:hint="eastAsia"/>
                      <w:color w:val="auto"/>
                    </w:rPr>
                    <w:t>禁止建设生产和使用高VOCs含量的溶剂型涂料、油墨、胶粘剂等项目。</w:t>
                  </w:r>
                </w:p>
                <w:p w14:paraId="69ED5A52">
                  <w:pPr>
                    <w:jc w:val="center"/>
                    <w:rPr>
                      <w:rFonts w:hint="eastAsia"/>
                      <w:color w:val="auto"/>
                      <w:vertAlign w:val="baseline"/>
                      <w:lang w:val="en-US" w:eastAsia="zh-CN"/>
                    </w:rPr>
                  </w:pPr>
                  <w:r>
                    <w:rPr>
                      <w:rFonts w:hint="eastAsia"/>
                      <w:color w:val="auto"/>
                      <w:vertAlign w:val="baseline"/>
                    </w:rPr>
                    <w:t>禁止新建、扩建专业电镀、鞣革、印染、化学制浆等水污染物排放量大或排放一类污染物、持久性有机污染物的项目。</w:t>
                  </w:r>
                </w:p>
                <w:p w14:paraId="2E4492C1">
                  <w:pPr>
                    <w:jc w:val="center"/>
                    <w:rPr>
                      <w:rFonts w:hint="eastAsia"/>
                      <w:color w:val="auto"/>
                      <w:vertAlign w:val="baseline"/>
                      <w:lang w:val="en-US" w:eastAsia="zh-CN"/>
                    </w:rPr>
                  </w:pPr>
                  <w:r>
                    <w:rPr>
                      <w:rFonts w:hint="eastAsia"/>
                      <w:color w:val="auto"/>
                      <w:vertAlign w:val="baseline"/>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18954211">
                  <w:pPr>
                    <w:jc w:val="center"/>
                    <w:rPr>
                      <w:rFonts w:hint="eastAsia"/>
                      <w:color w:val="auto"/>
                      <w:vertAlign w:val="baseline"/>
                    </w:rPr>
                  </w:pPr>
                  <w:r>
                    <w:rPr>
                      <w:rFonts w:hint="eastAsia"/>
                      <w:color w:val="auto"/>
                      <w:vertAlign w:val="baseline"/>
                    </w:rPr>
                    <w:t>与饮用水源准保护区重叠区域划定为优先保护单元，不进行工业开发利用，禁止新建、扩建对水体污染严重的建设项目，改建项目不得增加排污量。</w:t>
                  </w:r>
                </w:p>
                <w:p w14:paraId="38826741">
                  <w:pPr>
                    <w:jc w:val="center"/>
                    <w:rPr>
                      <w:rFonts w:hint="eastAsia"/>
                      <w:color w:val="auto"/>
                      <w:vertAlign w:val="baseline"/>
                      <w:lang w:val="en-US" w:eastAsia="zh-CN"/>
                    </w:rPr>
                  </w:pPr>
                  <w:r>
                    <w:rPr>
                      <w:rFonts w:hint="eastAsia"/>
                      <w:color w:val="auto"/>
                      <w:vertAlign w:val="baseline"/>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2172" w:type="dxa"/>
                  <w:vAlign w:val="center"/>
                </w:tcPr>
                <w:p w14:paraId="72148161">
                  <w:pPr>
                    <w:jc w:val="center"/>
                    <w:rPr>
                      <w:rFonts w:hint="default"/>
                      <w:color w:val="auto"/>
                      <w:vertAlign w:val="baseline"/>
                      <w:lang w:val="en-US" w:eastAsia="zh-CN"/>
                    </w:rPr>
                  </w:pPr>
                  <w:r>
                    <w:rPr>
                      <w:rFonts w:hint="default" w:ascii="Times New Roman" w:hAnsi="Times New Roman" w:cs="Times New Roman"/>
                      <w:color w:val="auto"/>
                      <w:sz w:val="21"/>
                      <w:szCs w:val="21"/>
                      <w:highlight w:val="none"/>
                    </w:rPr>
                    <w:t>本项目为金属表面处理及热处理加工行业，不属于造纸、焦化、有色金属、印染、农副食品加工、原料药制造、制革、农药、电镀等行业，不属于“两高”项目。</w:t>
                  </w:r>
                  <w:r>
                    <w:rPr>
                      <w:rFonts w:hint="default" w:ascii="Times New Roman" w:hAnsi="Times New Roman" w:eastAsia="宋体" w:cs="Times New Roman"/>
                      <w:color w:val="auto"/>
                      <w:spacing w:val="-1"/>
                      <w:sz w:val="21"/>
                      <w:szCs w:val="21"/>
                      <w:highlight w:val="none"/>
                    </w:rPr>
                    <w:t>本项目满足国家和地方相关产业政策，</w:t>
                  </w:r>
                  <w:r>
                    <w:rPr>
                      <w:rFonts w:hint="default" w:ascii="Times New Roman" w:hAnsi="Times New Roman" w:eastAsia="宋体" w:cs="Times New Roman"/>
                      <w:color w:val="auto"/>
                      <w:spacing w:val="-1"/>
                      <w:sz w:val="21"/>
                      <w:szCs w:val="21"/>
                      <w:highlight w:val="none"/>
                      <w:lang w:val="en-US" w:eastAsia="zh-CN"/>
                    </w:rPr>
                    <w:t>项目所使用溶剂型涂料</w:t>
                  </w:r>
                  <w:r>
                    <w:rPr>
                      <w:rFonts w:hint="eastAsia" w:cs="Times New Roman"/>
                      <w:color w:val="auto"/>
                      <w:spacing w:val="-1"/>
                      <w:sz w:val="21"/>
                      <w:szCs w:val="21"/>
                      <w:highlight w:val="none"/>
                      <w:lang w:val="en-US" w:eastAsia="zh-CN"/>
                    </w:rPr>
                    <w:t>等</w:t>
                  </w:r>
                  <w:r>
                    <w:rPr>
                      <w:rFonts w:hint="default" w:ascii="Times New Roman" w:hAnsi="Times New Roman" w:eastAsia="宋体" w:cs="Times New Roman"/>
                      <w:color w:val="auto"/>
                      <w:spacing w:val="-1"/>
                      <w:sz w:val="21"/>
                      <w:szCs w:val="21"/>
                      <w:highlight w:val="none"/>
                      <w:lang w:val="en-US" w:eastAsia="zh-CN"/>
                    </w:rPr>
                    <w:t>均为低</w:t>
                  </w:r>
                  <w:r>
                    <w:rPr>
                      <w:rFonts w:hint="eastAsia" w:cs="Times New Roman"/>
                      <w:color w:val="auto"/>
                      <w:spacing w:val="-1"/>
                      <w:sz w:val="21"/>
                      <w:szCs w:val="21"/>
                      <w:highlight w:val="none"/>
                      <w:lang w:val="en-US" w:eastAsia="zh-CN"/>
                    </w:rPr>
                    <w:t>VOCs含量</w:t>
                  </w:r>
                  <w:r>
                    <w:rPr>
                      <w:rFonts w:hint="default" w:ascii="Times New Roman" w:hAnsi="Times New Roman" w:eastAsia="宋体" w:cs="Times New Roman"/>
                      <w:color w:val="auto"/>
                      <w:spacing w:val="-1"/>
                      <w:sz w:val="21"/>
                      <w:szCs w:val="21"/>
                      <w:highlight w:val="none"/>
                      <w:lang w:val="en-US" w:eastAsia="zh-CN"/>
                    </w:rPr>
                    <w:t>产品，项目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default" w:ascii="Times New Roman" w:hAnsi="Times New Roman" w:cs="Times New Roman"/>
                      <w:color w:val="auto"/>
                      <w:sz w:val="21"/>
                      <w:szCs w:val="21"/>
                      <w:highlight w:val="none"/>
                    </w:rPr>
                    <w:t>。</w:t>
                  </w:r>
                </w:p>
              </w:tc>
              <w:tc>
                <w:tcPr>
                  <w:tcW w:w="482" w:type="dxa"/>
                  <w:vAlign w:val="center"/>
                </w:tcPr>
                <w:p w14:paraId="0999741C">
                  <w:pPr>
                    <w:jc w:val="center"/>
                    <w:rPr>
                      <w:rFonts w:hint="default"/>
                      <w:color w:val="auto"/>
                      <w:vertAlign w:val="baseline"/>
                      <w:lang w:val="en-US" w:eastAsia="zh-CN"/>
                    </w:rPr>
                  </w:pPr>
                  <w:r>
                    <w:rPr>
                      <w:rFonts w:hint="eastAsia"/>
                      <w:color w:val="auto"/>
                      <w:vertAlign w:val="baseline"/>
                      <w:lang w:val="en-US" w:eastAsia="zh-CN"/>
                    </w:rPr>
                    <w:t>相符</w:t>
                  </w:r>
                </w:p>
              </w:tc>
            </w:tr>
            <w:tr w14:paraId="4392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88" w:type="dxa"/>
                  <w:vAlign w:val="center"/>
                </w:tcPr>
                <w:p w14:paraId="357B90F9">
                  <w:pPr>
                    <w:jc w:val="center"/>
                    <w:rPr>
                      <w:rFonts w:hint="default" w:eastAsiaTheme="minorEastAsia"/>
                      <w:b/>
                      <w:bCs/>
                      <w:color w:val="auto"/>
                      <w:vertAlign w:val="baseline"/>
                      <w:lang w:val="en-US" w:eastAsia="zh-CN"/>
                    </w:rPr>
                  </w:pPr>
                  <w:r>
                    <w:rPr>
                      <w:rFonts w:hint="eastAsia"/>
                      <w:b/>
                      <w:bCs/>
                      <w:color w:val="auto"/>
                      <w:vertAlign w:val="baseline"/>
                      <w:lang w:val="en-US" w:eastAsia="zh-CN"/>
                    </w:rPr>
                    <w:t>污染物排放管控</w:t>
                  </w:r>
                </w:p>
              </w:tc>
              <w:tc>
                <w:tcPr>
                  <w:tcW w:w="3324" w:type="dxa"/>
                  <w:vAlign w:val="center"/>
                </w:tcPr>
                <w:p w14:paraId="17608DDC">
                  <w:pPr>
                    <w:numPr>
                      <w:ilvl w:val="0"/>
                      <w:numId w:val="0"/>
                    </w:numPr>
                    <w:jc w:val="center"/>
                    <w:rPr>
                      <w:rFonts w:hint="eastAsia"/>
                      <w:color w:val="auto"/>
                      <w:vertAlign w:val="baseline"/>
                    </w:rPr>
                  </w:pPr>
                  <w:r>
                    <w:rPr>
                      <w:rFonts w:hint="eastAsia"/>
                      <w:color w:val="auto"/>
                      <w:vertAlign w:val="baseline"/>
                    </w:rPr>
                    <w:t>在可核查、可监管的基础上，新建项目原则上实施氮氧化物(NOx)和挥发性有机物(VOCs)等量替代。</w:t>
                  </w:r>
                </w:p>
                <w:p w14:paraId="1217B418">
                  <w:pPr>
                    <w:jc w:val="center"/>
                    <w:rPr>
                      <w:rFonts w:hint="eastAsia"/>
                      <w:color w:val="auto"/>
                      <w:vertAlign w:val="baseline"/>
                      <w:lang w:val="en-US" w:eastAsia="zh-CN"/>
                    </w:rPr>
                  </w:pPr>
                  <w:r>
                    <w:rPr>
                      <w:rFonts w:hint="eastAsia"/>
                      <w:color w:val="auto"/>
                      <w:vertAlign w:val="baseline"/>
                    </w:rPr>
                    <w:t>根据《广东省生态环境厅关于在重点区域执行污染物特别排放限值的公告》(粤环发(2023)1号)要求，执行相应特别排放限值要求。</w:t>
                  </w:r>
                </w:p>
                <w:p w14:paraId="11EDA0F2">
                  <w:pPr>
                    <w:jc w:val="center"/>
                    <w:rPr>
                      <w:rFonts w:hint="eastAsia"/>
                      <w:color w:val="auto"/>
                      <w:vertAlign w:val="baseline"/>
                      <w:lang w:val="en-US" w:eastAsia="zh-CN"/>
                    </w:rPr>
                  </w:pPr>
                  <w:r>
                    <w:rPr>
                      <w:rFonts w:hint="eastAsia"/>
                      <w:color w:val="auto"/>
                      <w:vertAlign w:val="baseline"/>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557F8C9C">
                  <w:pPr>
                    <w:jc w:val="center"/>
                    <w:rPr>
                      <w:rFonts w:hint="eastAsia"/>
                      <w:color w:val="auto"/>
                      <w:vertAlign w:val="baseline"/>
                      <w:lang w:val="en-US" w:eastAsia="zh-CN"/>
                    </w:rPr>
                  </w:pPr>
                  <w:r>
                    <w:rPr>
                      <w:rFonts w:hint="eastAsia"/>
                      <w:color w:val="auto"/>
                      <w:vertAlign w:val="baseline"/>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474FB97C">
                  <w:pPr>
                    <w:jc w:val="center"/>
                    <w:rPr>
                      <w:rFonts w:hint="eastAsia"/>
                      <w:color w:val="auto"/>
                      <w:vertAlign w:val="baseline"/>
                      <w:lang w:val="en-US" w:eastAsia="zh-CN"/>
                    </w:rPr>
                  </w:pPr>
                  <w:r>
                    <w:rPr>
                      <w:rFonts w:hint="eastAsia"/>
                      <w:color w:val="auto"/>
                      <w:vertAlign w:val="baseline"/>
                    </w:rPr>
                    <w:t>产生固体废物(含危险废物)的企业须配套建设符合规范且满足需求的贮存场所，固体废物(含危险废物)贮存、转移过程中应配套防扬散、防流失、防渗漏及其它防止污染环境的措施。</w:t>
                  </w:r>
                </w:p>
                <w:p w14:paraId="64BD7CD4">
                  <w:pPr>
                    <w:jc w:val="center"/>
                    <w:rPr>
                      <w:rFonts w:hint="eastAsia"/>
                      <w:color w:val="auto"/>
                      <w:vertAlign w:val="baseline"/>
                      <w:lang w:val="en-US" w:eastAsia="zh-CN"/>
                    </w:rPr>
                  </w:pPr>
                  <w:r>
                    <w:rPr>
                      <w:rFonts w:hint="eastAsia"/>
                      <w:color w:val="auto"/>
                      <w:vertAlign w:val="baseline"/>
                    </w:rPr>
                    <w:t>重点重金属按照韶关市生态环境分区管控要求执行。</w:t>
                  </w:r>
                </w:p>
              </w:tc>
              <w:tc>
                <w:tcPr>
                  <w:tcW w:w="2172" w:type="dxa"/>
                  <w:vAlign w:val="center"/>
                </w:tcPr>
                <w:p w14:paraId="0222A704">
                  <w:pPr>
                    <w:jc w:val="center"/>
                    <w:rPr>
                      <w:rFonts w:hint="eastAsia" w:eastAsia="宋体"/>
                      <w:color w:val="auto"/>
                      <w:vertAlign w:val="baseline"/>
                      <w:lang w:val="en-US" w:eastAsia="zh-CN"/>
                    </w:rPr>
                  </w:pPr>
                  <w:r>
                    <w:rPr>
                      <w:rFonts w:hint="default" w:ascii="Times New Roman" w:hAnsi="Times New Roman" w:eastAsia="宋体" w:cs="Times New Roman"/>
                      <w:color w:val="auto"/>
                      <w:spacing w:val="-1"/>
                      <w:sz w:val="21"/>
                      <w:szCs w:val="21"/>
                      <w:highlight w:val="none"/>
                      <w:lang w:val="en-US" w:eastAsia="zh-CN"/>
                    </w:rPr>
                    <w:t>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eastAsia" w:ascii="Times New Roman" w:hAnsi="Times New Roman" w:eastAsia="宋体" w:cs="Times New Roman"/>
                      <w:color w:val="auto"/>
                      <w:spacing w:val="-1"/>
                      <w:sz w:val="21"/>
                      <w:szCs w:val="21"/>
                      <w:highlight w:val="none"/>
                      <w:lang w:eastAsia="zh-CN"/>
                    </w:rPr>
                    <w:t>。</w:t>
                  </w:r>
                  <w:r>
                    <w:rPr>
                      <w:rFonts w:hint="default" w:ascii="Times New Roman" w:hAnsi="Times New Roman" w:cs="Times New Roman"/>
                      <w:color w:val="auto"/>
                      <w:sz w:val="21"/>
                      <w:szCs w:val="21"/>
                      <w:highlight w:val="none"/>
                    </w:rPr>
                    <w:t>氮氧化物</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VOCs实行总量控制。项目所在地不涉及饮用水水源保护区，外排生产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r>
                    <w:rPr>
                      <w:rFonts w:hint="eastAsia"/>
                      <w:color w:val="auto"/>
                      <w:sz w:val="21"/>
                      <w:szCs w:val="21"/>
                      <w:highlight w:val="none"/>
                      <w:lang w:val="en-US" w:eastAsia="zh-CN"/>
                    </w:rPr>
                    <w:t>深度处理</w:t>
                  </w:r>
                  <w:r>
                    <w:rPr>
                      <w:rFonts w:hint="eastAsia"/>
                      <w:color w:val="auto"/>
                      <w:sz w:val="21"/>
                      <w:szCs w:val="21"/>
                      <w:highlight w:val="none"/>
                    </w:rPr>
                    <w:t>，</w:t>
                  </w:r>
                  <w:r>
                    <w:rPr>
                      <w:rFonts w:hint="eastAsia"/>
                      <w:color w:val="auto"/>
                      <w:sz w:val="21"/>
                      <w:szCs w:val="21"/>
                      <w:highlight w:val="none"/>
                      <w:lang w:val="en-US" w:eastAsia="zh-CN"/>
                    </w:rPr>
                    <w:t>处理</w:t>
                  </w:r>
                  <w:r>
                    <w:rPr>
                      <w:rFonts w:hint="eastAsia"/>
                      <w:color w:val="auto"/>
                      <w:sz w:val="21"/>
                      <w:szCs w:val="21"/>
                      <w:highlight w:val="none"/>
                    </w:rPr>
                    <w:t>达标后通过出水管道输送</w:t>
                  </w:r>
                  <w:r>
                    <w:rPr>
                      <w:rFonts w:hint="eastAsia"/>
                      <w:color w:val="auto"/>
                      <w:sz w:val="21"/>
                      <w:szCs w:val="21"/>
                      <w:highlight w:val="none"/>
                      <w:lang w:val="en-US" w:eastAsia="zh-CN"/>
                    </w:rPr>
                    <w:t>尾水</w:t>
                  </w:r>
                  <w:r>
                    <w:rPr>
                      <w:rFonts w:hint="eastAsia"/>
                      <w:color w:val="auto"/>
                      <w:sz w:val="21"/>
                      <w:szCs w:val="21"/>
                      <w:highlight w:val="none"/>
                      <w:lang w:eastAsia="zh-CN"/>
                    </w:rPr>
                    <w:t>，</w:t>
                  </w:r>
                  <w:r>
                    <w:rPr>
                      <w:rFonts w:hint="eastAsia"/>
                      <w:color w:val="auto"/>
                      <w:sz w:val="21"/>
                      <w:szCs w:val="21"/>
                      <w:highlight w:val="none"/>
                      <w:lang w:val="en-US" w:eastAsia="zh-CN"/>
                    </w:rPr>
                    <w:t>经</w:t>
                  </w:r>
                  <w:r>
                    <w:rPr>
                      <w:rFonts w:hint="eastAsia"/>
                      <w:color w:val="auto"/>
                      <w:sz w:val="21"/>
                      <w:szCs w:val="21"/>
                      <w:highlight w:val="none"/>
                    </w:rPr>
                    <w:t>废水排放口</w:t>
                  </w:r>
                  <w:r>
                    <w:rPr>
                      <w:rFonts w:hint="eastAsia"/>
                      <w:color w:val="auto"/>
                      <w:sz w:val="21"/>
                      <w:szCs w:val="21"/>
                      <w:highlight w:val="none"/>
                      <w:lang w:eastAsia="zh-CN"/>
                    </w:rPr>
                    <w:t>（</w:t>
                  </w:r>
                  <w:r>
                    <w:rPr>
                      <w:rFonts w:hint="eastAsia"/>
                      <w:color w:val="auto"/>
                      <w:sz w:val="21"/>
                      <w:szCs w:val="21"/>
                      <w:highlight w:val="none"/>
                    </w:rPr>
                    <w:t>WS-LC005001</w:t>
                  </w:r>
                  <w:r>
                    <w:rPr>
                      <w:rFonts w:hint="eastAsia"/>
                      <w:color w:val="auto"/>
                      <w:sz w:val="21"/>
                      <w:szCs w:val="21"/>
                      <w:highlight w:val="none"/>
                      <w:lang w:eastAsia="zh-CN"/>
                    </w:rPr>
                    <w:t>）</w:t>
                  </w:r>
                  <w:r>
                    <w:rPr>
                      <w:rFonts w:hint="eastAsia"/>
                      <w:color w:val="auto"/>
                      <w:sz w:val="21"/>
                      <w:szCs w:val="21"/>
                      <w:highlight w:val="none"/>
                      <w:lang w:val="en-US" w:eastAsia="zh-CN"/>
                    </w:rPr>
                    <w:t>排放至</w:t>
                  </w:r>
                  <w:r>
                    <w:rPr>
                      <w:rFonts w:hint="eastAsia"/>
                      <w:color w:val="auto"/>
                      <w:sz w:val="21"/>
                      <w:szCs w:val="21"/>
                      <w:highlight w:val="none"/>
                    </w:rPr>
                    <w:t>榴村霜降坑河</w:t>
                  </w:r>
                  <w:r>
                    <w:rPr>
                      <w:rFonts w:hint="eastAsia"/>
                      <w:color w:val="auto"/>
                      <w:sz w:val="21"/>
                      <w:szCs w:val="21"/>
                      <w:highlight w:val="none"/>
                      <w:lang w:eastAsia="zh-CN"/>
                    </w:rPr>
                    <w:t>，</w:t>
                  </w:r>
                  <w:r>
                    <w:rPr>
                      <w:rFonts w:hint="eastAsia"/>
                      <w:color w:val="auto"/>
                      <w:sz w:val="21"/>
                      <w:szCs w:val="21"/>
                      <w:highlight w:val="none"/>
                      <w:lang w:val="en-US" w:eastAsia="zh-CN"/>
                    </w:rPr>
                    <w:t>最终</w:t>
                  </w:r>
                  <w:r>
                    <w:rPr>
                      <w:rFonts w:hint="eastAsia"/>
                      <w:color w:val="auto"/>
                      <w:sz w:val="21"/>
                      <w:szCs w:val="21"/>
                      <w:highlight w:val="none"/>
                    </w:rPr>
                    <w:t>流入武江</w:t>
                  </w:r>
                  <w:r>
                    <w:rPr>
                      <w:rFonts w:hint="default" w:ascii="Times New Roman" w:hAnsi="Times New Roman" w:cs="Times New Roman"/>
                      <w:color w:val="auto"/>
                      <w:sz w:val="21"/>
                      <w:szCs w:val="21"/>
                      <w:highlight w:val="none"/>
                    </w:rPr>
                    <w:t>；生活污水经三级化粪池</w:t>
                  </w:r>
                  <w:r>
                    <w:rPr>
                      <w:rFonts w:hint="default" w:ascii="Times New Roman" w:hAnsi="Times New Roman" w:cs="Times New Roman"/>
                      <w:color w:val="auto"/>
                      <w:sz w:val="21"/>
                      <w:szCs w:val="21"/>
                      <w:highlight w:val="none"/>
                      <w:lang w:val="en-US" w:eastAsia="zh-CN"/>
                    </w:rPr>
                    <w:t>+隔油隔渣池</w:t>
                  </w:r>
                  <w:r>
                    <w:rPr>
                      <w:rFonts w:hint="default" w:ascii="Times New Roman" w:hAnsi="Times New Roman" w:cs="Times New Roman"/>
                      <w:color w:val="auto"/>
                      <w:sz w:val="21"/>
                      <w:szCs w:val="21"/>
                      <w:highlight w:val="none"/>
                    </w:rPr>
                    <w:t>处理后排入园区污水处理厂，园区污水处理厂执行《城镇污水处理厂污染物排放标准》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GB18918-2002</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中</w:t>
                  </w:r>
                  <w:r>
                    <w:rPr>
                      <w:rFonts w:hint="eastAsia" w:cs="Times New Roman"/>
                      <w:color w:val="auto"/>
                      <w:sz w:val="21"/>
                      <w:szCs w:val="21"/>
                      <w:highlight w:val="none"/>
                      <w:lang w:eastAsia="zh-CN"/>
                    </w:rPr>
                    <w:t>及其修改单一级 A 标准</w:t>
                  </w:r>
                  <w:r>
                    <w:rPr>
                      <w:rFonts w:hint="default" w:ascii="Times New Roman" w:hAnsi="Times New Roman" w:cs="Times New Roman"/>
                      <w:color w:val="auto"/>
                      <w:sz w:val="21"/>
                      <w:szCs w:val="21"/>
                      <w:highlight w:val="none"/>
                    </w:rPr>
                    <w:t>和广东省《水污染物排放限值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（DB44/26-2001）中的第二时段一级排放标准中严者。</w:t>
                  </w:r>
                </w:p>
              </w:tc>
              <w:tc>
                <w:tcPr>
                  <w:tcW w:w="482" w:type="dxa"/>
                  <w:vAlign w:val="center"/>
                </w:tcPr>
                <w:p w14:paraId="49114389">
                  <w:pPr>
                    <w:jc w:val="center"/>
                    <w:rPr>
                      <w:rFonts w:hint="eastAsia"/>
                      <w:color w:val="auto"/>
                      <w:vertAlign w:val="baseline"/>
                      <w:lang w:val="en-US" w:eastAsia="zh-CN"/>
                    </w:rPr>
                  </w:pPr>
                  <w:r>
                    <w:rPr>
                      <w:rFonts w:hint="eastAsia"/>
                      <w:color w:val="auto"/>
                      <w:vertAlign w:val="baseline"/>
                      <w:lang w:val="en-US" w:eastAsia="zh-CN"/>
                    </w:rPr>
                    <w:t>相符</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688" w:type="dxa"/>
                  <w:vAlign w:val="center"/>
                </w:tcPr>
                <w:p w14:paraId="455C11EF">
                  <w:pPr>
                    <w:jc w:val="center"/>
                    <w:rPr>
                      <w:rFonts w:hint="default" w:eastAsiaTheme="minorEastAsia"/>
                      <w:b/>
                      <w:bCs/>
                      <w:color w:val="auto"/>
                      <w:vertAlign w:val="baseline"/>
                      <w:lang w:val="en-US" w:eastAsia="zh-CN"/>
                    </w:rPr>
                  </w:pPr>
                  <w:r>
                    <w:rPr>
                      <w:rFonts w:hint="eastAsia"/>
                      <w:b/>
                      <w:bCs/>
                      <w:color w:val="auto"/>
                      <w:vertAlign w:val="baseline"/>
                      <w:lang w:val="en-US" w:eastAsia="zh-CN"/>
                    </w:rPr>
                    <w:t>环境风险管控</w:t>
                  </w:r>
                </w:p>
              </w:tc>
              <w:tc>
                <w:tcPr>
                  <w:tcW w:w="3324" w:type="dxa"/>
                  <w:vAlign w:val="center"/>
                </w:tcPr>
                <w:p w14:paraId="25F061C1">
                  <w:pPr>
                    <w:numPr>
                      <w:ilvl w:val="0"/>
                      <w:numId w:val="0"/>
                    </w:numPr>
                    <w:ind w:left="0" w:leftChars="0" w:firstLine="0" w:firstLineChars="0"/>
                    <w:jc w:val="center"/>
                    <w:rPr>
                      <w:rFonts w:hint="eastAsia"/>
                      <w:color w:val="auto"/>
                      <w:vertAlign w:val="baseline"/>
                    </w:rPr>
                  </w:pPr>
                  <w:r>
                    <w:rPr>
                      <w:rFonts w:hint="eastAsia"/>
                      <w:color w:val="auto"/>
                      <w:vertAlign w:val="baseline"/>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0F72638C">
                  <w:pPr>
                    <w:numPr>
                      <w:ilvl w:val="0"/>
                      <w:numId w:val="0"/>
                    </w:numPr>
                    <w:ind w:leftChars="0"/>
                    <w:jc w:val="center"/>
                    <w:rPr>
                      <w:rFonts w:hint="eastAsia"/>
                      <w:color w:val="auto"/>
                      <w:vertAlign w:val="baseline"/>
                      <w:lang w:val="en-US" w:eastAsia="zh-CN"/>
                    </w:rPr>
                  </w:pPr>
                  <w:r>
                    <w:rPr>
                      <w:rFonts w:hint="eastAsia"/>
                      <w:color w:val="auto"/>
                      <w:vertAlign w:val="baseline"/>
                    </w:rPr>
                    <w:t>涉及生产废水排放企业需配套有效措施，防止事故废水直排污染地表水体，防止因渗漏污染地下水。</w:t>
                  </w:r>
                </w:p>
                <w:p w14:paraId="3E690A33">
                  <w:pPr>
                    <w:numPr>
                      <w:ilvl w:val="0"/>
                      <w:numId w:val="0"/>
                    </w:numPr>
                    <w:ind w:leftChars="0"/>
                    <w:jc w:val="center"/>
                    <w:rPr>
                      <w:color w:val="auto"/>
                      <w:vertAlign w:val="baseline"/>
                    </w:rPr>
                  </w:pPr>
                  <w:r>
                    <w:rPr>
                      <w:rFonts w:hint="eastAsia"/>
                      <w:color w:val="auto"/>
                      <w:vertAlign w:val="baseline"/>
                    </w:rPr>
                    <w:t>应符合《韶关市人民政府关于印发韶关市“三线一单"生态环境分区管控方案的通知》(韶府(2021)10号)、《韶关市生态环境分区管控动态更新成果》及后续生态环境分区管控动态更新要求</w:t>
                  </w:r>
                </w:p>
              </w:tc>
              <w:tc>
                <w:tcPr>
                  <w:tcW w:w="2172" w:type="dxa"/>
                  <w:vAlign w:val="center"/>
                </w:tcPr>
                <w:p w14:paraId="43DB271E">
                  <w:pPr>
                    <w:numPr>
                      <w:ilvl w:val="0"/>
                      <w:numId w:val="0"/>
                    </w:numPr>
                    <w:ind w:leftChars="0"/>
                    <w:jc w:val="center"/>
                    <w:rPr>
                      <w:rFonts w:hint="eastAsia"/>
                      <w:color w:val="auto"/>
                      <w:vertAlign w:val="baseline"/>
                      <w:lang w:val="en-US" w:eastAsia="zh-CN"/>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482" w:type="dxa"/>
                  <w:vAlign w:val="center"/>
                </w:tcPr>
                <w:p w14:paraId="270D4C84">
                  <w:pPr>
                    <w:numPr>
                      <w:ilvl w:val="0"/>
                      <w:numId w:val="0"/>
                    </w:numPr>
                    <w:ind w:leftChars="0"/>
                    <w:jc w:val="center"/>
                    <w:rPr>
                      <w:rFonts w:hint="eastAsia"/>
                      <w:color w:val="auto"/>
                      <w:vertAlign w:val="baseline"/>
                      <w:lang w:val="en-US" w:eastAsia="zh-CN"/>
                    </w:rPr>
                  </w:pPr>
                  <w:r>
                    <w:rPr>
                      <w:rFonts w:hint="eastAsia"/>
                      <w:color w:val="auto"/>
                      <w:vertAlign w:val="baseline"/>
                      <w:lang w:val="en-US" w:eastAsia="zh-CN"/>
                    </w:rPr>
                    <w:t>相符</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trPr>
              <w:tc>
                <w:tcPr>
                  <w:tcW w:w="688" w:type="dxa"/>
                  <w:vAlign w:val="center"/>
                </w:tcPr>
                <w:p w14:paraId="03DC78EE">
                  <w:pPr>
                    <w:jc w:val="center"/>
                    <w:rPr>
                      <w:rFonts w:hint="default" w:eastAsiaTheme="minorEastAsia"/>
                      <w:b/>
                      <w:bCs/>
                      <w:color w:val="auto"/>
                      <w:vertAlign w:val="baseline"/>
                      <w:lang w:val="en-US" w:eastAsia="zh-CN"/>
                    </w:rPr>
                  </w:pPr>
                  <w:r>
                    <w:rPr>
                      <w:rFonts w:hint="eastAsia"/>
                      <w:b/>
                      <w:bCs/>
                      <w:color w:val="auto"/>
                      <w:vertAlign w:val="baseline"/>
                      <w:lang w:val="en-US" w:eastAsia="zh-CN"/>
                    </w:rPr>
                    <w:t>资源开发利用管理</w:t>
                  </w:r>
                </w:p>
              </w:tc>
              <w:tc>
                <w:tcPr>
                  <w:tcW w:w="3324" w:type="dxa"/>
                  <w:vAlign w:val="center"/>
                </w:tcPr>
                <w:p w14:paraId="621A37A3">
                  <w:pPr>
                    <w:jc w:val="center"/>
                    <w:rPr>
                      <w:rFonts w:hint="eastAsia"/>
                      <w:color w:val="auto"/>
                      <w:vertAlign w:val="baseline"/>
                    </w:rPr>
                  </w:pPr>
                  <w:r>
                    <w:rPr>
                      <w:rFonts w:hint="eastAsia"/>
                      <w:color w:val="auto"/>
                      <w:vertAlign w:val="baseline"/>
                    </w:rPr>
                    <w:t>禁止使用高污染燃料，建议使用电能、天然气等清洁能源。</w:t>
                  </w:r>
                </w:p>
                <w:p w14:paraId="61D3E95D">
                  <w:pPr>
                    <w:jc w:val="center"/>
                    <w:rPr>
                      <w:rFonts w:hint="eastAsia" w:eastAsiaTheme="minorEastAsia"/>
                      <w:color w:val="auto"/>
                      <w:vertAlign w:val="baseline"/>
                      <w:lang w:eastAsia="zh-CN"/>
                    </w:rPr>
                  </w:pPr>
                  <w:r>
                    <w:rPr>
                      <w:rFonts w:hint="eastAsia"/>
                      <w:color w:val="auto"/>
                      <w:vertAlign w:val="baseline"/>
                    </w:rPr>
                    <w:t>贯彻落实“节水优先”方针，实行最严格水资源管理制度</w:t>
                  </w:r>
                  <w:r>
                    <w:rPr>
                      <w:rFonts w:hint="eastAsia"/>
                      <w:color w:val="auto"/>
                      <w:vertAlign w:val="baseline"/>
                      <w:lang w:eastAsia="zh-CN"/>
                    </w:rPr>
                    <w:t>。</w:t>
                  </w:r>
                </w:p>
                <w:p w14:paraId="4672DF94">
                  <w:pPr>
                    <w:jc w:val="center"/>
                    <w:rPr>
                      <w:rFonts w:hint="eastAsia" w:eastAsiaTheme="minorEastAsia"/>
                      <w:color w:val="auto"/>
                      <w:vertAlign w:val="baseline"/>
                      <w:lang w:eastAsia="zh-CN"/>
                    </w:rPr>
                  </w:pPr>
                  <w:r>
                    <w:rPr>
                      <w:rFonts w:hint="eastAsia"/>
                      <w:color w:val="auto"/>
                      <w:vertAlign w:val="baseline"/>
                    </w:rPr>
                    <w:t>符合《韶关市人民政府关于印发韶关市“三线一单”生态环境分区管控方案的通知》(韶府(2021)10号)《韶关市生态环境分区管控动态更新成果》及后续生态环境分区管控动态更新要求</w:t>
                  </w:r>
                  <w:r>
                    <w:rPr>
                      <w:rFonts w:hint="eastAsia"/>
                      <w:color w:val="auto"/>
                      <w:vertAlign w:val="baseline"/>
                      <w:lang w:eastAsia="zh-CN"/>
                    </w:rPr>
                    <w:t>。</w:t>
                  </w:r>
                </w:p>
              </w:tc>
              <w:tc>
                <w:tcPr>
                  <w:tcW w:w="2172" w:type="dxa"/>
                  <w:vAlign w:val="center"/>
                </w:tcPr>
                <w:p w14:paraId="7765BF25">
                  <w:pPr>
                    <w:jc w:val="center"/>
                    <w:rPr>
                      <w:rFonts w:hint="eastAsia"/>
                      <w:color w:val="auto"/>
                      <w:vertAlign w:val="baseline"/>
                    </w:rPr>
                  </w:pPr>
                  <w:r>
                    <w:rPr>
                      <w:rFonts w:hint="default" w:ascii="Times New Roman" w:hAnsi="Times New Roman" w:cs="Times New Roman"/>
                      <w:color w:val="auto"/>
                      <w:sz w:val="21"/>
                      <w:szCs w:val="21"/>
                      <w:highlight w:val="none"/>
                    </w:rPr>
                    <w:t>本项目</w:t>
                  </w:r>
                  <w:r>
                    <w:rPr>
                      <w:rFonts w:hint="default" w:ascii="Times New Roman" w:hAnsi="Times New Roman" w:cs="Times New Roman"/>
                      <w:color w:val="auto"/>
                      <w:sz w:val="21"/>
                      <w:szCs w:val="21"/>
                      <w:highlight w:val="none"/>
                      <w:lang w:eastAsia="zh-CN"/>
                    </w:rPr>
                    <w:t>属于</w:t>
                  </w:r>
                  <w:r>
                    <w:rPr>
                      <w:rFonts w:hint="default" w:ascii="Times New Roman" w:hAnsi="Times New Roman" w:cs="Times New Roman"/>
                      <w:color w:val="auto"/>
                      <w:sz w:val="21"/>
                      <w:szCs w:val="21"/>
                      <w:highlight w:val="none"/>
                    </w:rPr>
                    <w:t>金属表面处理及热处理加工行业，不属于电力、建材、冶炼等重点耗能行业，不涉及水电、风电、矿产资源开发。项目</w:t>
                  </w:r>
                  <w:r>
                    <w:rPr>
                      <w:rFonts w:hint="eastAsia" w:cs="Times New Roman"/>
                      <w:color w:val="auto"/>
                      <w:sz w:val="21"/>
                      <w:szCs w:val="21"/>
                      <w:highlight w:val="none"/>
                      <w:lang w:val="en-US" w:eastAsia="zh-CN"/>
                    </w:rPr>
                    <w:t>固化炉</w:t>
                  </w:r>
                  <w:r>
                    <w:rPr>
                      <w:rFonts w:hint="default" w:ascii="Times New Roman" w:hAnsi="Times New Roman" w:cs="Times New Roman"/>
                      <w:color w:val="auto"/>
                      <w:sz w:val="21"/>
                      <w:szCs w:val="21"/>
                      <w:highlight w:val="none"/>
                    </w:rPr>
                    <w:t>能源使用天然气，天然气属于清洁能源。</w:t>
                  </w:r>
                </w:p>
              </w:tc>
              <w:tc>
                <w:tcPr>
                  <w:tcW w:w="482" w:type="dxa"/>
                  <w:vAlign w:val="center"/>
                </w:tcPr>
                <w:p w14:paraId="74C71E57">
                  <w:pPr>
                    <w:jc w:val="center"/>
                    <w:rPr>
                      <w:rFonts w:hint="eastAsia"/>
                      <w:color w:val="auto"/>
                      <w:vertAlign w:val="baseline"/>
                    </w:rPr>
                  </w:pPr>
                  <w:r>
                    <w:rPr>
                      <w:rFonts w:hint="eastAsia"/>
                      <w:color w:val="auto"/>
                      <w:vertAlign w:val="baseline"/>
                      <w:lang w:val="en-US" w:eastAsia="zh-CN"/>
                    </w:rPr>
                    <w:t>相符</w:t>
                  </w:r>
                </w:p>
              </w:tc>
            </w:tr>
          </w:tbl>
          <w:p w14:paraId="1E94C62D">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eastAsia" w:ascii="Times New Roman" w:hAnsi="Times New Roman" w:cs="Times New Roman"/>
                <w:color w:val="auto"/>
                <w:spacing w:val="-1"/>
                <w:sz w:val="24"/>
                <w:szCs w:val="24"/>
                <w:highlight w:val="none"/>
                <w:lang w:val="en-US" w:eastAsia="zh-CN"/>
              </w:rPr>
            </w:pPr>
          </w:p>
        </w:tc>
      </w:tr>
      <w:tr w14:paraId="7C3E3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47132AA7">
            <w:pPr>
              <w:autoSpaceDE w:val="0"/>
              <w:autoSpaceDN w:val="0"/>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highlight w:val="none"/>
              </w:rPr>
              <w:t>其他符合性分析</w:t>
            </w:r>
          </w:p>
        </w:tc>
        <w:tc>
          <w:tcPr>
            <w:tcW w:w="6892" w:type="dxa"/>
            <w:gridSpan w:val="3"/>
            <w:noWrap w:val="0"/>
            <w:vAlign w:val="center"/>
          </w:tcPr>
          <w:p w14:paraId="42BC4FBE">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auto"/>
                <w:kern w:val="0"/>
                <w:highlight w:val="none"/>
              </w:rPr>
            </w:pPr>
          </w:p>
          <w:p w14:paraId="222300B7">
            <w:pPr>
              <w:adjustRightInd w:val="0"/>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1、产业政策符合性分析</w:t>
            </w:r>
          </w:p>
          <w:p w14:paraId="0EC7AF7B">
            <w:pPr>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本项目所属行业类别为C3360金属表面处理及热处理加工，根据《产业结构调整指导目录（2024年本）》（国家发展和改革委员会令 第7号），本项目不属于指导目录中的鼓励类、限制类和淘汰类产业，符合国家有关法律、法规和政策规定，属于允许类。经查《市场准入负面清单（202</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年版）》，项目不在清单中禁止和许可两类事项范畴内，可依法平等进入。因此，本项目符合国家产业政策要求。</w:t>
            </w:r>
          </w:p>
          <w:p w14:paraId="66B39871">
            <w:pPr>
              <w:autoSpaceDE w:val="0"/>
              <w:autoSpaceDN w:val="0"/>
              <w:adjustRightInd w:val="0"/>
              <w:snapToGrid w:val="0"/>
              <w:spacing w:line="360" w:lineRule="auto"/>
              <w:ind w:firstLine="482" w:firstLineChars="20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2、用地合理性分析</w:t>
            </w:r>
          </w:p>
          <w:p w14:paraId="15E2C782">
            <w:pPr>
              <w:spacing w:line="360" w:lineRule="auto"/>
              <w:ind w:firstLine="480" w:firstLineChars="200"/>
              <w:jc w:val="left"/>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bidi="ar"/>
              </w:rPr>
              <w:t>本项目选址于</w:t>
            </w:r>
            <w:r>
              <w:rPr>
                <w:rFonts w:hint="eastAsia" w:ascii="Times New Roman" w:hAnsi="Times New Roman" w:eastAsia="宋体" w:cs="Times New Roman"/>
                <w:color w:val="auto"/>
                <w:kern w:val="0"/>
                <w:sz w:val="24"/>
                <w:szCs w:val="24"/>
                <w:highlight w:val="none"/>
                <w:lang w:eastAsia="zh-CN" w:bidi="ar"/>
              </w:rPr>
              <w:t>韶关市乐昌市</w:t>
            </w:r>
            <w:r>
              <w:rPr>
                <w:rFonts w:hint="eastAsia" w:cs="Times New Roman"/>
                <w:color w:val="auto"/>
                <w:kern w:val="0"/>
                <w:sz w:val="24"/>
                <w:szCs w:val="24"/>
                <w:highlight w:val="none"/>
                <w:lang w:eastAsia="zh-CN" w:bidi="ar"/>
              </w:rPr>
              <w:t>乐昌产业转移工业园GL-02-02-01地块</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rPr>
              <w:t>根据建设单位提供的</w:t>
            </w:r>
            <w:r>
              <w:rPr>
                <w:rFonts w:hint="eastAsia" w:ascii="Times New Roman" w:hAnsi="Times New Roman" w:eastAsia="宋体" w:cs="Times New Roman"/>
                <w:color w:val="auto"/>
                <w:kern w:val="0"/>
                <w:sz w:val="24"/>
                <w:szCs w:val="24"/>
                <w:highlight w:val="none"/>
                <w:lang w:val="en-US" w:eastAsia="zh-CN"/>
              </w:rPr>
              <w:t>不动产权证</w:t>
            </w:r>
            <w:r>
              <w:rPr>
                <w:rFonts w:hint="default"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粤（2025）乐昌市不动产权0009019号</w:t>
            </w:r>
            <w:r>
              <w:rPr>
                <w:rFonts w:hint="default" w:ascii="Times New Roman" w:hAnsi="Times New Roman" w:eastAsia="宋体" w:cs="Times New Roman"/>
                <w:color w:val="auto"/>
                <w:kern w:val="0"/>
                <w:sz w:val="24"/>
                <w:szCs w:val="24"/>
                <w:highlight w:val="none"/>
                <w:lang w:val="en-US" w:eastAsia="zh-CN"/>
              </w:rPr>
              <w:t>（见附件</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本项目宗地</w:t>
            </w:r>
            <w:r>
              <w:rPr>
                <w:rFonts w:hint="default" w:ascii="Times New Roman" w:hAnsi="Times New Roman" w:eastAsia="宋体" w:cs="Times New Roman"/>
                <w:bCs/>
                <w:color w:val="auto"/>
                <w:sz w:val="24"/>
                <w:szCs w:val="24"/>
                <w:highlight w:val="none"/>
                <w:lang w:val="en-US" w:eastAsia="zh-CN"/>
              </w:rPr>
              <w:t>面积</w:t>
            </w:r>
            <w:r>
              <w:rPr>
                <w:rFonts w:hint="eastAsia" w:ascii="Times New Roman" w:hAnsi="Times New Roman" w:eastAsia="宋体" w:cs="Times New Roman"/>
                <w:bCs/>
                <w:color w:val="auto"/>
                <w:sz w:val="24"/>
                <w:szCs w:val="24"/>
                <w:highlight w:val="none"/>
                <w:lang w:val="en-US" w:eastAsia="zh-CN"/>
              </w:rPr>
              <w:t>54139.29</w:t>
            </w:r>
            <w:r>
              <w:rPr>
                <w:rFonts w:hint="default" w:ascii="Times New Roman" w:hAnsi="Times New Roman" w:eastAsia="宋体" w:cs="Times New Roman"/>
                <w:bCs/>
                <w:color w:val="auto"/>
                <w:sz w:val="24"/>
                <w:szCs w:val="24"/>
                <w:highlight w:val="none"/>
                <w:lang w:val="en-US" w:eastAsia="zh-CN"/>
              </w:rPr>
              <w:t>m</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rPr>
              <w:t>属于</w:t>
            </w:r>
            <w:r>
              <w:rPr>
                <w:rFonts w:hint="eastAsia" w:ascii="Times New Roman" w:hAnsi="Times New Roman" w:eastAsia="宋体" w:cs="Times New Roman"/>
                <w:color w:val="auto"/>
                <w:kern w:val="0"/>
                <w:sz w:val="24"/>
                <w:szCs w:val="24"/>
                <w:highlight w:val="none"/>
                <w:lang w:val="en-US" w:eastAsia="zh-CN"/>
              </w:rPr>
              <w:t>工业</w:t>
            </w:r>
            <w:r>
              <w:rPr>
                <w:rFonts w:hint="default" w:ascii="Times New Roman" w:hAnsi="Times New Roman" w:eastAsia="宋体" w:cs="Times New Roman"/>
                <w:color w:val="auto"/>
                <w:kern w:val="0"/>
                <w:sz w:val="24"/>
                <w:szCs w:val="24"/>
                <w:highlight w:val="none"/>
              </w:rPr>
              <w:t>用地</w:t>
            </w:r>
            <w:r>
              <w:rPr>
                <w:rFonts w:hint="eastAsia" w:ascii="Times New Roman" w:hAnsi="Times New Roman" w:eastAsia="宋体" w:cs="Times New Roman"/>
                <w:color w:val="auto"/>
                <w:kern w:val="0"/>
                <w:sz w:val="24"/>
                <w:szCs w:val="24"/>
                <w:highlight w:val="none"/>
                <w:lang w:eastAsia="zh-CN"/>
              </w:rPr>
              <w:t>，没有占用</w:t>
            </w:r>
            <w:r>
              <w:rPr>
                <w:rFonts w:hint="eastAsia" w:cs="Times New Roman"/>
                <w:color w:val="auto"/>
                <w:kern w:val="0"/>
                <w:sz w:val="24"/>
                <w:szCs w:val="24"/>
                <w:highlight w:val="none"/>
                <w:lang w:eastAsia="zh-CN"/>
              </w:rPr>
              <w:t>基本农田</w:t>
            </w:r>
            <w:r>
              <w:rPr>
                <w:rFonts w:hint="eastAsia" w:ascii="Times New Roman" w:hAnsi="Times New Roman" w:eastAsia="宋体" w:cs="Times New Roman"/>
                <w:color w:val="auto"/>
                <w:kern w:val="0"/>
                <w:sz w:val="24"/>
                <w:szCs w:val="24"/>
                <w:highlight w:val="none"/>
                <w:lang w:eastAsia="zh-CN"/>
              </w:rPr>
              <w:t>，符合韶关市城市建设和环境功能区规划的要求，且具有水、电等供应保障，交通便利等条件。项目周围没有风景名胜区、生态脆弱带等。故项目选址是合理的。</w:t>
            </w:r>
          </w:p>
          <w:p w14:paraId="366ECB08">
            <w:pPr>
              <w:spacing w:line="360" w:lineRule="auto"/>
              <w:ind w:firstLine="482" w:firstLineChars="200"/>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3、与环境功能区划相符性分析</w:t>
            </w:r>
          </w:p>
          <w:p w14:paraId="1BE3721C">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（1）根据《广东省人民政府关于印发部分市乡镇集中式饮用水源保护区划分方案的通知》（粤府函〔2015〕17号）</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《广东省人民政府关于调整韶关市部分饮用水水源保护区的批复》（粤府函〔2018〕427号）及</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广东省生态环境厅 广东省水利厅关于印发〈韶关市部分饮用水水源保护区调整方案〉的通知</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粤环函〔2024〕146号</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，项目所在地不属于韶关市一、二级水源保护区，符合水污染防治条例的有关要求。</w:t>
            </w:r>
          </w:p>
          <w:p w14:paraId="7DCE3E38">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2）根据《乐昌市人民政府办公室关于印发乐昌市生态环境保护“十四五”规划的通知》（乐府办〔2022〕16号）中《乐昌市“十四五”生态环境保护规划大气环境功能区划图》，项目所在区域为环境空气质量二类功能区，不属于环境空气质量一类功能区中的自然保护区风景名胜区和</w:t>
            </w:r>
            <w:r>
              <w:rPr>
                <w:rFonts w:hint="default" w:ascii="Times New Roman" w:hAnsi="Times New Roman" w:eastAsia="宋体" w:cs="Times New Roman"/>
                <w:b w:val="0"/>
                <w:bCs w:val="0"/>
                <w:color w:val="auto"/>
                <w:kern w:val="0"/>
                <w:sz w:val="24"/>
                <w:highlight w:val="none"/>
                <w:lang w:eastAsia="zh-CN"/>
              </w:rPr>
              <w:t>其他需要</w:t>
            </w:r>
            <w:r>
              <w:rPr>
                <w:rFonts w:hint="default" w:ascii="Times New Roman" w:hAnsi="Times New Roman" w:eastAsia="宋体" w:cs="Times New Roman"/>
                <w:b w:val="0"/>
                <w:bCs w:val="0"/>
                <w:color w:val="auto"/>
                <w:kern w:val="0"/>
                <w:sz w:val="24"/>
                <w:highlight w:val="none"/>
              </w:rPr>
              <w:t>特殊保护的区域。</w:t>
            </w:r>
          </w:p>
          <w:p w14:paraId="17423262">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（3）根据《乐昌产业转移工业园</w:t>
            </w:r>
            <w:r>
              <w:rPr>
                <w:rFonts w:hint="default" w:ascii="Times New Roman" w:hAnsi="Times New Roman" w:eastAsia="宋体" w:cs="Times New Roman"/>
                <w:b w:val="0"/>
                <w:bCs w:val="0"/>
                <w:color w:val="auto"/>
                <w:kern w:val="0"/>
                <w:sz w:val="24"/>
                <w:highlight w:val="none"/>
                <w:lang w:val="en-US" w:eastAsia="zh-CN"/>
              </w:rPr>
              <w:t>城东片区控制性详细规划修编</w:t>
            </w:r>
            <w:r>
              <w:rPr>
                <w:rFonts w:hint="default" w:ascii="Times New Roman" w:hAnsi="Times New Roman" w:eastAsia="宋体" w:cs="Times New Roman"/>
                <w:b w:val="0"/>
                <w:bCs w:val="0"/>
                <w:color w:val="auto"/>
                <w:kern w:val="0"/>
                <w:sz w:val="24"/>
                <w:highlight w:val="none"/>
              </w:rPr>
              <w:t>》及</w:t>
            </w:r>
            <w:r>
              <w:rPr>
                <w:rFonts w:hint="eastAsia" w:ascii="Times New Roman" w:hAnsi="Times New Roman" w:eastAsia="宋体" w:cs="Times New Roman"/>
                <w:b w:val="0"/>
                <w:bCs w:val="0"/>
                <w:color w:val="auto"/>
                <w:kern w:val="0"/>
                <w:sz w:val="24"/>
                <w:highlight w:val="none"/>
                <w:lang w:val="en-US" w:eastAsia="zh-CN"/>
              </w:rPr>
              <w:t>不动产权证</w:t>
            </w:r>
            <w:r>
              <w:rPr>
                <w:rFonts w:hint="default" w:ascii="Times New Roman" w:hAnsi="Times New Roman" w:eastAsia="宋体" w:cs="Times New Roman"/>
                <w:b w:val="0"/>
                <w:bCs w:val="0"/>
                <w:color w:val="auto"/>
                <w:kern w:val="0"/>
                <w:sz w:val="24"/>
                <w:highlight w:val="none"/>
              </w:rPr>
              <w:t>，项目所在地</w:t>
            </w:r>
            <w:r>
              <w:rPr>
                <w:rFonts w:hint="eastAsia" w:ascii="Times New Roman" w:hAnsi="Times New Roman" w:eastAsia="宋体" w:cs="Times New Roman"/>
                <w:b w:val="0"/>
                <w:bCs w:val="0"/>
                <w:color w:val="auto"/>
                <w:kern w:val="0"/>
                <w:sz w:val="24"/>
                <w:highlight w:val="none"/>
                <w:lang w:val="en-US" w:eastAsia="zh-CN"/>
              </w:rPr>
              <w:t>块</w:t>
            </w:r>
            <w:r>
              <w:rPr>
                <w:rFonts w:hint="default" w:ascii="Times New Roman" w:hAnsi="Times New Roman" w:eastAsia="宋体" w:cs="Times New Roman"/>
                <w:b w:val="0"/>
                <w:bCs w:val="0"/>
                <w:color w:val="auto"/>
                <w:kern w:val="0"/>
                <w:sz w:val="24"/>
                <w:highlight w:val="none"/>
              </w:rPr>
              <w:t>为工业用地，项目所在区域为声环境3类</w:t>
            </w:r>
            <w:r>
              <w:rPr>
                <w:rFonts w:hint="eastAsia" w:ascii="Times New Roman" w:hAnsi="Times New Roman" w:eastAsia="宋体" w:cs="Times New Roman"/>
                <w:b w:val="0"/>
                <w:bCs w:val="0"/>
                <w:color w:val="auto"/>
                <w:kern w:val="0"/>
                <w:sz w:val="24"/>
                <w:highlight w:val="none"/>
                <w:lang w:val="en-US" w:eastAsia="zh-CN"/>
              </w:rPr>
              <w:t>和4a类</w:t>
            </w:r>
            <w:r>
              <w:rPr>
                <w:rFonts w:hint="default" w:ascii="Times New Roman" w:hAnsi="Times New Roman" w:eastAsia="宋体" w:cs="Times New Roman"/>
                <w:b w:val="0"/>
                <w:bCs w:val="0"/>
                <w:color w:val="auto"/>
                <w:kern w:val="0"/>
                <w:sz w:val="24"/>
                <w:highlight w:val="none"/>
              </w:rPr>
              <w:t>区，不属于声环境1类区。</w:t>
            </w:r>
          </w:p>
          <w:p w14:paraId="2E30AF25">
            <w:pPr>
              <w:spacing w:line="360" w:lineRule="auto"/>
              <w:ind w:firstLine="482" w:firstLineChars="200"/>
              <w:rPr>
                <w:rFonts w:hint="default" w:ascii="Times New Roman" w:hAnsi="Times New Roman" w:eastAsia="宋体" w:cs="Times New Roman"/>
                <w:b/>
                <w:bCs/>
                <w:color w:val="auto"/>
                <w:kern w:val="0"/>
                <w:sz w:val="24"/>
                <w:highlight w:val="none"/>
              </w:rPr>
            </w:pPr>
            <w:r>
              <w:rPr>
                <w:rFonts w:hint="eastAsia" w:ascii="Times New Roman" w:hAnsi="Times New Roman" w:eastAsia="宋体" w:cs="Times New Roman"/>
                <w:b/>
                <w:bCs/>
                <w:color w:val="auto"/>
                <w:kern w:val="0"/>
                <w:sz w:val="24"/>
                <w:highlight w:val="none"/>
                <w:lang w:val="en-US" w:eastAsia="zh-CN"/>
              </w:rPr>
              <w:t>4、</w:t>
            </w:r>
            <w:r>
              <w:rPr>
                <w:rFonts w:hint="default" w:ascii="Times New Roman" w:hAnsi="Times New Roman" w:eastAsia="宋体" w:cs="Times New Roman"/>
                <w:b/>
                <w:bCs/>
                <w:color w:val="auto"/>
                <w:kern w:val="0"/>
                <w:sz w:val="24"/>
                <w:highlight w:val="none"/>
                <w:lang w:val="en-US" w:eastAsia="zh-CN"/>
              </w:rPr>
              <w:t>与</w:t>
            </w:r>
            <w:r>
              <w:rPr>
                <w:rFonts w:hint="eastAsia" w:ascii="Times New Roman" w:hAnsi="Times New Roman" w:eastAsia="宋体" w:cs="Times New Roman"/>
                <w:b/>
                <w:bCs/>
                <w:color w:val="auto"/>
                <w:kern w:val="0"/>
                <w:sz w:val="24"/>
                <w:highlight w:val="none"/>
                <w:lang w:val="en-US" w:eastAsia="zh-CN"/>
              </w:rPr>
              <w:t>国土空间规划、</w:t>
            </w:r>
            <w:r>
              <w:rPr>
                <w:rFonts w:hint="default" w:ascii="Times New Roman" w:hAnsi="Times New Roman" w:eastAsia="宋体" w:cs="Times New Roman"/>
                <w:b/>
                <w:bCs/>
                <w:color w:val="auto"/>
                <w:kern w:val="0"/>
                <w:sz w:val="24"/>
                <w:highlight w:val="none"/>
                <w:lang w:val="en-US" w:eastAsia="zh-CN"/>
              </w:rPr>
              <w:t>三区三线符合性分析</w:t>
            </w:r>
          </w:p>
          <w:p w14:paraId="70F1B978">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eastAsia" w:ascii="Times New Roman" w:hAnsi="Times New Roman" w:eastAsia="宋体" w:cs="Times New Roman"/>
                <w:color w:val="auto"/>
                <w:sz w:val="24"/>
                <w:highlight w:val="none"/>
                <w:lang w:val="en-US" w:eastAsia="zh-CN"/>
              </w:rPr>
              <w:t>根据《乐昌市人民政府关于印发乐昌市国土空间总体规划（2021—2035年）的通知》（乐府〔2025〕5号）和广东省三区三线专题图叠图分析（见附图13）</w:t>
            </w:r>
            <w:r>
              <w:rPr>
                <w:rFonts w:hint="default" w:ascii="Times New Roman" w:hAnsi="Times New Roman" w:eastAsia="宋体" w:cs="Times New Roman"/>
                <w:color w:val="auto"/>
                <w:sz w:val="24"/>
                <w:highlight w:val="none"/>
                <w:lang w:val="en-US" w:eastAsia="zh-CN"/>
              </w:rPr>
              <w:t>，项目用地位于城镇开发边界范围内</w:t>
            </w:r>
            <w:r>
              <w:rPr>
                <w:rFonts w:hint="eastAsia" w:ascii="Times New Roman" w:hAnsi="Times New Roman" w:eastAsia="宋体" w:cs="Times New Roman"/>
                <w:color w:val="auto"/>
                <w:sz w:val="24"/>
                <w:highlight w:val="none"/>
                <w:lang w:val="en-US" w:eastAsia="zh-CN"/>
              </w:rPr>
              <w:t>，不在</w:t>
            </w:r>
            <w:r>
              <w:rPr>
                <w:rFonts w:hint="default" w:ascii="Times New Roman" w:hAnsi="Times New Roman" w:eastAsia="宋体" w:cs="Times New Roman"/>
                <w:color w:val="auto"/>
                <w:sz w:val="24"/>
                <w:highlight w:val="none"/>
                <w:lang w:val="en-US" w:eastAsia="zh-CN"/>
              </w:rPr>
              <w:t>基本农田保护红线</w:t>
            </w:r>
            <w:r>
              <w:rPr>
                <w:rFonts w:hint="eastAsia" w:ascii="Times New Roman" w:hAnsi="Times New Roman" w:eastAsia="宋体" w:cs="Times New Roman"/>
                <w:color w:val="auto"/>
                <w:sz w:val="24"/>
                <w:highlight w:val="none"/>
                <w:lang w:val="en-US" w:eastAsia="zh-CN"/>
              </w:rPr>
              <w:t>和</w:t>
            </w:r>
            <w:r>
              <w:rPr>
                <w:rFonts w:hint="default" w:ascii="Times New Roman" w:hAnsi="Times New Roman" w:eastAsia="宋体" w:cs="Times New Roman"/>
                <w:color w:val="auto"/>
                <w:sz w:val="24"/>
                <w:highlight w:val="none"/>
                <w:lang w:val="en-US" w:eastAsia="zh-CN"/>
              </w:rPr>
              <w:t>生态保护红线</w:t>
            </w:r>
            <w:r>
              <w:rPr>
                <w:rFonts w:hint="eastAsia" w:ascii="Times New Roman" w:hAnsi="Times New Roman" w:eastAsia="宋体" w:cs="Times New Roman"/>
                <w:color w:val="auto"/>
                <w:sz w:val="24"/>
                <w:highlight w:val="none"/>
                <w:lang w:val="en-US" w:eastAsia="zh-CN"/>
              </w:rPr>
              <w:t>范围内</w:t>
            </w:r>
            <w:r>
              <w:rPr>
                <w:rFonts w:hint="default" w:ascii="Times New Roman" w:hAnsi="Times New Roman" w:eastAsia="宋体" w:cs="Times New Roman"/>
                <w:color w:val="auto"/>
                <w:sz w:val="24"/>
                <w:highlight w:val="none"/>
                <w:lang w:val="en-US" w:eastAsia="zh-CN"/>
              </w:rPr>
              <w:t>。</w:t>
            </w:r>
          </w:p>
          <w:p w14:paraId="7F5CEA3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综上所述，本评价认为项目选址合理。</w:t>
            </w:r>
          </w:p>
          <w:p w14:paraId="67169B12">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5、</w:t>
            </w:r>
            <w:r>
              <w:rPr>
                <w:rFonts w:hint="default" w:ascii="Times New Roman" w:hAnsi="Times New Roman" w:eastAsia="宋体" w:cs="Times New Roman"/>
                <w:b/>
                <w:bCs/>
                <w:color w:val="auto"/>
                <w:kern w:val="0"/>
                <w:sz w:val="24"/>
                <w:highlight w:val="none"/>
                <w:lang w:val="en-US" w:eastAsia="zh-CN"/>
              </w:rPr>
              <w:t>与《工业和信息化部发布〈限期淘汰产生严重污染环境的工业固体废物的落后生产工艺设备名录〉公告》（中华人民共和国工业和信息化部公告2021年第25号）相符性分析</w:t>
            </w:r>
          </w:p>
          <w:p w14:paraId="6F674DAA">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本项目所用生产工艺及设备不属于《限期淘汰产生严重污染环境的工业固体废物的落后生产工艺设备名录》中限期淘汰的落后生产工艺设备，故与《工业和信息化部发布〈限期淘汰产生严重污染环境的工业固体废物的落后生产工艺设备名录〉公告》（中华人民共和国工业和信息化部公告2021年第25号）相符。</w:t>
            </w:r>
          </w:p>
          <w:p w14:paraId="77A153F3">
            <w:pPr>
              <w:spacing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与《广东省“三线一单”生态环境分区管控方案》</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default" w:ascii="Times New Roman" w:hAnsi="Times New Roman" w:eastAsia="宋体" w:cs="Times New Roman"/>
                <w:b/>
                <w:bCs/>
                <w:color w:val="auto"/>
                <w:sz w:val="24"/>
                <w:highlight w:val="none"/>
              </w:rPr>
              <w:t>相符性分析</w:t>
            </w:r>
          </w:p>
          <w:p w14:paraId="1B4F9B2C">
            <w:pPr>
              <w:spacing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①</w:t>
            </w:r>
            <w:r>
              <w:rPr>
                <w:rFonts w:hint="default" w:ascii="Times New Roman" w:hAnsi="Times New Roman" w:eastAsia="宋体" w:cs="Times New Roman"/>
                <w:b/>
                <w:bCs/>
                <w:color w:val="auto"/>
                <w:sz w:val="24"/>
                <w:highlight w:val="none"/>
              </w:rPr>
              <w:t>与《广东省“三线一单”生态环境分区管控方案》</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default" w:ascii="Times New Roman" w:hAnsi="Times New Roman" w:eastAsia="宋体" w:cs="Times New Roman"/>
                <w:b/>
                <w:bCs/>
                <w:color w:val="auto"/>
                <w:sz w:val="24"/>
                <w:highlight w:val="none"/>
              </w:rPr>
              <w:t>相符性分析</w:t>
            </w:r>
          </w:p>
          <w:p w14:paraId="62524CA9">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color w:val="auto"/>
                <w:sz w:val="21"/>
                <w:szCs w:val="21"/>
                <w:highlight w:val="none"/>
              </w:rPr>
            </w:pPr>
            <w:r>
              <w:rPr>
                <w:rFonts w:hint="eastAsia"/>
                <w:color w:val="auto"/>
                <w:sz w:val="21"/>
                <w:szCs w:val="21"/>
                <w:highlight w:val="none"/>
                <w:lang w:val="en-US" w:eastAsia="zh-CN"/>
              </w:rPr>
              <w:t>与《广东省“三线一单”生态环境分区管控方案》《广东省</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2023年度生态环境分区管控动态更新成果公告》</w:t>
            </w:r>
            <w:r>
              <w:rPr>
                <w:rFonts w:hint="eastAsia"/>
                <w:color w:val="auto"/>
                <w:sz w:val="21"/>
                <w:szCs w:val="21"/>
                <w:highlight w:val="none"/>
              </w:rPr>
              <w:t>相符性分析一览表</w:t>
            </w:r>
          </w:p>
          <w:tbl>
            <w:tblPr>
              <w:tblStyle w:val="4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06"/>
              <w:gridCol w:w="2858"/>
              <w:gridCol w:w="2202"/>
              <w:gridCol w:w="468"/>
            </w:tblGrid>
            <w:tr w14:paraId="456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74E3C6D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序号</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7390F8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B1E65E1">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具体内容</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00B7927D">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本项目情况</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056B75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符合性</w:t>
                  </w:r>
                </w:p>
              </w:tc>
            </w:tr>
            <w:tr w14:paraId="0BE1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4834B7A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1</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CA529E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生态保护红线</w:t>
                  </w:r>
                  <w:r>
                    <w:rPr>
                      <w:rFonts w:hint="eastAsia" w:ascii="Times New Roman" w:hAnsi="Times New Roman" w:cs="Times New Roman"/>
                      <w:color w:val="auto"/>
                      <w:sz w:val="21"/>
                      <w:szCs w:val="21"/>
                      <w:highlight w:val="none"/>
                      <w:lang w:val="en-US" w:eastAsia="zh-CN"/>
                    </w:rPr>
                    <w:t>及一般生态空间</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7E255E2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态更新后，全省陆域生态保护红线面积34202.57平方公里，占陆域国土面积19.03%；一般生态空间面积29200.30平方公里，占陆域国土面积16.25%。全省海洋生态保护红线面积1.66万平方公里，占全省管辖海域面积的25.66%。</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72DADB1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项目位于</w:t>
                  </w:r>
                  <w:r>
                    <w:rPr>
                      <w:rFonts w:hint="eastAsia" w:ascii="Times New Roman" w:hAnsi="Times New Roman" w:cs="Times New Roman"/>
                      <w:color w:val="auto"/>
                      <w:sz w:val="21"/>
                      <w:szCs w:val="21"/>
                      <w:highlight w:val="none"/>
                      <w:lang w:val="en-US" w:eastAsia="zh-CN"/>
                    </w:rPr>
                    <w:t>韶关市乐昌市</w:t>
                  </w:r>
                  <w:r>
                    <w:rPr>
                      <w:rFonts w:hint="eastAsia" w:cs="Times New Roman"/>
                      <w:color w:val="auto"/>
                      <w:sz w:val="21"/>
                      <w:szCs w:val="21"/>
                      <w:highlight w:val="none"/>
                      <w:lang w:val="en-US" w:eastAsia="zh-CN"/>
                    </w:rPr>
                    <w:t>乐昌产业转移工业园GL-02-02-01地块</w:t>
                  </w:r>
                  <w:r>
                    <w:rPr>
                      <w:rFonts w:hint="default" w:ascii="Times New Roman" w:hAnsi="Times New Roman" w:cs="Times New Roman"/>
                      <w:color w:val="auto"/>
                      <w:sz w:val="21"/>
                      <w:szCs w:val="21"/>
                      <w:highlight w:val="none"/>
                      <w:lang w:val="en-US"/>
                    </w:rPr>
                    <w:t>，根据广东省生态环境分区管控信息平台（见附图1</w:t>
                  </w:r>
                  <w:r>
                    <w:rPr>
                      <w:rFonts w:hint="eastAsia" w:ascii="Times New Roman" w:cs="Times New Roman"/>
                      <w:color w:val="auto"/>
                      <w:sz w:val="21"/>
                      <w:szCs w:val="21"/>
                      <w:highlight w:val="none"/>
                      <w:lang w:val="en-US" w:eastAsia="zh-CN"/>
                    </w:rPr>
                    <w:t>4-1</w:t>
                  </w:r>
                  <w:r>
                    <w:rPr>
                      <w:rFonts w:hint="default" w:ascii="Times New Roman" w:hAnsi="Times New Roman" w:cs="Times New Roman"/>
                      <w:color w:val="auto"/>
                      <w:sz w:val="21"/>
                      <w:szCs w:val="21"/>
                      <w:highlight w:val="none"/>
                      <w:lang w:val="en-US"/>
                    </w:rPr>
                    <w:t>），项目不在生态红线和一般生态空间范围内，符合生态红线及一般生态空间要求。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50ECA1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3C49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6D3AD612">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2</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2201397C">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环境质量底线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CB8E8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b w:val="0"/>
                      <w:bCs w:val="0"/>
                      <w:snapToGrid/>
                      <w:color w:val="auto"/>
                      <w:kern w:val="2"/>
                      <w:szCs w:val="21"/>
                      <w:highlight w:val="none"/>
                      <w:lang w:val="en-US" w:eastAsia="zh-CN"/>
                    </w:rPr>
                    <w:t>全省</w:t>
                  </w:r>
                  <w:r>
                    <w:rPr>
                      <w:rFonts w:hint="default" w:ascii="Times New Roman" w:hAnsi="Times New Roman" w:cs="Times New Roman"/>
                      <w:color w:val="auto"/>
                      <w:sz w:val="21"/>
                      <w:szCs w:val="21"/>
                      <w:highlight w:val="none"/>
                      <w:lang w:val="en-US" w:eastAsia="zh-CN"/>
                    </w:rPr>
                    <w:t>水环境质量持续改善，国考、省考断面优良水质比例稳步提升，全面消除劣Ⅳ类水体。大气环境质量继续领跑先行，PM</w:t>
                  </w:r>
                  <w:r>
                    <w:rPr>
                      <w:rFonts w:hint="default" w:ascii="Times New Roman" w:hAnsi="Times New Roman" w:cs="Times New Roman"/>
                      <w:color w:val="auto"/>
                      <w:sz w:val="21"/>
                      <w:szCs w:val="21"/>
                      <w:highlight w:val="none"/>
                      <w:vertAlign w:val="subscript"/>
                      <w:lang w:val="en-US" w:eastAsia="zh-CN"/>
                    </w:rPr>
                    <w:t>2.5</w:t>
                  </w:r>
                  <w:r>
                    <w:rPr>
                      <w:rFonts w:hint="default" w:ascii="Times New Roman" w:hAnsi="Times New Roman" w:cs="Times New Roman"/>
                      <w:color w:val="auto"/>
                      <w:sz w:val="21"/>
                      <w:szCs w:val="21"/>
                      <w:highlight w:val="none"/>
                      <w:lang w:val="en-US" w:eastAsia="zh-CN"/>
                    </w:rPr>
                    <w:t>年均浓度率先达到世界卫生组织过渡期二阶段目标值（25微克/立方米），臭氧污染得到有效遏制。土壤环境质量稳中向好，土壤环境风险得到管控。近岸海域水体质量稳步提升。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A8C56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根据《202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年韶关市生态环境状况公报》，可知项目所在地大气环境质量属于达标区，地表水环境质量现状良好。</w:t>
                  </w:r>
                  <w:r>
                    <w:rPr>
                      <w:rFonts w:hint="eastAsia" w:ascii="Times New Roman"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lang w:val="en-US"/>
                    </w:rPr>
                    <w:t>生活污水、外排生产废水经预处理后引入园区污水处理厂处理，不直接排入水体</w:t>
                  </w:r>
                  <w:r>
                    <w:rPr>
                      <w:rFonts w:hint="eastAsia" w:ascii="Times New Roman" w:cs="Times New Roman"/>
                      <w:color w:val="auto"/>
                      <w:sz w:val="21"/>
                      <w:szCs w:val="21"/>
                      <w:highlight w:val="none"/>
                      <w:lang w:val="en-US" w:eastAsia="zh-CN"/>
                    </w:rPr>
                    <w:t>。项目废气经收集处理后均达标排放，排放量较小，</w:t>
                  </w:r>
                  <w:r>
                    <w:rPr>
                      <w:rFonts w:hint="default" w:ascii="Times New Roman" w:hAnsi="Times New Roman" w:cs="Times New Roman"/>
                      <w:color w:val="auto"/>
                      <w:sz w:val="21"/>
                      <w:szCs w:val="21"/>
                      <w:highlight w:val="none"/>
                      <w:lang w:val="en-US"/>
                    </w:rPr>
                    <w:t>不会突破当地环境质量底线，符合环境质量底线要求。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3274F3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74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5B8472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3</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1ADB5C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资源利用上线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3A88C7C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强化节约集约利用，持续提升资源能源利用效率</w:t>
                  </w:r>
                  <w:r>
                    <w:rPr>
                      <w:rFonts w:hint="eastAsia" w:asci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水资源、土地资源、岸线资源、能源消耗等达到或优于国家下达的总量和强度控制目标。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6F874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color w:val="auto"/>
                      <w:sz w:val="21"/>
                      <w:szCs w:val="21"/>
                      <w:highlight w:val="none"/>
                    </w:rPr>
                    <w:t>项目运营过程消耗</w:t>
                  </w:r>
                  <w:r>
                    <w:rPr>
                      <w:rFonts w:hint="eastAsia"/>
                      <w:color w:val="auto"/>
                      <w:sz w:val="21"/>
                      <w:szCs w:val="21"/>
                      <w:highlight w:val="none"/>
                      <w:lang w:val="en-US" w:eastAsia="zh-CN"/>
                    </w:rPr>
                    <w:t>一定</w:t>
                  </w:r>
                  <w:r>
                    <w:rPr>
                      <w:rFonts w:hint="default"/>
                      <w:color w:val="auto"/>
                      <w:sz w:val="21"/>
                      <w:szCs w:val="21"/>
                      <w:highlight w:val="none"/>
                    </w:rPr>
                    <w:t>的水、电资源</w:t>
                  </w:r>
                  <w:r>
                    <w:rPr>
                      <w:rFonts w:hint="eastAsia"/>
                      <w:color w:val="auto"/>
                      <w:sz w:val="21"/>
                      <w:szCs w:val="21"/>
                      <w:highlight w:val="none"/>
                      <w:lang w:eastAsia="zh-CN"/>
                    </w:rPr>
                    <w:t>，</w:t>
                  </w:r>
                  <w:r>
                    <w:rPr>
                      <w:rFonts w:hint="eastAsia"/>
                      <w:color w:val="auto"/>
                      <w:sz w:val="21"/>
                      <w:szCs w:val="21"/>
                      <w:highlight w:val="none"/>
                      <w:lang w:val="en-US" w:eastAsia="zh-CN"/>
                    </w:rPr>
                    <w:t>项目清洗采用多级溢流水洗，最大限度节约用水、用电</w:t>
                  </w:r>
                  <w:r>
                    <w:rPr>
                      <w:rFonts w:hint="eastAsia"/>
                      <w:color w:val="auto"/>
                      <w:sz w:val="21"/>
                      <w:szCs w:val="21"/>
                      <w:highlight w:val="none"/>
                      <w:lang w:eastAsia="zh-CN"/>
                    </w:rPr>
                    <w:t>，</w:t>
                  </w:r>
                  <w:r>
                    <w:rPr>
                      <w:rFonts w:hint="default"/>
                      <w:color w:val="auto"/>
                      <w:sz w:val="21"/>
                      <w:szCs w:val="21"/>
                      <w:highlight w:val="none"/>
                    </w:rPr>
                    <w:t>且所在区域水、电等资源充足</w:t>
                  </w:r>
                  <w:r>
                    <w:rPr>
                      <w:rFonts w:hint="eastAsia"/>
                      <w:color w:val="auto"/>
                      <w:sz w:val="21"/>
                      <w:szCs w:val="21"/>
                      <w:highlight w:val="none"/>
                      <w:lang w:eastAsia="zh-CN"/>
                    </w:rPr>
                    <w:t>，</w:t>
                  </w:r>
                  <w:r>
                    <w:rPr>
                      <w:rFonts w:hint="default"/>
                      <w:color w:val="auto"/>
                      <w:sz w:val="21"/>
                      <w:szCs w:val="21"/>
                      <w:highlight w:val="none"/>
                    </w:rPr>
                    <w:t>不会超出资源利用上线。</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F85E0A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EED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0961322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4</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84AF81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生态环境准入清单</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56E11A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环境准入负面清单是基于生态保护红线、环境质量底线和资源利用上线</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以清单方式列出的禁止、限制等差别化环境准入条件和要求。</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EDA53A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项目不属于《市场准入负面清单（202</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年版）》（发改体改规</w:t>
                  </w:r>
                  <w:r>
                    <w:rPr>
                      <w:rFonts w:hint="eastAsia" w:ascii="Times New Roman" w:hAnsi="Times New Roman" w:cs="Times New Roman"/>
                      <w:color w:val="auto"/>
                      <w:sz w:val="21"/>
                      <w:szCs w:val="21"/>
                      <w:highlight w:val="none"/>
                      <w:lang w:val="en-US" w:eastAsia="zh-CN"/>
                    </w:rPr>
                    <w:t>〔2025〕466号</w:t>
                  </w:r>
                  <w:r>
                    <w:rPr>
                      <w:rFonts w:hint="default" w:ascii="Times New Roman" w:hAnsi="Times New Roman" w:cs="Times New Roman"/>
                      <w:color w:val="auto"/>
                      <w:sz w:val="21"/>
                      <w:szCs w:val="21"/>
                      <w:highlight w:val="none"/>
                      <w:lang w:val="en-US" w:eastAsia="zh-CN"/>
                    </w:rPr>
                    <w:t>）中的禁止准入事项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符合准入清单的要求。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E9950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62D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tcBorders>
                    <w:top w:val="single" w:color="auto" w:sz="4" w:space="0"/>
                    <w:left w:val="single" w:color="auto" w:sz="4" w:space="0"/>
                    <w:right w:val="single" w:color="auto" w:sz="4" w:space="0"/>
                  </w:tcBorders>
                  <w:noWrap w:val="0"/>
                  <w:vAlign w:val="center"/>
                </w:tcPr>
                <w:p w14:paraId="0D623DF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w:t>
                  </w:r>
                </w:p>
              </w:tc>
              <w:tc>
                <w:tcPr>
                  <w:tcW w:w="530" w:type="pct"/>
                  <w:vMerge w:val="restart"/>
                  <w:tcBorders>
                    <w:top w:val="single" w:color="auto" w:sz="4" w:space="0"/>
                    <w:left w:val="single" w:color="auto" w:sz="4" w:space="0"/>
                    <w:right w:val="single" w:color="auto" w:sz="4" w:space="0"/>
                  </w:tcBorders>
                  <w:noWrap w:val="0"/>
                  <w:vAlign w:val="center"/>
                </w:tcPr>
                <w:p w14:paraId="7FFDA7E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eastAsia="zh-CN"/>
                    </w:rPr>
                    <w:t>“</w:t>
                  </w:r>
                  <w:r>
                    <w:rPr>
                      <w:rFonts w:hint="default"/>
                      <w:color w:val="auto"/>
                      <w:sz w:val="21"/>
                      <w:szCs w:val="21"/>
                      <w:highlight w:val="none"/>
                    </w:rPr>
                    <w:t>一核一带一区</w:t>
                  </w:r>
                  <w:r>
                    <w:rPr>
                      <w:rFonts w:hint="eastAsia"/>
                      <w:color w:val="auto"/>
                      <w:sz w:val="21"/>
                      <w:szCs w:val="21"/>
                      <w:highlight w:val="none"/>
                      <w:lang w:eastAsia="zh-CN"/>
                    </w:rPr>
                    <w:t>”</w:t>
                  </w:r>
                  <w:r>
                    <w:rPr>
                      <w:rFonts w:hint="default"/>
                      <w:color w:val="auto"/>
                      <w:sz w:val="21"/>
                      <w:szCs w:val="21"/>
                      <w:highlight w:val="none"/>
                    </w:rPr>
                    <w:t>区域管控要求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A9E2A8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北部生态发展区</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区域布局管控要求。</w:t>
                  </w:r>
                  <w:r>
                    <w:rPr>
                      <w:rFonts w:hint="default" w:ascii="Times New Roman" w:hAnsi="Times New Roman" w:cs="Times New Roman"/>
                      <w:color w:val="auto"/>
                      <w:sz w:val="21"/>
                      <w:szCs w:val="21"/>
                      <w:highlight w:val="none"/>
                      <w:lang w:val="en-US" w:eastAsia="zh-CN"/>
                    </w:rPr>
                    <w:t>大力强化生态保护和建设，严格控制开发强度。重点加强南岭山地保护，推进广东南岭国家公园建设，保护生态系统完整性与生物多样性，构建和巩固北部生态屏障。引导工业项目科学布局，新建项目原则上入园管理，推动现有工业项目集中进园。推动绿色钢铁、有色金属、建筑材料等先进材料产业集群向规模化、绿色化、高端化转型发展，打造特色优势产业集群，积极推动中高时延大数据中心项目布局落地。科学布局现代农业产业平台，打造现代农业与食品产业集群。严格控制涉重金属及有毒有害污染物排放的项目建设，新建、改建、扩建涉重金属重点行业的项目应明确重金属污染物总量来源。逐步扩大高污染燃料禁燃区范围。</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1E725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主要加工生产</w:t>
                  </w:r>
                  <w:r>
                    <w:rPr>
                      <w:rFonts w:hint="eastAsia" w:ascii="Times New Roman" w:cs="Times New Roman"/>
                      <w:color w:val="auto"/>
                      <w:sz w:val="21"/>
                      <w:szCs w:val="21"/>
                      <w:highlight w:val="none"/>
                      <w:lang w:val="en-US" w:eastAsia="zh-CN"/>
                    </w:rPr>
                    <w:t>金属制品</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不设锅炉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不属于水泥、平板玻璃、化学制浆、生皮制革以及国家规划外的钢铁、原油加工等项目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项目不使用高VOCs</w:t>
                  </w:r>
                  <w:r>
                    <w:rPr>
                      <w:rFonts w:hint="eastAsia" w:cs="Times New Roman"/>
                      <w:color w:val="auto"/>
                      <w:sz w:val="21"/>
                      <w:szCs w:val="21"/>
                      <w:highlight w:val="none"/>
                      <w:lang w:val="en-US" w:eastAsia="zh-CN"/>
                    </w:rPr>
                    <w:t>含量</w:t>
                  </w:r>
                  <w:r>
                    <w:rPr>
                      <w:rFonts w:hint="default" w:ascii="Times New Roman" w:hAnsi="Times New Roman" w:cs="Times New Roman"/>
                      <w:color w:val="auto"/>
                      <w:sz w:val="21"/>
                      <w:szCs w:val="21"/>
                      <w:highlight w:val="none"/>
                      <w:lang w:val="en-US" w:eastAsia="zh-CN"/>
                    </w:rPr>
                    <w:t>原辅料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与区域</w:t>
                  </w:r>
                  <w:r>
                    <w:rPr>
                      <w:rFonts w:hint="eastAsia" w:ascii="Times New Roman" w:cs="Times New Roman"/>
                      <w:color w:val="auto"/>
                      <w:sz w:val="21"/>
                      <w:szCs w:val="21"/>
                      <w:highlight w:val="none"/>
                      <w:lang w:val="en-US" w:eastAsia="zh-CN"/>
                    </w:rPr>
                    <w:t>布局</w:t>
                  </w:r>
                  <w:r>
                    <w:rPr>
                      <w:rFonts w:hint="default" w:ascii="Times New Roman" w:hAnsi="Times New Roman" w:cs="Times New Roman"/>
                      <w:color w:val="auto"/>
                      <w:sz w:val="21"/>
                      <w:szCs w:val="21"/>
                      <w:highlight w:val="none"/>
                      <w:lang w:val="en-US" w:eastAsia="zh-CN"/>
                    </w:rPr>
                    <w:t>管控要</w:t>
                  </w:r>
                  <w:r>
                    <w:rPr>
                      <w:rFonts w:hint="eastAsia" w:ascii="Times New Roman" w:hAnsi="Times New Roman" w:cs="Times New Roman"/>
                      <w:color w:val="auto"/>
                      <w:sz w:val="21"/>
                      <w:szCs w:val="21"/>
                      <w:highlight w:val="none"/>
                      <w:lang w:val="en-US" w:eastAsia="zh-CN"/>
                    </w:rPr>
                    <w:t>求</w:t>
                  </w:r>
                  <w:r>
                    <w:rPr>
                      <w:rFonts w:hint="default" w:ascii="Times New Roman" w:hAnsi="Times New Roman" w:cs="Times New Roman"/>
                      <w:color w:val="auto"/>
                      <w:sz w:val="21"/>
                      <w:szCs w:val="21"/>
                      <w:highlight w:val="none"/>
                      <w:lang w:val="en-US" w:eastAsia="zh-CN"/>
                    </w:rPr>
                    <w:t>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99F7C7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5F1A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4FB663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0FC171A6">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ECEBAB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能源资源利用要求。进一步优化调整能源结构，鼓励使用天然气及可再生能源。县级及以上城市建成区，禁止新建每小时 35 蒸吨以下燃煤锅炉。原则上不再新建小水电以及除国家和省规划外的风电项目，对不符合生态环境要求的小水电进行清理整改。严格落实东江、北江、韩江流域等重要控制断面生态流量保障目标。推动矿产资源开发合理布局和节约集约利用，提高矿产资源开发项目准入门槛，严格执行开采总量指标管控，加快淘汰落后采选工艺，提高资源产出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2038CC4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项目不属于高耗能、高耗水行业</w:t>
                  </w:r>
                  <w:r>
                    <w:rPr>
                      <w:rFonts w:hint="eastAsia"/>
                      <w:color w:val="auto"/>
                      <w:sz w:val="21"/>
                      <w:szCs w:val="21"/>
                      <w:highlight w:val="none"/>
                      <w:lang w:eastAsia="zh-CN"/>
                    </w:rPr>
                    <w:t>，</w:t>
                  </w:r>
                  <w:r>
                    <w:rPr>
                      <w:rFonts w:hint="default"/>
                      <w:color w:val="auto"/>
                      <w:sz w:val="21"/>
                      <w:szCs w:val="21"/>
                      <w:highlight w:val="none"/>
                    </w:rPr>
                    <w:t>与能源资源利用要求相符。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E742695">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4F1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0EF37E57">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3D3F184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0157629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物排放管控要求。在可核查、可监管的基础上，新建项目原则上实施氮氧化物和挥发性有机物等量替代。北江流域严格实行重点重金属污染物减量替代。加快镇级生活污水处理设施及配套管网建设，因地制宜建设农村生活污水处理设施。加强养殖污染防治，推动养殖尾水达标排放或资源化利用。加快推进钢铁、陶瓷、水泥等重点行业提标改造（或 “煤改气” 改造）。加快矿山改造升级，逐步达到绿色矿山建设要求，凡口铅锌矿及其周边、大宝山矿及其周边等区域严格执行部分重金属水污染物特别排放限值的相关规定</w:t>
                  </w:r>
                </w:p>
              </w:tc>
              <w:tc>
                <w:tcPr>
                  <w:tcW w:w="1652" w:type="pct"/>
                  <w:noWrap w:val="0"/>
                  <w:vAlign w:val="center"/>
                </w:tcPr>
                <w:p w14:paraId="020E1F45">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项目产生的</w:t>
                  </w:r>
                  <w:r>
                    <w:rPr>
                      <w:rFonts w:hint="eastAsia" w:cs="Times New Roman"/>
                      <w:color w:val="auto"/>
                      <w:sz w:val="21"/>
                      <w:szCs w:val="21"/>
                      <w:lang w:val="en-US" w:eastAsia="zh-CN"/>
                    </w:rPr>
                    <w:t>VOCs、</w:t>
                  </w:r>
                  <w:r>
                    <w:rPr>
                      <w:rFonts w:hint="default" w:ascii="Times New Roman" w:hAnsi="Times New Roman" w:cs="Times New Roman"/>
                      <w:color w:val="auto"/>
                      <w:sz w:val="21"/>
                      <w:szCs w:val="21"/>
                      <w:highlight w:val="none"/>
                      <w:lang w:val="en-US" w:eastAsia="zh-CN"/>
                    </w:rPr>
                    <w:t>氮氧化物</w:t>
                  </w:r>
                  <w:r>
                    <w:rPr>
                      <w:rFonts w:hint="eastAsia" w:ascii="Times New Roman" w:cs="Times New Roman"/>
                      <w:color w:val="auto"/>
                      <w:sz w:val="21"/>
                      <w:szCs w:val="21"/>
                      <w:highlight w:val="none"/>
                      <w:lang w:val="en-US" w:eastAsia="zh-CN"/>
                    </w:rPr>
                    <w:t>实施</w:t>
                  </w:r>
                  <w:r>
                    <w:rPr>
                      <w:rFonts w:hint="default" w:ascii="Times New Roman" w:hAnsi="Times New Roman" w:cs="Times New Roman"/>
                      <w:color w:val="auto"/>
                      <w:sz w:val="21"/>
                      <w:szCs w:val="21"/>
                      <w:highlight w:val="none"/>
                      <w:lang w:val="en-US" w:eastAsia="zh-CN"/>
                    </w:rPr>
                    <w:t>等量替代</w:t>
                  </w:r>
                  <w:r>
                    <w:rPr>
                      <w:rFonts w:hint="eastAsia" w:ascii="Times New Roman" w:cs="Times New Roman"/>
                      <w:color w:val="auto"/>
                      <w:sz w:val="21"/>
                      <w:szCs w:val="21"/>
                      <w:highlight w:val="none"/>
                      <w:lang w:val="en-US" w:eastAsia="zh-CN"/>
                    </w:rPr>
                    <w:t>。</w:t>
                  </w:r>
                </w:p>
                <w:p w14:paraId="3F4C8B44">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项目不设锅炉，不设电镀工艺。</w:t>
                  </w:r>
                </w:p>
                <w:p w14:paraId="7B1242E5">
                  <w:pPr>
                    <w:widowControl w:val="0"/>
                    <w:kinsoku/>
                    <w:autoSpaceDE/>
                    <w:autoSpaceDN/>
                    <w:adjustRightInd/>
                    <w:snapToGrid/>
                    <w:spacing w:line="240" w:lineRule="auto"/>
                    <w:jc w:val="center"/>
                    <w:textAlignment w:val="auto"/>
                    <w:rPr>
                      <w:rFonts w:hint="default" w:ascii="Times New Roman" w:cs="Times New Roman"/>
                      <w:color w:val="auto"/>
                      <w:sz w:val="21"/>
                      <w:szCs w:val="21"/>
                      <w:highlight w:val="none"/>
                      <w:lang w:val="en-US" w:eastAsia="zh-CN"/>
                    </w:rPr>
                  </w:pPr>
                  <w:r>
                    <w:rPr>
                      <w:rFonts w:hint="eastAsia" w:ascii="Times New Roman" w:cs="Times New Roman"/>
                      <w:i w:val="0"/>
                      <w:iCs w:val="0"/>
                      <w:color w:val="auto"/>
                      <w:kern w:val="0"/>
                      <w:sz w:val="21"/>
                      <w:szCs w:val="21"/>
                      <w:highlight w:val="none"/>
                      <w:u w:val="none"/>
                      <w:lang w:val="en-US" w:eastAsia="zh-CN" w:bidi="ar"/>
                    </w:rPr>
                    <w:t>项目外排生产</w:t>
                  </w:r>
                  <w:r>
                    <w:rPr>
                      <w:rFonts w:hint="eastAsia"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后，生活污水经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w:t>
                  </w:r>
                  <w:r>
                    <w:rPr>
                      <w:rFonts w:hint="eastAsia" w:ascii="Times New Roman"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排入园区污水处理厂进一步处理，达标后</w:t>
                  </w:r>
                  <w:r>
                    <w:rPr>
                      <w:rFonts w:hint="eastAsia" w:cs="Times New Roman"/>
                      <w:i w:val="0"/>
                      <w:iCs w:val="0"/>
                      <w:color w:val="auto"/>
                      <w:kern w:val="0"/>
                      <w:sz w:val="21"/>
                      <w:szCs w:val="21"/>
                      <w:highlight w:val="none"/>
                      <w:u w:val="none"/>
                      <w:lang w:val="en-US" w:eastAsia="zh-CN" w:bidi="ar"/>
                    </w:rPr>
                    <w:t>尾水</w:t>
                  </w:r>
                  <w:r>
                    <w:rPr>
                      <w:rFonts w:hint="default" w:ascii="Times New Roman" w:hAnsi="Times New Roman" w:eastAsia="宋体" w:cs="Times New Roman"/>
                      <w:i w:val="0"/>
                      <w:iCs w:val="0"/>
                      <w:color w:val="auto"/>
                      <w:kern w:val="0"/>
                      <w:sz w:val="21"/>
                      <w:szCs w:val="21"/>
                      <w:highlight w:val="none"/>
                      <w:u w:val="none"/>
                      <w:lang w:val="en-US" w:eastAsia="zh-CN" w:bidi="ar"/>
                    </w:rPr>
                    <w:t>排放至武江</w:t>
                  </w:r>
                  <w:r>
                    <w:rPr>
                      <w:rFonts w:hint="eastAsia" w:ascii="Times New Roman" w:cs="Times New Roman"/>
                      <w:i w:val="0"/>
                      <w:iCs w:val="0"/>
                      <w:color w:val="auto"/>
                      <w:kern w:val="0"/>
                      <w:sz w:val="21"/>
                      <w:szCs w:val="21"/>
                      <w:highlight w:val="none"/>
                      <w:u w:val="none"/>
                      <w:lang w:val="en-US" w:eastAsia="zh-CN" w:bidi="ar"/>
                    </w:rPr>
                    <w:t>。</w:t>
                  </w:r>
                </w:p>
              </w:tc>
              <w:tc>
                <w:tcPr>
                  <w:tcW w:w="351" w:type="pct"/>
                  <w:noWrap w:val="0"/>
                  <w:vAlign w:val="center"/>
                </w:tcPr>
                <w:p w14:paraId="72E669C4">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3FB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2E1D7F49">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24B76FE2">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106B43D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风险防控要求。强化流域上游生态保护与水源涵养功能，建立完善突发环境事件应急管理体系，保障饮用水安全。加快落实受污染农用地的安全利用与严格管控措施，防范农产品重金属含量超标风险。加强尾矿库的环境风险排查与防范。加强金属矿采选、金属冶炼企业的重金属污染风险防控。强化选矿废水治理设施的升级改造，选矿废水原则上回用不外排。</w:t>
                  </w:r>
                </w:p>
              </w:tc>
              <w:tc>
                <w:tcPr>
                  <w:tcW w:w="1652" w:type="pct"/>
                  <w:noWrap w:val="0"/>
                  <w:vAlign w:val="center"/>
                </w:tcPr>
                <w:p w14:paraId="6C1D9C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本项目危险废物统一收集后交由有资质单位处理。</w:t>
                  </w:r>
                </w:p>
              </w:tc>
              <w:tc>
                <w:tcPr>
                  <w:tcW w:w="351" w:type="pct"/>
                  <w:noWrap w:val="0"/>
                  <w:vAlign w:val="center"/>
                </w:tcPr>
                <w:p w14:paraId="5230F20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660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noWrap w:val="0"/>
                  <w:vAlign w:val="center"/>
                </w:tcPr>
                <w:p w14:paraId="5ECE83F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w:t>
                  </w:r>
                </w:p>
              </w:tc>
              <w:tc>
                <w:tcPr>
                  <w:tcW w:w="530" w:type="pct"/>
                  <w:vMerge w:val="restart"/>
                  <w:noWrap w:val="0"/>
                  <w:vAlign w:val="center"/>
                </w:tcPr>
                <w:p w14:paraId="4FFB7D4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环境管控单元总体管控要求</w:t>
                  </w:r>
                </w:p>
              </w:tc>
              <w:tc>
                <w:tcPr>
                  <w:tcW w:w="2144" w:type="pct"/>
                  <w:noWrap w:val="0"/>
                  <w:vAlign w:val="center"/>
                </w:tcPr>
                <w:p w14:paraId="5BA3F86C">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52" w:type="pct"/>
                  <w:noWrap w:val="0"/>
                  <w:vAlign w:val="center"/>
                </w:tcPr>
                <w:p w14:paraId="6C694BFF">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根据</w:t>
                  </w:r>
                  <w:r>
                    <w:rPr>
                      <w:rFonts w:hint="eastAsia" w:ascii="Times New Roman" w:hAnsi="Times New Roman" w:eastAsia="宋体" w:cs="Times New Roman"/>
                      <w:b w:val="0"/>
                      <w:bCs w:val="0"/>
                      <w:snapToGrid/>
                      <w:color w:val="auto"/>
                      <w:kern w:val="2"/>
                      <w:szCs w:val="21"/>
                      <w:highlight w:val="none"/>
                      <w:lang w:val="en-US" w:eastAsia="zh-CN"/>
                    </w:rPr>
                    <w:t>附图</w:t>
                  </w:r>
                  <w:r>
                    <w:rPr>
                      <w:rFonts w:hint="eastAsia"/>
                      <w:color w:val="auto"/>
                      <w:sz w:val="21"/>
                      <w:szCs w:val="21"/>
                      <w:highlight w:val="none"/>
                    </w:rPr>
                    <w:t>1</w:t>
                  </w:r>
                  <w:r>
                    <w:rPr>
                      <w:rFonts w:hint="eastAsia"/>
                      <w:color w:val="auto"/>
                      <w:sz w:val="21"/>
                      <w:szCs w:val="21"/>
                      <w:highlight w:val="none"/>
                      <w:lang w:val="en-US" w:eastAsia="zh-CN"/>
                    </w:rPr>
                    <w:t>4-1</w:t>
                  </w:r>
                  <w:r>
                    <w:rPr>
                      <w:rFonts w:hint="eastAsia"/>
                      <w:color w:val="auto"/>
                      <w:sz w:val="21"/>
                      <w:szCs w:val="21"/>
                      <w:highlight w:val="none"/>
                    </w:rPr>
                    <w:t>，项目位于乐昌经济开发区重点管控单元（管控编码ZH44028120003），属于园区重点管控单元，项目主要从事金属表面处理及热处理加工，生产过程中产生氮氧化物</w:t>
                  </w:r>
                  <w:r>
                    <w:rPr>
                      <w:rFonts w:hint="eastAsia"/>
                      <w:color w:val="auto"/>
                      <w:sz w:val="21"/>
                      <w:szCs w:val="21"/>
                      <w:highlight w:val="none"/>
                      <w:lang w:eastAsia="zh-CN"/>
                    </w:rPr>
                    <w:t>、</w:t>
                  </w:r>
                  <w:r>
                    <w:rPr>
                      <w:rFonts w:hint="eastAsia"/>
                      <w:color w:val="auto"/>
                      <w:sz w:val="21"/>
                      <w:szCs w:val="21"/>
                      <w:highlight w:val="none"/>
                      <w:lang w:val="en-US" w:eastAsia="zh-CN"/>
                    </w:rPr>
                    <w:t>VOCs</w:t>
                  </w:r>
                  <w:r>
                    <w:rPr>
                      <w:rFonts w:hint="eastAsia"/>
                      <w:color w:val="auto"/>
                      <w:sz w:val="21"/>
                      <w:szCs w:val="21"/>
                      <w:highlight w:val="none"/>
                    </w:rPr>
                    <w:t>需分配大气污染物总量；</w:t>
                  </w:r>
                  <w:r>
                    <w:rPr>
                      <w:rFonts w:hint="eastAsia" w:ascii="Times New Roman" w:cs="Times New Roman"/>
                      <w:i w:val="0"/>
                      <w:iCs w:val="0"/>
                      <w:color w:val="auto"/>
                      <w:kern w:val="0"/>
                      <w:sz w:val="21"/>
                      <w:szCs w:val="21"/>
                      <w:highlight w:val="none"/>
                      <w:u w:val="none"/>
                      <w:lang w:val="en-US" w:eastAsia="zh-CN" w:bidi="ar"/>
                    </w:rPr>
                    <w:t>项目外排生产</w:t>
                  </w:r>
                  <w:r>
                    <w:rPr>
                      <w:rFonts w:hint="eastAsia"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生活污水</w:t>
                  </w:r>
                  <w:r>
                    <w:rPr>
                      <w:rFonts w:hint="eastAsia" w:cs="Times New Roman"/>
                      <w:i w:val="0"/>
                      <w:iCs w:val="0"/>
                      <w:color w:val="auto"/>
                      <w:kern w:val="0"/>
                      <w:sz w:val="21"/>
                      <w:szCs w:val="21"/>
                      <w:highlight w:val="none"/>
                      <w:u w:val="none"/>
                      <w:lang w:val="en-US" w:eastAsia="zh-CN" w:bidi="ar"/>
                    </w:rPr>
                    <w:t>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”预处理后排入园区污水处理厂进一步处理达标后排放</w:t>
                  </w:r>
                  <w:r>
                    <w:rPr>
                      <w:rFonts w:hint="eastAsia"/>
                      <w:color w:val="auto"/>
                      <w:sz w:val="21"/>
                      <w:szCs w:val="21"/>
                      <w:highlight w:val="none"/>
                    </w:rPr>
                    <w:t>，无需分配水污染物总量。</w:t>
                  </w:r>
                </w:p>
              </w:tc>
              <w:tc>
                <w:tcPr>
                  <w:tcW w:w="351" w:type="pct"/>
                  <w:noWrap w:val="0"/>
                  <w:vAlign w:val="center"/>
                </w:tcPr>
                <w:p w14:paraId="35EEC8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7973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63B80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noWrap w:val="0"/>
                  <w:vAlign w:val="center"/>
                </w:tcPr>
                <w:p w14:paraId="77129F0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12B0246E">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52" w:type="pct"/>
                  <w:noWrap w:val="0"/>
                  <w:vAlign w:val="center"/>
                </w:tcPr>
                <w:p w14:paraId="6F6D379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项目不属于耗水量大和污染物排放强度高的行业，生活污水经三级化粪池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eastAsia"/>
                      <w:color w:val="auto"/>
                      <w:kern w:val="2"/>
                      <w:sz w:val="21"/>
                      <w:szCs w:val="21"/>
                      <w:highlight w:val="none"/>
                    </w:rPr>
                    <w:t>预处理后排入园区污水处理</w:t>
                  </w:r>
                  <w:r>
                    <w:rPr>
                      <w:rFonts w:hint="eastAsia"/>
                      <w:color w:val="auto"/>
                      <w:kern w:val="2"/>
                      <w:sz w:val="21"/>
                      <w:szCs w:val="21"/>
                      <w:highlight w:val="none"/>
                      <w:lang w:eastAsia="zh-CN"/>
                    </w:rPr>
                    <w:t>厂</w:t>
                  </w:r>
                  <w:r>
                    <w:rPr>
                      <w:rFonts w:hint="eastAsia"/>
                      <w:color w:val="auto"/>
                      <w:kern w:val="2"/>
                      <w:sz w:val="21"/>
                      <w:szCs w:val="21"/>
                      <w:highlight w:val="none"/>
                    </w:rPr>
                    <w:t>；</w:t>
                  </w:r>
                  <w:r>
                    <w:rPr>
                      <w:rFonts w:hint="eastAsia" w:ascii="Times New Roman" w:cs="Times New Roman"/>
                      <w:i w:val="0"/>
                      <w:iCs w:val="0"/>
                      <w:color w:val="auto"/>
                      <w:kern w:val="0"/>
                      <w:sz w:val="21"/>
                      <w:szCs w:val="21"/>
                      <w:highlight w:val="none"/>
                      <w:u w:val="none"/>
                      <w:lang w:val="en-US" w:eastAsia="zh-CN" w:bidi="ar"/>
                    </w:rPr>
                    <w:t>项目外排生产</w:t>
                  </w:r>
                  <w:r>
                    <w:rPr>
                      <w:rFonts w:hint="eastAsia" w:ascii="Times New Roman" w:hAnsi="Times New Roman"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排入园区污水处理厂进一步处理达标后排放</w:t>
                  </w:r>
                  <w:r>
                    <w:rPr>
                      <w:rFonts w:hint="eastAsia"/>
                      <w:color w:val="auto"/>
                      <w:kern w:val="2"/>
                      <w:sz w:val="21"/>
                      <w:szCs w:val="21"/>
                      <w:highlight w:val="none"/>
                    </w:rPr>
                    <w:t>，对水环境影响不大。</w:t>
                  </w:r>
                </w:p>
              </w:tc>
              <w:tc>
                <w:tcPr>
                  <w:tcW w:w="351" w:type="pct"/>
                  <w:noWrap w:val="0"/>
                  <w:vAlign w:val="center"/>
                </w:tcPr>
                <w:p w14:paraId="5F3A3058">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07BA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94DD55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noWrap w:val="0"/>
                  <w:vAlign w:val="center"/>
                </w:tcPr>
                <w:p w14:paraId="717650E0">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026A0B8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大气环境受体敏感类重点管控单元。严格限制新建</w:t>
                  </w:r>
                  <w:r>
                    <w:rPr>
                      <w:rFonts w:hint="eastAsia" w:ascii="Times New Roman" w:hAnsi="Times New Roman" w:eastAsia="宋体" w:cs="Times New Roman"/>
                      <w:b w:val="0"/>
                      <w:bCs w:val="0"/>
                      <w:snapToGrid/>
                      <w:color w:val="auto"/>
                      <w:kern w:val="2"/>
                      <w:szCs w:val="21"/>
                      <w:highlight w:val="none"/>
                      <w:lang w:val="en-US" w:eastAsia="zh-CN"/>
                    </w:rPr>
                    <w:t>钢铁</w:t>
                  </w:r>
                  <w:r>
                    <w:rPr>
                      <w:rFonts w:hint="eastAsia"/>
                      <w:color w:val="auto"/>
                      <w:kern w:val="2"/>
                      <w:sz w:val="21"/>
                      <w:szCs w:val="21"/>
                      <w:highlight w:val="none"/>
                    </w:rPr>
                    <w:t>、燃煤燃油火电、石化、储油库等项目，产生和排放有毒有害大气污染物项目，以及使用溶剂型油墨、涂料、清洗剂、胶黏剂等高挥发性有机物原辅材料的项目；鼓励现有该类项目逐步搬迁退出</w:t>
                  </w:r>
                </w:p>
              </w:tc>
              <w:tc>
                <w:tcPr>
                  <w:tcW w:w="1652" w:type="pct"/>
                  <w:noWrap w:val="0"/>
                  <w:vAlign w:val="center"/>
                </w:tcPr>
                <w:p w14:paraId="33C51DE8">
                  <w:pPr>
                    <w:widowControl w:val="0"/>
                    <w:kinsoku/>
                    <w:autoSpaceDE/>
                    <w:autoSpaceDN/>
                    <w:adjustRightInd/>
                    <w:snapToGrid/>
                    <w:spacing w:line="240" w:lineRule="auto"/>
                    <w:jc w:val="center"/>
                    <w:textAlignment w:val="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项目不属于钢铁、燃煤燃油火电、石化、储油库等项目</w:t>
                  </w:r>
                  <w:r>
                    <w:rPr>
                      <w:rFonts w:hint="eastAsia"/>
                      <w:color w:val="auto"/>
                      <w:kern w:val="2"/>
                      <w:sz w:val="21"/>
                      <w:szCs w:val="21"/>
                      <w:highlight w:val="none"/>
                      <w:lang w:eastAsia="zh-CN"/>
                    </w:rPr>
                    <w:t>，</w:t>
                  </w:r>
                  <w:r>
                    <w:rPr>
                      <w:rFonts w:hint="eastAsia"/>
                      <w:color w:val="auto"/>
                      <w:kern w:val="2"/>
                      <w:sz w:val="21"/>
                      <w:szCs w:val="21"/>
                      <w:highlight w:val="none"/>
                    </w:rPr>
                    <w:t>不属于</w:t>
                  </w:r>
                  <w:r>
                    <w:rPr>
                      <w:rFonts w:hint="eastAsia"/>
                      <w:color w:val="auto"/>
                      <w:kern w:val="2"/>
                      <w:sz w:val="21"/>
                      <w:szCs w:val="21"/>
                      <w:highlight w:val="none"/>
                      <w:lang w:val="en-US" w:eastAsia="zh-CN"/>
                    </w:rPr>
                    <w:t>产生和排放</w:t>
                  </w:r>
                  <w:r>
                    <w:rPr>
                      <w:rFonts w:hint="eastAsia"/>
                      <w:color w:val="auto"/>
                      <w:kern w:val="2"/>
                      <w:sz w:val="21"/>
                      <w:szCs w:val="21"/>
                      <w:highlight w:val="none"/>
                    </w:rPr>
                    <w:t>有毒有害大气污染物的项目</w:t>
                  </w:r>
                  <w:r>
                    <w:rPr>
                      <w:rFonts w:hint="eastAsia"/>
                      <w:color w:val="auto"/>
                      <w:kern w:val="2"/>
                      <w:sz w:val="21"/>
                      <w:szCs w:val="21"/>
                      <w:highlight w:val="none"/>
                      <w:lang w:eastAsia="zh-CN"/>
                    </w:rPr>
                    <w:t>。</w:t>
                  </w:r>
                </w:p>
              </w:tc>
              <w:tc>
                <w:tcPr>
                  <w:tcW w:w="351" w:type="pct"/>
                  <w:noWrap w:val="0"/>
                  <w:vAlign w:val="center"/>
                </w:tcPr>
                <w:p w14:paraId="5C2E557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eastAsia" w:ascii="Times New Roman" w:hAnsi="Times New Roman" w:eastAsia="宋体" w:cs="Times New Roman"/>
                      <w:b w:val="0"/>
                      <w:bCs w:val="0"/>
                      <w:snapToGrid/>
                      <w:color w:val="auto"/>
                      <w:kern w:val="2"/>
                      <w:szCs w:val="21"/>
                      <w:highlight w:val="none"/>
                      <w:lang w:val="en-US" w:eastAsia="zh-CN"/>
                    </w:rPr>
                    <w:t>符合</w:t>
                  </w:r>
                </w:p>
              </w:tc>
            </w:tr>
          </w:tbl>
          <w:p w14:paraId="48E0DD44">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2A94CED8">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综上所述，项目符合《广东省人民政府关于印发广东省“三线一单”生态环境分区管控方案的通知（粤府〔2020〕71号）》《广东省2023年度生态环境分区管控动态更新成果公告》的相关要求。</w:t>
            </w:r>
          </w:p>
          <w:p w14:paraId="5112A000">
            <w:pPr>
              <w:spacing w:line="360" w:lineRule="auto"/>
              <w:ind w:firstLine="482"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②与《韶关市“三线一单”生态环境分区管控方案》（韶府〔2021〕10号）和《韶关市生态环境分区管控动态更新成果》的相符性分析</w:t>
            </w:r>
          </w:p>
          <w:p w14:paraId="37EF6427">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本项目所在环境管控单位为乐昌经济开发区重点管控单元（编号：ZH44028120003）</w:t>
            </w:r>
            <w:r>
              <w:rPr>
                <w:rFonts w:hint="default" w:ascii="Times New Roman" w:hAnsi="Times New Roman" w:eastAsia="宋体" w:cs="Times New Roman"/>
                <w:b w:val="0"/>
                <w:bCs w:val="0"/>
                <w:color w:val="auto"/>
                <w:kern w:val="0"/>
                <w:sz w:val="24"/>
                <w:highlight w:val="none"/>
                <w:lang w:val="en-US" w:eastAsia="zh-CN"/>
              </w:rPr>
              <w:t>，本项目与所在区域的生态保护红线、环境质量底线、资源利用上线</w:t>
            </w:r>
            <w:r>
              <w:rPr>
                <w:rFonts w:hint="eastAsia" w:ascii="Times New Roman" w:hAnsi="Times New Roman" w:eastAsia="宋体" w:cs="Times New Roman"/>
                <w:b w:val="0"/>
                <w:bCs w:val="0"/>
                <w:color w:val="auto"/>
                <w:kern w:val="0"/>
                <w:sz w:val="24"/>
                <w:highlight w:val="none"/>
                <w:lang w:val="en-US" w:eastAsia="zh-CN"/>
              </w:rPr>
              <w:t>如下表所示。</w:t>
            </w:r>
          </w:p>
          <w:p w14:paraId="71334135">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与《韶关市“三线一单”生态环境分区管控方案》（韶府</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〔2021〕10号）和《韶关市生态环境分区管控动态更新成果》</w:t>
            </w:r>
            <w:r>
              <w:rPr>
                <w:rFonts w:hint="eastAsia"/>
                <w:color w:val="auto"/>
                <w:sz w:val="21"/>
                <w:szCs w:val="21"/>
                <w:highlight w:val="none"/>
              </w:rPr>
              <w:t>相符性分析一览表</w:t>
            </w:r>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3565"/>
              <w:gridCol w:w="2148"/>
              <w:gridCol w:w="503"/>
            </w:tblGrid>
            <w:tr w14:paraId="5C7B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1770122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类别</w:t>
                  </w:r>
                </w:p>
              </w:tc>
              <w:tc>
                <w:tcPr>
                  <w:tcW w:w="2673" w:type="pct"/>
                  <w:noWrap w:val="0"/>
                  <w:vAlign w:val="center"/>
                </w:tcPr>
                <w:p w14:paraId="25BBF3F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文件要求</w:t>
                  </w:r>
                </w:p>
              </w:tc>
              <w:tc>
                <w:tcPr>
                  <w:tcW w:w="1611" w:type="pct"/>
                  <w:noWrap w:val="0"/>
                  <w:vAlign w:val="center"/>
                </w:tcPr>
                <w:p w14:paraId="4FAE7A8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本项目情况</w:t>
                  </w:r>
                </w:p>
              </w:tc>
              <w:tc>
                <w:tcPr>
                  <w:tcW w:w="377" w:type="pct"/>
                  <w:noWrap w:val="0"/>
                  <w:vAlign w:val="center"/>
                </w:tcPr>
                <w:p w14:paraId="1E1430C4">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符合性</w:t>
                  </w:r>
                </w:p>
              </w:tc>
            </w:tr>
            <w:tr w14:paraId="7C00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164DEEA">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生态保护红线</w:t>
                  </w:r>
                </w:p>
              </w:tc>
              <w:tc>
                <w:tcPr>
                  <w:tcW w:w="2673" w:type="pct"/>
                  <w:noWrap w:val="0"/>
                  <w:vAlign w:val="center"/>
                </w:tcPr>
                <w:p w14:paraId="1D8D7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生态保护红线及一般生态空间。全市陆域生态保护红线面积5827.58平方千米，占全市陆域国土面积的31.65%；一般生态空间面积4951.43平方千米。</w:t>
                  </w:r>
                </w:p>
                <w:p w14:paraId="38B06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tc>
              <w:tc>
                <w:tcPr>
                  <w:tcW w:w="1611" w:type="pct"/>
                  <w:noWrap w:val="0"/>
                  <w:vAlign w:val="center"/>
                </w:tcPr>
                <w:p w14:paraId="22F4B905">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本项目选址不涉及自然保护区、风景名胜区、饮用水源保护区、基本农田保护区</w:t>
                  </w:r>
                  <w:r>
                    <w:rPr>
                      <w:rFonts w:hint="eastAsia" w:ascii="Times New Roman" w:hAnsi="Times New Roman" w:cs="Times New Roman"/>
                      <w:color w:val="auto"/>
                      <w:kern w:val="0"/>
                      <w:sz w:val="21"/>
                      <w:szCs w:val="21"/>
                      <w:highlight w:val="none"/>
                      <w:lang w:eastAsia="zh-CN"/>
                    </w:rPr>
                    <w:t>及其他</w:t>
                  </w:r>
                  <w:r>
                    <w:rPr>
                      <w:rFonts w:hint="default" w:ascii="Times New Roman" w:hAnsi="Times New Roman" w:cs="Times New Roman"/>
                      <w:color w:val="auto"/>
                      <w:kern w:val="0"/>
                      <w:sz w:val="21"/>
                      <w:szCs w:val="21"/>
                      <w:highlight w:val="none"/>
                    </w:rPr>
                    <w:t>需要特殊保护的敏感区域，项目位于</w:t>
                  </w:r>
                  <w:r>
                    <w:rPr>
                      <w:rFonts w:hint="eastAsia" w:ascii="Times New Roman" w:hAnsi="Times New Roman" w:cs="Times New Roman"/>
                      <w:color w:val="auto"/>
                      <w:kern w:val="0"/>
                      <w:sz w:val="21"/>
                      <w:szCs w:val="21"/>
                      <w:highlight w:val="none"/>
                      <w:lang w:eastAsia="zh-CN"/>
                    </w:rPr>
                    <w:t>韶关市乐昌市</w:t>
                  </w:r>
                  <w:r>
                    <w:rPr>
                      <w:rFonts w:hint="eastAsia" w:cs="Times New Roman"/>
                      <w:color w:val="auto"/>
                      <w:kern w:val="0"/>
                      <w:sz w:val="21"/>
                      <w:szCs w:val="21"/>
                      <w:highlight w:val="none"/>
                      <w:lang w:eastAsia="zh-CN"/>
                    </w:rPr>
                    <w:t>乐昌产业转移工业园GL-02-02-01地块</w:t>
                  </w:r>
                  <w:r>
                    <w:rPr>
                      <w:rFonts w:hint="default" w:ascii="Times New Roman" w:hAnsi="Times New Roman" w:cs="Times New Roman"/>
                      <w:color w:val="auto"/>
                      <w:sz w:val="21"/>
                      <w:szCs w:val="21"/>
                      <w:highlight w:val="none"/>
                    </w:rPr>
                    <w:t>，不在生态红线内。</w:t>
                  </w:r>
                </w:p>
              </w:tc>
              <w:tc>
                <w:tcPr>
                  <w:tcW w:w="377" w:type="pct"/>
                  <w:noWrap w:val="0"/>
                  <w:vAlign w:val="center"/>
                </w:tcPr>
                <w:p w14:paraId="0A08045E">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6DB5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B66361F">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环境质量底线</w:t>
                  </w:r>
                </w:p>
              </w:tc>
              <w:tc>
                <w:tcPr>
                  <w:tcW w:w="2673" w:type="pct"/>
                  <w:noWrap w:val="0"/>
                  <w:vAlign w:val="center"/>
                </w:tcPr>
                <w:p w14:paraId="5CB2FB3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全市水环境质量保持优良，县级以上集中式饮用水水源水质全面稳定达到或优于Ⅲ类，考核断面优良水质比例达100%。大气环境质量持续改善，AQI和PM</w:t>
                  </w:r>
                  <w:r>
                    <w:rPr>
                      <w:rFonts w:hint="default" w:ascii="Times New Roman" w:hAnsi="Times New Roman" w:cs="Times New Roman"/>
                      <w:color w:val="auto"/>
                      <w:kern w:val="0"/>
                      <w:sz w:val="21"/>
                      <w:szCs w:val="21"/>
                      <w:highlight w:val="none"/>
                      <w:vertAlign w:val="subscript"/>
                    </w:rPr>
                    <w:t>2.5</w:t>
                  </w:r>
                  <w:r>
                    <w:rPr>
                      <w:rFonts w:hint="default" w:ascii="Times New Roman" w:hAnsi="Times New Roman" w:cs="Times New Roman"/>
                      <w:color w:val="auto"/>
                      <w:kern w:val="0"/>
                      <w:sz w:val="21"/>
                      <w:szCs w:val="21"/>
                      <w:highlight w:val="none"/>
                    </w:rPr>
                    <w:t>等主要指标达到省下达的任务要求，臭氧污染得到有效遏制。土壤环境质量稳中向好，土壤环境风险得到管控。</w:t>
                  </w:r>
                </w:p>
              </w:tc>
              <w:tc>
                <w:tcPr>
                  <w:tcW w:w="1611" w:type="pct"/>
                  <w:noWrap w:val="0"/>
                  <w:vAlign w:val="center"/>
                </w:tcPr>
                <w:p w14:paraId="4610A2BD">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项目所在区域的声环境质量能够符合相应的标准要求；地表水质量达标；根据《</w:t>
                  </w:r>
                  <w:r>
                    <w:rPr>
                      <w:rFonts w:hint="eastAsia" w:ascii="Times New Roman" w:hAnsi="Times New Roman" w:cs="Times New Roman"/>
                      <w:color w:val="auto"/>
                      <w:kern w:val="0"/>
                      <w:sz w:val="21"/>
                      <w:szCs w:val="21"/>
                      <w:highlight w:val="none"/>
                      <w:lang w:val="en-US" w:eastAsia="zh-CN"/>
                    </w:rPr>
                    <w:t>2024</w:t>
                  </w:r>
                  <w:r>
                    <w:rPr>
                      <w:rFonts w:hint="default" w:ascii="Times New Roman" w:hAnsi="Times New Roman" w:cs="Times New Roman"/>
                      <w:color w:val="auto"/>
                      <w:kern w:val="0"/>
                      <w:sz w:val="21"/>
                      <w:szCs w:val="21"/>
                      <w:highlight w:val="none"/>
                    </w:rPr>
                    <w:t>年韶关市生态环境状况公报》</w:t>
                  </w:r>
                  <w:r>
                    <w:rPr>
                      <w:rFonts w:hint="default" w:ascii="Times New Roman" w:hAnsi="Times New Roman" w:cs="Times New Roman"/>
                      <w:bCs/>
                      <w:color w:val="auto"/>
                      <w:sz w:val="21"/>
                      <w:szCs w:val="21"/>
                      <w:highlight w:val="none"/>
                    </w:rPr>
                    <w:t>，乐昌市</w:t>
                  </w:r>
                  <w:r>
                    <w:rPr>
                      <w:rFonts w:hint="default" w:ascii="Times New Roman" w:hAnsi="Times New Roman" w:cs="Times New Roman"/>
                      <w:bCs/>
                      <w:color w:val="auto"/>
                      <w:sz w:val="21"/>
                      <w:szCs w:val="21"/>
                      <w:highlight w:val="none"/>
                      <w:lang w:val="en-US" w:eastAsia="zh-CN"/>
                    </w:rPr>
                    <w:t>各项基本污染物</w:t>
                  </w:r>
                  <w:r>
                    <w:rPr>
                      <w:rFonts w:hint="default" w:ascii="Times New Roman" w:hAnsi="Times New Roman" w:cs="Times New Roman"/>
                      <w:bCs/>
                      <w:color w:val="auto"/>
                      <w:sz w:val="21"/>
                      <w:szCs w:val="21"/>
                      <w:highlight w:val="none"/>
                    </w:rPr>
                    <w:t>均满足《环境空气质量标准》（GB3095-2026）过渡阶段浓度限值二级标准，由此说明</w:t>
                  </w:r>
                  <w:r>
                    <w:rPr>
                      <w:rFonts w:hint="default" w:ascii="Times New Roman" w:hAnsi="Times New Roman" w:cs="Times New Roman"/>
                      <w:bCs/>
                      <w:color w:val="auto"/>
                      <w:sz w:val="21"/>
                      <w:szCs w:val="21"/>
                      <w:highlight w:val="none"/>
                      <w:lang w:val="en-US" w:eastAsia="zh-CN"/>
                    </w:rPr>
                    <w:t>韶关市</w:t>
                  </w:r>
                  <w:r>
                    <w:rPr>
                      <w:rFonts w:hint="default" w:ascii="Times New Roman" w:hAnsi="Times New Roman" w:cs="Times New Roman"/>
                      <w:bCs/>
                      <w:color w:val="auto"/>
                      <w:sz w:val="21"/>
                      <w:szCs w:val="21"/>
                      <w:highlight w:val="none"/>
                    </w:rPr>
                    <w:t>乐昌市属于环境空气质量达标区</w:t>
                  </w:r>
                  <w:r>
                    <w:rPr>
                      <w:rFonts w:hint="default" w:ascii="Times New Roman" w:hAnsi="Times New Roman" w:cs="Times New Roman"/>
                      <w:color w:val="auto"/>
                      <w:kern w:val="0"/>
                      <w:sz w:val="21"/>
                      <w:szCs w:val="21"/>
                      <w:highlight w:val="none"/>
                    </w:rPr>
                    <w:t>。本项目排放的大气污染物</w:t>
                  </w:r>
                  <w:r>
                    <w:rPr>
                      <w:rFonts w:hint="default" w:ascii="Times New Roman" w:hAnsi="Times New Roman" w:cs="Times New Roman"/>
                      <w:color w:val="auto"/>
                      <w:kern w:val="0"/>
                      <w:sz w:val="21"/>
                      <w:szCs w:val="21"/>
                      <w:highlight w:val="none"/>
                      <w:lang w:val="en-US" w:eastAsia="zh-CN"/>
                    </w:rPr>
                    <w:t>为颗粒物、二氧化硫、氮氧化物</w:t>
                  </w:r>
                  <w:r>
                    <w:rPr>
                      <w:rFonts w:hint="eastAsia" w:cs="Times New Roman"/>
                      <w:color w:val="auto"/>
                      <w:kern w:val="0"/>
                      <w:sz w:val="21"/>
                      <w:szCs w:val="21"/>
                      <w:highlight w:val="none"/>
                      <w:lang w:val="en-US" w:eastAsia="zh-CN"/>
                    </w:rPr>
                    <w:t>、非甲烷总烃、苯系物、油烟、臭气浓度等</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项目废气排放量较少</w:t>
                  </w:r>
                  <w:r>
                    <w:rPr>
                      <w:rFonts w:hint="default" w:ascii="Times New Roman" w:hAnsi="Times New Roman" w:cs="Times New Roman"/>
                      <w:color w:val="auto"/>
                      <w:kern w:val="0"/>
                      <w:sz w:val="21"/>
                      <w:szCs w:val="21"/>
                      <w:highlight w:val="none"/>
                    </w:rPr>
                    <w:t>，对周围大气环境影响不大。项目外排生产</w:t>
                  </w:r>
                  <w:r>
                    <w:rPr>
                      <w:rFonts w:hint="default" w:ascii="Times New Roman" w:hAnsi="Times New Roman" w:cs="Times New Roman"/>
                      <w:color w:val="auto"/>
                      <w:sz w:val="21"/>
                      <w:szCs w:val="21"/>
                      <w:highlight w:val="none"/>
                      <w:lang w:val="en-US" w:eastAsia="zh-CN"/>
                    </w:rPr>
                    <w:t>废水、</w:t>
                  </w:r>
                  <w:r>
                    <w:rPr>
                      <w:rFonts w:hint="default" w:ascii="Times New Roman" w:hAnsi="Times New Roman" w:cs="Times New Roman"/>
                      <w:color w:val="auto"/>
                      <w:sz w:val="21"/>
                      <w:szCs w:val="21"/>
                      <w:highlight w:val="none"/>
                    </w:rPr>
                    <w:t>生活污水</w:t>
                  </w:r>
                  <w:r>
                    <w:rPr>
                      <w:rFonts w:hint="default" w:ascii="Times New Roman" w:hAnsi="Times New Roman" w:cs="Times New Roman"/>
                      <w:color w:val="auto"/>
                      <w:sz w:val="21"/>
                      <w:szCs w:val="21"/>
                      <w:highlight w:val="none"/>
                      <w:lang w:val="en-US" w:eastAsia="zh-CN"/>
                    </w:rPr>
                    <w:t>经处理达标后排入园区污水处理厂处理</w:t>
                  </w:r>
                  <w:r>
                    <w:rPr>
                      <w:rFonts w:hint="default" w:ascii="Times New Roman" w:hAnsi="Times New Roman" w:cs="Times New Roman"/>
                      <w:color w:val="auto"/>
                      <w:sz w:val="21"/>
                      <w:szCs w:val="21"/>
                      <w:highlight w:val="none"/>
                    </w:rPr>
                    <w:t>。</w:t>
                  </w:r>
                </w:p>
              </w:tc>
              <w:tc>
                <w:tcPr>
                  <w:tcW w:w="377" w:type="pct"/>
                  <w:noWrap w:val="0"/>
                  <w:vAlign w:val="center"/>
                </w:tcPr>
                <w:p w14:paraId="22408099">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B7B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6C39F21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资源利用上线</w:t>
                  </w:r>
                </w:p>
              </w:tc>
              <w:tc>
                <w:tcPr>
                  <w:tcW w:w="2673" w:type="pct"/>
                  <w:noWrap w:val="0"/>
                  <w:vAlign w:val="center"/>
                </w:tcPr>
                <w:p w14:paraId="732A8A7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强化节约集约利用，持续提升资源能源利用效率，水资源、土地资源、岸线资源、能源消耗等达到或优于国家、省下达的总量和强度控制目标。水资源利用效率持续提高。到2025年，全市用水总量控制在19.71亿立方米以内，万元地区生产总值用水量较2020年降幅不低于24%，万元工业增加值用水量较2020年降幅不低于20%。</w:t>
                  </w:r>
                </w:p>
                <w:p w14:paraId="250C1748">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土地资源集约化利用水平不断提升。耕地保有量、永久基本农田保护面积、建设用地总规模、城乡建设用地规模等严格落实国家和省下达的总量和强度控制指标。</w:t>
                  </w:r>
                </w:p>
                <w:p w14:paraId="044D458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岸线资源得到有效保护。自然岸线保有率达到省级考核要求。</w:t>
                  </w:r>
                </w:p>
                <w:p w14:paraId="1F46E6E2">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能源利用效率持续提升，能源结构不断优化。到2025年，全市单位地区生产总值能源消耗比2020年下降15.5%。碳排放控制步伐加快推进，与全省同步达峰。</w:t>
                  </w:r>
                </w:p>
              </w:tc>
              <w:tc>
                <w:tcPr>
                  <w:tcW w:w="1611" w:type="pct"/>
                  <w:noWrap w:val="0"/>
                  <w:vAlign w:val="center"/>
                </w:tcPr>
                <w:p w14:paraId="36FC6EB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本项目营运过程中消耗一定量的电能</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天然气</w:t>
                  </w:r>
                  <w:r>
                    <w:rPr>
                      <w:rFonts w:hint="default" w:ascii="Times New Roman" w:hAnsi="Times New Roman" w:cs="Times New Roman"/>
                      <w:color w:val="auto"/>
                      <w:kern w:val="0"/>
                      <w:sz w:val="21"/>
                      <w:szCs w:val="21"/>
                      <w:highlight w:val="none"/>
                    </w:rPr>
                    <w:t>、水资源，项目资源消耗量相对区域</w:t>
                  </w:r>
                  <w:r>
                    <w:rPr>
                      <w:rFonts w:hint="eastAsia" w:ascii="Times New Roman" w:hAnsi="Times New Roman" w:cs="Times New Roman"/>
                      <w:color w:val="auto"/>
                      <w:kern w:val="0"/>
                      <w:sz w:val="21"/>
                      <w:szCs w:val="21"/>
                      <w:highlight w:val="none"/>
                      <w:lang w:eastAsia="zh-CN"/>
                    </w:rPr>
                    <w:t>资源</w:t>
                  </w:r>
                  <w:r>
                    <w:rPr>
                      <w:rFonts w:hint="default" w:ascii="Times New Roman" w:hAnsi="Times New Roman" w:cs="Times New Roman"/>
                      <w:color w:val="auto"/>
                      <w:kern w:val="0"/>
                      <w:sz w:val="21"/>
                      <w:szCs w:val="21"/>
                      <w:highlight w:val="none"/>
                    </w:rPr>
                    <w:t>利用总量较少，符合资源利用上限的要求。</w:t>
                  </w:r>
                </w:p>
              </w:tc>
              <w:tc>
                <w:tcPr>
                  <w:tcW w:w="377" w:type="pct"/>
                  <w:noWrap w:val="0"/>
                  <w:vAlign w:val="center"/>
                </w:tcPr>
                <w:p w14:paraId="4305ED57">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bl>
          <w:p w14:paraId="146722E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196B03A1">
            <w:pPr>
              <w:spacing w:line="360" w:lineRule="auto"/>
              <w:ind w:firstLine="480" w:firstLineChars="200"/>
              <w:rPr>
                <w:rFonts w:hint="default" w:eastAsia="宋体"/>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rPr>
              <w:t>本项目与</w:t>
            </w:r>
            <w:r>
              <w:rPr>
                <w:rFonts w:hint="eastAsia" w:ascii="Times New Roman" w:hAnsi="Times New Roman" w:cs="Times New Roman"/>
                <w:b w:val="0"/>
                <w:bCs w:val="0"/>
                <w:color w:val="auto"/>
                <w:sz w:val="24"/>
                <w:szCs w:val="24"/>
                <w:highlight w:val="none"/>
                <w:lang w:val="en-US" w:eastAsia="zh-CN"/>
              </w:rPr>
              <w:t>韶关市</w:t>
            </w:r>
            <w:r>
              <w:rPr>
                <w:rFonts w:hint="eastAsia" w:cs="Times New Roman"/>
                <w:b w:val="0"/>
                <w:bCs w:val="0"/>
                <w:color w:val="auto"/>
                <w:sz w:val="24"/>
                <w:szCs w:val="24"/>
                <w:highlight w:val="none"/>
                <w:lang w:val="en-US" w:eastAsia="zh-CN"/>
              </w:rPr>
              <w:t>生态环境分区管控方案</w:t>
            </w:r>
            <w:r>
              <w:rPr>
                <w:rFonts w:hint="eastAsia" w:ascii="Times New Roman" w:hAnsi="Times New Roman" w:cs="Times New Roman"/>
                <w:b w:val="0"/>
                <w:bCs w:val="0"/>
                <w:color w:val="auto"/>
                <w:sz w:val="24"/>
                <w:szCs w:val="24"/>
                <w:highlight w:val="none"/>
                <w:lang w:val="en-US" w:eastAsia="zh-CN"/>
              </w:rPr>
              <w:t>全市管控要求如下表所示：</w:t>
            </w:r>
          </w:p>
          <w:p w14:paraId="61FEE978">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与韶关市生态环境分区管控方案相符性分析</w:t>
            </w:r>
          </w:p>
          <w:tbl>
            <w:tblPr>
              <w:tblStyle w:val="4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3439"/>
              <w:gridCol w:w="1944"/>
              <w:gridCol w:w="428"/>
            </w:tblGrid>
            <w:tr w14:paraId="425A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39" w:type="pct"/>
                  <w:gridSpan w:val="2"/>
                  <w:tcBorders>
                    <w:tl2br w:val="nil"/>
                    <w:tr2bl w:val="nil"/>
                  </w:tcBorders>
                  <w:noWrap w:val="0"/>
                  <w:vAlign w:val="center"/>
                </w:tcPr>
                <w:p w14:paraId="588019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内容</w:t>
                  </w:r>
                </w:p>
              </w:tc>
              <w:tc>
                <w:tcPr>
                  <w:tcW w:w="2978" w:type="pct"/>
                  <w:tcBorders>
                    <w:tl2br w:val="nil"/>
                    <w:tr2bl w:val="nil"/>
                  </w:tcBorders>
                  <w:noWrap w:val="0"/>
                  <w:vAlign w:val="center"/>
                </w:tcPr>
                <w:p w14:paraId="03C30D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要求</w:t>
                  </w:r>
                </w:p>
              </w:tc>
              <w:tc>
                <w:tcPr>
                  <w:tcW w:w="999" w:type="pct"/>
                  <w:tcBorders>
                    <w:tl2br w:val="nil"/>
                    <w:tr2bl w:val="nil"/>
                  </w:tcBorders>
                  <w:noWrap w:val="0"/>
                  <w:vAlign w:val="center"/>
                </w:tcPr>
                <w:p w14:paraId="024A59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相符性分析</w:t>
                  </w:r>
                </w:p>
              </w:tc>
              <w:tc>
                <w:tcPr>
                  <w:tcW w:w="382" w:type="pct"/>
                  <w:tcBorders>
                    <w:tl2br w:val="nil"/>
                    <w:tr2bl w:val="nil"/>
                  </w:tcBorders>
                  <w:noWrap w:val="0"/>
                  <w:vAlign w:val="center"/>
                </w:tcPr>
                <w:p w14:paraId="798B1A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结论</w:t>
                  </w:r>
                </w:p>
              </w:tc>
            </w:tr>
            <w:tr w14:paraId="664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restart"/>
                  <w:tcBorders>
                    <w:tl2br w:val="nil"/>
                    <w:tr2bl w:val="nil"/>
                  </w:tcBorders>
                  <w:noWrap w:val="0"/>
                  <w:vAlign w:val="center"/>
                </w:tcPr>
                <w:p w14:paraId="4A4801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全市总体管控</w:t>
                  </w:r>
                </w:p>
              </w:tc>
              <w:tc>
                <w:tcPr>
                  <w:tcW w:w="320" w:type="pct"/>
                  <w:tcBorders>
                    <w:tl2br w:val="nil"/>
                    <w:tr2bl w:val="nil"/>
                  </w:tcBorders>
                  <w:noWrap w:val="0"/>
                  <w:vAlign w:val="center"/>
                </w:tcPr>
                <w:p w14:paraId="50BE0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kern w:val="0"/>
                      <w:sz w:val="21"/>
                      <w:szCs w:val="21"/>
                      <w:highlight w:val="none"/>
                      <w:lang w:bidi="ar"/>
                    </w:rPr>
                    <w:t>区域布局管控</w:t>
                  </w:r>
                </w:p>
              </w:tc>
              <w:tc>
                <w:tcPr>
                  <w:tcW w:w="2978" w:type="pct"/>
                  <w:tcBorders>
                    <w:tl2br w:val="nil"/>
                    <w:tr2bl w:val="nil"/>
                  </w:tcBorders>
                  <w:noWrap w:val="0"/>
                  <w:vAlign w:val="center"/>
                </w:tcPr>
                <w:p w14:paraId="301344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999" w:type="pct"/>
                  <w:tcBorders>
                    <w:tl2br w:val="nil"/>
                    <w:tr2bl w:val="nil"/>
                  </w:tcBorders>
                  <w:noWrap w:val="0"/>
                  <w:vAlign w:val="center"/>
                </w:tcPr>
                <w:p w14:paraId="3CC97F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从事金属表面处理及热处理加工行业，不涉重金属，不属于高污染高耗能行业，项目位于乐昌产业转移工业园，园区已开展规划环境评价，项目符合园区准入条件。项目所在地属于环境功能二类区、水环境质量达标区。</w:t>
                  </w:r>
                </w:p>
              </w:tc>
              <w:tc>
                <w:tcPr>
                  <w:tcW w:w="382" w:type="pct"/>
                  <w:tcBorders>
                    <w:tl2br w:val="nil"/>
                    <w:tr2bl w:val="nil"/>
                  </w:tcBorders>
                  <w:noWrap w:val="0"/>
                  <w:vAlign w:val="center"/>
                </w:tcPr>
                <w:p w14:paraId="02F0AA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7778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4B27B6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p>
              </w:tc>
              <w:tc>
                <w:tcPr>
                  <w:tcW w:w="320" w:type="pct"/>
                  <w:tcBorders>
                    <w:tl2br w:val="nil"/>
                    <w:tr2bl w:val="nil"/>
                  </w:tcBorders>
                  <w:noWrap w:val="0"/>
                  <w:vAlign w:val="center"/>
                </w:tcPr>
                <w:p w14:paraId="180505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978" w:type="pct"/>
                  <w:tcBorders>
                    <w:tl2br w:val="nil"/>
                    <w:tr2bl w:val="nil"/>
                  </w:tcBorders>
                  <w:noWrap w:val="0"/>
                  <w:vAlign w:val="center"/>
                </w:tcPr>
                <w:p w14:paraId="1EC3EC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999" w:type="pct"/>
                  <w:tcBorders>
                    <w:tl2br w:val="nil"/>
                    <w:tr2bl w:val="nil"/>
                  </w:tcBorders>
                  <w:noWrap w:val="0"/>
                  <w:vAlign w:val="center"/>
                </w:tcPr>
                <w:p w14:paraId="210D8F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default" w:ascii="Times New Roman" w:hAnsi="Times New Roman" w:cs="Times New Roman"/>
                      <w:color w:val="auto"/>
                      <w:sz w:val="21"/>
                      <w:szCs w:val="21"/>
                      <w:highlight w:val="none"/>
                      <w:lang w:eastAsia="zh-CN"/>
                    </w:rPr>
                    <w:t>属于</w:t>
                  </w:r>
                  <w:r>
                    <w:rPr>
                      <w:rFonts w:hint="default" w:ascii="Times New Roman" w:hAnsi="Times New Roman" w:cs="Times New Roman"/>
                      <w:color w:val="auto"/>
                      <w:sz w:val="21"/>
                      <w:szCs w:val="21"/>
                      <w:highlight w:val="none"/>
                    </w:rPr>
                    <w:t>金属表面处理及热处理加工行业，不属于电力、建材、冶炼等重点耗能行业，不涉及水电、风电、矿产资源开发。项目</w:t>
                  </w:r>
                  <w:r>
                    <w:rPr>
                      <w:rFonts w:hint="eastAsia" w:cs="Times New Roman"/>
                      <w:color w:val="auto"/>
                      <w:sz w:val="21"/>
                      <w:szCs w:val="21"/>
                      <w:highlight w:val="none"/>
                      <w:lang w:val="en-US" w:eastAsia="zh-CN"/>
                    </w:rPr>
                    <w:t>烘干炉、固化炉</w:t>
                  </w:r>
                  <w:r>
                    <w:rPr>
                      <w:rFonts w:hint="default" w:ascii="Times New Roman" w:hAnsi="Times New Roman" w:cs="Times New Roman"/>
                      <w:color w:val="auto"/>
                      <w:sz w:val="21"/>
                      <w:szCs w:val="21"/>
                      <w:highlight w:val="none"/>
                    </w:rPr>
                    <w:t>能源使用天然气，天然气属于清洁能源。</w:t>
                  </w:r>
                </w:p>
              </w:tc>
              <w:tc>
                <w:tcPr>
                  <w:tcW w:w="382" w:type="pct"/>
                  <w:tcBorders>
                    <w:tl2br w:val="nil"/>
                    <w:tr2bl w:val="nil"/>
                  </w:tcBorders>
                  <w:noWrap w:val="0"/>
                  <w:vAlign w:val="center"/>
                </w:tcPr>
                <w:p w14:paraId="12AA9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79D5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7C7C9C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p>
              </w:tc>
              <w:tc>
                <w:tcPr>
                  <w:tcW w:w="320" w:type="pct"/>
                  <w:tcBorders>
                    <w:tl2br w:val="nil"/>
                    <w:tr2bl w:val="nil"/>
                  </w:tcBorders>
                  <w:noWrap w:val="0"/>
                  <w:vAlign w:val="center"/>
                </w:tcPr>
                <w:p w14:paraId="61B351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污染物排放管控</w:t>
                  </w:r>
                </w:p>
              </w:tc>
              <w:tc>
                <w:tcPr>
                  <w:tcW w:w="2978" w:type="pct"/>
                  <w:tcBorders>
                    <w:tl2br w:val="nil"/>
                    <w:tr2bl w:val="nil"/>
                  </w:tcBorders>
                  <w:noWrap w:val="0"/>
                  <w:vAlign w:val="center"/>
                </w:tcPr>
                <w:p w14:paraId="26A390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14825C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5F716E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46749E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999" w:type="pct"/>
                  <w:tcBorders>
                    <w:tl2br w:val="nil"/>
                    <w:tr2bl w:val="nil"/>
                  </w:tcBorders>
                  <w:noWrap w:val="0"/>
                  <w:vAlign w:val="center"/>
                </w:tcPr>
                <w:p w14:paraId="1678F2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本项目为金属表面处理及热处理加工行业，不属于造纸、焦化、有色金属、印染、农副食品加工、原料药制造、制革、农药、电镀等行业，不属于“两高”项目。氮氧化物</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VOCs实行总量控制。项目所在地不涉及饮用水水源保护区，外排生产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r>
                    <w:rPr>
                      <w:rFonts w:hint="eastAsia"/>
                      <w:color w:val="auto"/>
                      <w:sz w:val="21"/>
                      <w:szCs w:val="21"/>
                      <w:highlight w:val="none"/>
                      <w:lang w:val="en-US" w:eastAsia="zh-CN"/>
                    </w:rPr>
                    <w:t>深度处理</w:t>
                  </w:r>
                  <w:r>
                    <w:rPr>
                      <w:rFonts w:hint="default" w:ascii="Times New Roman" w:hAnsi="Times New Roman" w:cs="Times New Roman"/>
                      <w:color w:val="auto"/>
                      <w:sz w:val="21"/>
                      <w:szCs w:val="21"/>
                      <w:highlight w:val="none"/>
                    </w:rPr>
                    <w:t>；生活污水经三级化粪池</w:t>
                  </w:r>
                  <w:r>
                    <w:rPr>
                      <w:rFonts w:hint="default" w:ascii="Times New Roman" w:hAnsi="Times New Roman" w:cs="Times New Roman"/>
                      <w:color w:val="auto"/>
                      <w:sz w:val="21"/>
                      <w:szCs w:val="21"/>
                      <w:highlight w:val="none"/>
                      <w:lang w:val="en-US" w:eastAsia="zh-CN"/>
                    </w:rPr>
                    <w:t>+隔油隔渣池</w:t>
                  </w:r>
                  <w:r>
                    <w:rPr>
                      <w:rFonts w:hint="default" w:ascii="Times New Roman" w:hAnsi="Times New Roman" w:cs="Times New Roman"/>
                      <w:color w:val="auto"/>
                      <w:sz w:val="21"/>
                      <w:szCs w:val="21"/>
                      <w:highlight w:val="none"/>
                    </w:rPr>
                    <w:t>处理后排入园区污水处理厂</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污水处理厂废水</w:t>
                  </w:r>
                  <w:r>
                    <w:rPr>
                      <w:rFonts w:hint="eastAsia"/>
                      <w:color w:val="auto"/>
                      <w:sz w:val="21"/>
                      <w:szCs w:val="21"/>
                      <w:highlight w:val="none"/>
                      <w:lang w:val="en-US" w:eastAsia="zh-CN"/>
                    </w:rPr>
                    <w:t>处理</w:t>
                  </w:r>
                  <w:r>
                    <w:rPr>
                      <w:rFonts w:hint="eastAsia"/>
                      <w:color w:val="auto"/>
                      <w:sz w:val="21"/>
                      <w:szCs w:val="21"/>
                      <w:highlight w:val="none"/>
                    </w:rPr>
                    <w:t>达标后通过出水管道输送</w:t>
                  </w:r>
                  <w:r>
                    <w:rPr>
                      <w:rFonts w:hint="eastAsia"/>
                      <w:color w:val="auto"/>
                      <w:sz w:val="21"/>
                      <w:szCs w:val="21"/>
                      <w:highlight w:val="none"/>
                      <w:lang w:val="en-US" w:eastAsia="zh-CN"/>
                    </w:rPr>
                    <w:t>尾水</w:t>
                  </w:r>
                  <w:r>
                    <w:rPr>
                      <w:rFonts w:hint="eastAsia"/>
                      <w:color w:val="auto"/>
                      <w:sz w:val="21"/>
                      <w:szCs w:val="21"/>
                      <w:highlight w:val="none"/>
                      <w:lang w:eastAsia="zh-CN"/>
                    </w:rPr>
                    <w:t>，</w:t>
                  </w:r>
                  <w:r>
                    <w:rPr>
                      <w:rFonts w:hint="eastAsia"/>
                      <w:color w:val="auto"/>
                      <w:sz w:val="21"/>
                      <w:szCs w:val="21"/>
                      <w:highlight w:val="none"/>
                      <w:lang w:val="en-US" w:eastAsia="zh-CN"/>
                    </w:rPr>
                    <w:t>经</w:t>
                  </w:r>
                  <w:r>
                    <w:rPr>
                      <w:rFonts w:hint="eastAsia"/>
                      <w:color w:val="auto"/>
                      <w:sz w:val="21"/>
                      <w:szCs w:val="21"/>
                      <w:highlight w:val="none"/>
                    </w:rPr>
                    <w:t>废水排放口</w:t>
                  </w:r>
                  <w:r>
                    <w:rPr>
                      <w:rFonts w:hint="eastAsia"/>
                      <w:color w:val="auto"/>
                      <w:sz w:val="21"/>
                      <w:szCs w:val="21"/>
                      <w:highlight w:val="none"/>
                      <w:lang w:eastAsia="zh-CN"/>
                    </w:rPr>
                    <w:t>（</w:t>
                  </w:r>
                  <w:r>
                    <w:rPr>
                      <w:rFonts w:hint="eastAsia"/>
                      <w:color w:val="auto"/>
                      <w:sz w:val="21"/>
                      <w:szCs w:val="21"/>
                      <w:highlight w:val="none"/>
                    </w:rPr>
                    <w:t>WS-LC005001</w:t>
                  </w:r>
                  <w:r>
                    <w:rPr>
                      <w:rFonts w:hint="eastAsia"/>
                      <w:color w:val="auto"/>
                      <w:sz w:val="21"/>
                      <w:szCs w:val="21"/>
                      <w:highlight w:val="none"/>
                      <w:lang w:eastAsia="zh-CN"/>
                    </w:rPr>
                    <w:t>）</w:t>
                  </w:r>
                  <w:r>
                    <w:rPr>
                      <w:rFonts w:hint="eastAsia"/>
                      <w:color w:val="auto"/>
                      <w:sz w:val="21"/>
                      <w:szCs w:val="21"/>
                      <w:highlight w:val="none"/>
                      <w:lang w:val="en-US" w:eastAsia="zh-CN"/>
                    </w:rPr>
                    <w:t>排放至</w:t>
                  </w:r>
                  <w:r>
                    <w:rPr>
                      <w:rFonts w:hint="eastAsia"/>
                      <w:color w:val="auto"/>
                      <w:sz w:val="21"/>
                      <w:szCs w:val="21"/>
                      <w:highlight w:val="none"/>
                    </w:rPr>
                    <w:t>榴村霜降坑河</w:t>
                  </w:r>
                  <w:r>
                    <w:rPr>
                      <w:rFonts w:hint="eastAsia"/>
                      <w:color w:val="auto"/>
                      <w:sz w:val="21"/>
                      <w:szCs w:val="21"/>
                      <w:highlight w:val="none"/>
                      <w:lang w:eastAsia="zh-CN"/>
                    </w:rPr>
                    <w:t>，</w:t>
                  </w:r>
                  <w:r>
                    <w:rPr>
                      <w:rFonts w:hint="eastAsia"/>
                      <w:color w:val="auto"/>
                      <w:sz w:val="21"/>
                      <w:szCs w:val="21"/>
                      <w:highlight w:val="none"/>
                      <w:lang w:val="en-US" w:eastAsia="zh-CN"/>
                    </w:rPr>
                    <w:t>最终</w:t>
                  </w:r>
                  <w:r>
                    <w:rPr>
                      <w:rFonts w:hint="eastAsia"/>
                      <w:color w:val="auto"/>
                      <w:sz w:val="21"/>
                      <w:szCs w:val="21"/>
                      <w:highlight w:val="none"/>
                    </w:rPr>
                    <w:t>流入武江</w:t>
                  </w:r>
                  <w:r>
                    <w:rPr>
                      <w:rFonts w:hint="eastAsia"/>
                      <w:color w:val="auto"/>
                      <w:sz w:val="21"/>
                      <w:szCs w:val="21"/>
                      <w:highlight w:val="none"/>
                      <w:lang w:eastAsia="zh-CN"/>
                    </w:rPr>
                    <w:t>，</w:t>
                  </w:r>
                  <w:r>
                    <w:rPr>
                      <w:rFonts w:hint="default" w:ascii="Times New Roman" w:hAnsi="Times New Roman" w:cs="Times New Roman"/>
                      <w:color w:val="auto"/>
                      <w:sz w:val="21"/>
                      <w:szCs w:val="21"/>
                      <w:highlight w:val="none"/>
                    </w:rPr>
                    <w:t>园区污水处理厂执行《城镇污水处理厂污染物排放标准》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GB18918-2002</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中</w:t>
                  </w:r>
                  <w:r>
                    <w:rPr>
                      <w:rFonts w:hint="eastAsia" w:cs="Times New Roman"/>
                      <w:color w:val="auto"/>
                      <w:sz w:val="21"/>
                      <w:szCs w:val="21"/>
                      <w:highlight w:val="none"/>
                      <w:lang w:eastAsia="zh-CN"/>
                    </w:rPr>
                    <w:t>及其修改单一级 A 标准</w:t>
                  </w:r>
                  <w:r>
                    <w:rPr>
                      <w:rFonts w:hint="default" w:ascii="Times New Roman" w:hAnsi="Times New Roman" w:cs="Times New Roman"/>
                      <w:color w:val="auto"/>
                      <w:sz w:val="21"/>
                      <w:szCs w:val="21"/>
                      <w:highlight w:val="none"/>
                    </w:rPr>
                    <w:t>和广东省《水污染物排放限值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（DB44/26-2001）中的第二时段一级排放标准中严者。</w:t>
                  </w:r>
                </w:p>
              </w:tc>
              <w:tc>
                <w:tcPr>
                  <w:tcW w:w="382" w:type="pct"/>
                  <w:tcBorders>
                    <w:tl2br w:val="nil"/>
                    <w:tr2bl w:val="nil"/>
                  </w:tcBorders>
                  <w:noWrap w:val="0"/>
                  <w:vAlign w:val="center"/>
                </w:tcPr>
                <w:p w14:paraId="767952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087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569C32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20" w:type="pct"/>
                  <w:tcBorders>
                    <w:tl2br w:val="nil"/>
                    <w:tr2bl w:val="nil"/>
                  </w:tcBorders>
                  <w:noWrap w:val="0"/>
                  <w:vAlign w:val="center"/>
                </w:tcPr>
                <w:p w14:paraId="7BBDD9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环境风险管控</w:t>
                  </w:r>
                </w:p>
              </w:tc>
              <w:tc>
                <w:tcPr>
                  <w:tcW w:w="2978" w:type="pct"/>
                  <w:tcBorders>
                    <w:tl2br w:val="nil"/>
                    <w:tr2bl w:val="nil"/>
                  </w:tcBorders>
                  <w:noWrap w:val="0"/>
                  <w:vAlign w:val="center"/>
                </w:tcPr>
                <w:p w14:paraId="2E949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999" w:type="pct"/>
                  <w:tcBorders>
                    <w:tl2br w:val="nil"/>
                    <w:tr2bl w:val="nil"/>
                  </w:tcBorders>
                  <w:noWrap w:val="0"/>
                  <w:vAlign w:val="center"/>
                </w:tcPr>
                <w:p w14:paraId="06509B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82" w:type="pct"/>
                  <w:tcBorders>
                    <w:tl2br w:val="nil"/>
                    <w:tr2bl w:val="nil"/>
                  </w:tcBorders>
                  <w:noWrap w:val="0"/>
                  <w:vAlign w:val="center"/>
                </w:tcPr>
                <w:p w14:paraId="739830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269E8D61">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3079D600">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本项目位于韶关市乐昌市</w:t>
            </w:r>
            <w:r>
              <w:rPr>
                <w:rFonts w:hint="eastAsia" w:cs="Times New Roman"/>
                <w:b w:val="0"/>
                <w:bCs w:val="0"/>
                <w:color w:val="auto"/>
                <w:kern w:val="0"/>
                <w:sz w:val="24"/>
                <w:highlight w:val="none"/>
                <w:lang w:val="en-US" w:eastAsia="zh-CN"/>
              </w:rPr>
              <w:t>乐昌产业转移工业园GL-02-02-01地块</w:t>
            </w:r>
            <w:r>
              <w:rPr>
                <w:rFonts w:hint="eastAsia" w:ascii="Times New Roman" w:hAnsi="Times New Roman" w:eastAsia="宋体" w:cs="Times New Roman"/>
                <w:b w:val="0"/>
                <w:bCs w:val="0"/>
                <w:color w:val="auto"/>
                <w:kern w:val="0"/>
                <w:sz w:val="24"/>
                <w:highlight w:val="none"/>
                <w:lang w:val="en-US" w:eastAsia="zh-CN"/>
              </w:rPr>
              <w:t>，根据广东省</w:t>
            </w: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三线一单</w:t>
            </w: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应用平台的查询结果，涉及5个单元，根据单元准入要求分析，总计发现需关注的准入要求16条，其他准入要求22条。其中：</w:t>
            </w:r>
          </w:p>
          <w:p w14:paraId="45D5B89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（1）本项目</w:t>
            </w:r>
            <w:r>
              <w:rPr>
                <w:rFonts w:hint="eastAsia" w:ascii="Times New Roman" w:hAnsi="Times New Roman" w:eastAsia="宋体" w:cs="Times New Roman"/>
                <w:b w:val="0"/>
                <w:bCs w:val="0"/>
                <w:color w:val="auto"/>
                <w:kern w:val="0"/>
                <w:sz w:val="24"/>
                <w:highlight w:val="none"/>
                <w:lang w:val="en-US" w:eastAsia="zh-CN"/>
              </w:rPr>
              <w:t>陆域环境管控单元为</w:t>
            </w:r>
            <w:r>
              <w:rPr>
                <w:rFonts w:hint="default" w:ascii="Times New Roman" w:hAnsi="Times New Roman" w:eastAsia="宋体" w:cs="Times New Roman"/>
                <w:b w:val="0"/>
                <w:bCs w:val="0"/>
                <w:color w:val="auto"/>
                <w:kern w:val="0"/>
                <w:sz w:val="24"/>
                <w:highlight w:val="none"/>
                <w:lang w:val="en-US" w:eastAsia="zh-CN"/>
              </w:rPr>
              <w:t>ZH44028120003乐昌经济开发区重点管控单元</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14-1</w:t>
            </w:r>
            <w:r>
              <w:rPr>
                <w:rFonts w:hint="default" w:ascii="Times New Roman" w:hAnsi="Times New Roman" w:eastAsia="宋体" w:cs="Times New Roman"/>
                <w:b w:val="0"/>
                <w:bCs w:val="0"/>
                <w:color w:val="auto"/>
                <w:kern w:val="0"/>
                <w:sz w:val="24"/>
                <w:highlight w:val="none"/>
                <w:lang w:val="en-US" w:eastAsia="zh-CN"/>
              </w:rPr>
              <w:t>。</w:t>
            </w:r>
          </w:p>
          <w:p w14:paraId="35AFE4C9">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2</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生态空间分区为YS4402813110001乐昌市生态空间一般管控区，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14-2。</w:t>
            </w:r>
          </w:p>
          <w:p w14:paraId="302E22D0">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3</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水环境管控分区为YS4402813210013廊田水韶关市长来-廊田-五山镇控制单元，</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14-3</w:t>
            </w:r>
            <w:r>
              <w:rPr>
                <w:rFonts w:hint="default" w:ascii="Times New Roman" w:hAnsi="Times New Roman" w:eastAsia="宋体" w:cs="Times New Roman"/>
                <w:b w:val="0"/>
                <w:bCs w:val="0"/>
                <w:color w:val="auto"/>
                <w:kern w:val="0"/>
                <w:sz w:val="24"/>
                <w:highlight w:val="none"/>
                <w:lang w:val="en-US" w:eastAsia="zh-CN"/>
              </w:rPr>
              <w:t>。</w:t>
            </w:r>
          </w:p>
          <w:p w14:paraId="75268DC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4</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大气环境管控分区为YS4402812310002大气环境高排放重点管控区，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14-4</w:t>
            </w:r>
            <w:r>
              <w:rPr>
                <w:rFonts w:hint="default" w:ascii="Times New Roman" w:hAnsi="Times New Roman" w:eastAsia="宋体" w:cs="Times New Roman"/>
                <w:b w:val="0"/>
                <w:bCs w:val="0"/>
                <w:color w:val="auto"/>
                <w:kern w:val="0"/>
                <w:sz w:val="24"/>
                <w:highlight w:val="none"/>
                <w:lang w:val="en-US" w:eastAsia="zh-CN"/>
              </w:rPr>
              <w:t>。</w:t>
            </w:r>
          </w:p>
          <w:p w14:paraId="3A8D73E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5</w:t>
            </w:r>
            <w:r>
              <w:rPr>
                <w:rFonts w:hint="default" w:ascii="Times New Roman" w:hAnsi="Times New Roman" w:eastAsia="宋体" w:cs="Times New Roman"/>
                <w:b w:val="0"/>
                <w:bCs w:val="0"/>
                <w:color w:val="auto"/>
                <w:kern w:val="0"/>
                <w:sz w:val="24"/>
                <w:highlight w:val="none"/>
                <w:lang w:val="en-US" w:eastAsia="zh-CN"/>
              </w:rPr>
              <w:t>）本项目</w:t>
            </w:r>
            <w:r>
              <w:rPr>
                <w:rFonts w:hint="eastAsia" w:cs="Times New Roman"/>
                <w:b w:val="0"/>
                <w:bCs w:val="0"/>
                <w:color w:val="auto"/>
                <w:kern w:val="0"/>
                <w:sz w:val="24"/>
                <w:highlight w:val="none"/>
                <w:lang w:val="en-US" w:eastAsia="zh-CN"/>
              </w:rPr>
              <w:t>所在区域</w:t>
            </w:r>
            <w:r>
              <w:rPr>
                <w:rFonts w:hint="eastAsia" w:ascii="Times New Roman" w:hAnsi="Times New Roman" w:eastAsia="宋体" w:cs="Times New Roman"/>
                <w:b w:val="0"/>
                <w:bCs w:val="0"/>
                <w:color w:val="auto"/>
                <w:kern w:val="0"/>
                <w:sz w:val="24"/>
                <w:highlight w:val="none"/>
                <w:lang w:val="en-US" w:eastAsia="zh-CN"/>
              </w:rPr>
              <w:t>为YS4402812540001乐昌市高污染燃料禁燃区，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14-5</w:t>
            </w:r>
            <w:r>
              <w:rPr>
                <w:rFonts w:hint="default" w:ascii="Times New Roman" w:hAnsi="Times New Roman" w:eastAsia="宋体" w:cs="Times New Roman"/>
                <w:b w:val="0"/>
                <w:bCs w:val="0"/>
                <w:color w:val="auto"/>
                <w:kern w:val="0"/>
                <w:sz w:val="24"/>
                <w:highlight w:val="none"/>
                <w:lang w:val="en-US" w:eastAsia="zh-CN"/>
              </w:rPr>
              <w:t>。</w:t>
            </w:r>
          </w:p>
          <w:p w14:paraId="653B1AEA">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其具体管控要求相符性分析详见下表。</w:t>
            </w:r>
          </w:p>
          <w:p w14:paraId="14550C00">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w:t>
            </w:r>
            <w:r>
              <w:rPr>
                <w:rFonts w:hint="eastAsia"/>
                <w:b/>
                <w:bCs/>
                <w:color w:val="auto"/>
                <w:sz w:val="21"/>
                <w:szCs w:val="21"/>
                <w:highlight w:val="none"/>
              </w:rPr>
              <w:t>生态环境准入清单</w:t>
            </w:r>
            <w:r>
              <w:rPr>
                <w:rFonts w:hint="eastAsia"/>
                <w:color w:val="auto"/>
                <w:sz w:val="21"/>
                <w:szCs w:val="21"/>
                <w:highlight w:val="none"/>
                <w:lang w:val="en-US" w:eastAsia="zh-CN"/>
              </w:rPr>
              <w:t>相符性分析</w:t>
            </w: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708"/>
              <w:gridCol w:w="554"/>
              <w:gridCol w:w="2605"/>
              <w:gridCol w:w="1519"/>
              <w:gridCol w:w="91"/>
              <w:gridCol w:w="24"/>
              <w:gridCol w:w="20"/>
              <w:gridCol w:w="482"/>
            </w:tblGrid>
            <w:tr w14:paraId="3551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9"/>
                  <w:tcBorders>
                    <w:tl2br w:val="nil"/>
                    <w:tr2bl w:val="nil"/>
                  </w:tcBorders>
                  <w:noWrap w:val="0"/>
                  <w:vAlign w:val="center"/>
                </w:tcPr>
                <w:p w14:paraId="60E8D2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与</w:t>
                  </w:r>
                  <w:r>
                    <w:rPr>
                      <w:rFonts w:hint="default" w:ascii="Times New Roman" w:hAnsi="Times New Roman" w:cs="Times New Roman"/>
                      <w:b/>
                      <w:bCs/>
                      <w:color w:val="auto"/>
                      <w:kern w:val="0"/>
                      <w:sz w:val="21"/>
                      <w:szCs w:val="21"/>
                      <w:highlight w:val="none"/>
                      <w:lang w:val="en-US" w:eastAsia="zh-CN"/>
                    </w:rPr>
                    <w:t>乐昌经济开发区重点管控单元（ZH44028120003）要求相符性分析</w:t>
                  </w:r>
                </w:p>
              </w:tc>
            </w:tr>
            <w:tr w14:paraId="1FFF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restart"/>
                  <w:tcBorders>
                    <w:tl2br w:val="nil"/>
                    <w:tr2bl w:val="nil"/>
                  </w:tcBorders>
                  <w:noWrap w:val="0"/>
                  <w:vAlign w:val="center"/>
                </w:tcPr>
                <w:p w14:paraId="400A0F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生态环境准入清单</w:t>
                  </w:r>
                </w:p>
              </w:tc>
              <w:tc>
                <w:tcPr>
                  <w:tcW w:w="306" w:type="pct"/>
                  <w:tcBorders>
                    <w:tl2br w:val="nil"/>
                    <w:tr2bl w:val="nil"/>
                  </w:tcBorders>
                  <w:noWrap w:val="0"/>
                  <w:vAlign w:val="center"/>
                </w:tcPr>
                <w:p w14:paraId="075BF1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区域布局管控</w:t>
                  </w:r>
                </w:p>
              </w:tc>
              <w:tc>
                <w:tcPr>
                  <w:tcW w:w="2714" w:type="pct"/>
                  <w:gridSpan w:val="2"/>
                  <w:tcBorders>
                    <w:tl2br w:val="nil"/>
                    <w:tr2bl w:val="nil"/>
                  </w:tcBorders>
                  <w:noWrap w:val="0"/>
                  <w:vAlign w:val="center"/>
                </w:tcPr>
                <w:p w14:paraId="46D9B2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1-1.【产业/鼓励引导类】重点发展现代轻工产业（消费电子等）、先进装备制造业等产业，优先引进无污染物或轻污染项目。</w:t>
                  </w:r>
                </w:p>
                <w:p w14:paraId="137999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1-2.【产业/禁止类】园区禁止引入专业电镀、化学制浆、鞣革等水污染物排放量大或排放一类污染物、持久性有机污染物的项目。</w:t>
                  </w:r>
                </w:p>
                <w:p w14:paraId="3282AA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1-3.【产业/限制类】严格限制不符合园区发展定位的项目入驻。</w:t>
                  </w:r>
                </w:p>
                <w:p w14:paraId="303A75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1-4.【产业/综合类】居民区、学校等环境敏感点邻近地块优先布局废气排放量小、工业噪声影响小的产业。</w:t>
                  </w:r>
                </w:p>
              </w:tc>
              <w:tc>
                <w:tcPr>
                  <w:tcW w:w="1317" w:type="pct"/>
                  <w:gridSpan w:val="3"/>
                  <w:tcBorders>
                    <w:tl2br w:val="nil"/>
                    <w:tr2bl w:val="nil"/>
                  </w:tcBorders>
                  <w:noWrap w:val="0"/>
                  <w:vAlign w:val="center"/>
                </w:tcPr>
                <w:p w14:paraId="18102F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本项目为金属表面处理及热处理加工行业，不属于专业电镀、化学制浆、鞣革等水污染物排放量大或排放一类污染物、持久性有机污染物的项目；项目符合园区发展定位；</w:t>
                  </w:r>
                  <w:r>
                    <w:rPr>
                      <w:rFonts w:hint="default" w:ascii="Times New Roman" w:hAnsi="Times New Roman" w:cs="Times New Roman"/>
                      <w:color w:val="auto"/>
                      <w:sz w:val="21"/>
                      <w:szCs w:val="21"/>
                      <w:highlight w:val="none"/>
                      <w:lang w:val="en-US" w:eastAsia="zh-CN"/>
                    </w:rPr>
                    <w:t>本项目废气排放量较小，涉及环境敏感点为居民区，符合布局要求</w:t>
                  </w:r>
                  <w:r>
                    <w:rPr>
                      <w:rFonts w:hint="default" w:ascii="Times New Roman" w:hAnsi="Times New Roman" w:cs="Times New Roman"/>
                      <w:color w:val="auto"/>
                      <w:sz w:val="21"/>
                      <w:szCs w:val="21"/>
                      <w:highlight w:val="none"/>
                    </w:rPr>
                    <w:t>。</w:t>
                  </w:r>
                </w:p>
              </w:tc>
              <w:tc>
                <w:tcPr>
                  <w:tcW w:w="374" w:type="pct"/>
                  <w:gridSpan w:val="2"/>
                  <w:tcBorders>
                    <w:tl2br w:val="nil"/>
                    <w:tr2bl w:val="nil"/>
                  </w:tcBorders>
                  <w:noWrap w:val="0"/>
                  <w:vAlign w:val="center"/>
                </w:tcPr>
                <w:p w14:paraId="373289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0C7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7DF952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794F00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714" w:type="pct"/>
                  <w:gridSpan w:val="2"/>
                  <w:tcBorders>
                    <w:tl2br w:val="nil"/>
                    <w:tr2bl w:val="nil"/>
                  </w:tcBorders>
                  <w:noWrap w:val="0"/>
                  <w:vAlign w:val="center"/>
                </w:tcPr>
                <w:p w14:paraId="4EC6C6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2-1.【能源/鼓励引导类】园区内能源结构应以电能、燃气等清洁能源为主。</w:t>
                  </w:r>
                </w:p>
                <w:p w14:paraId="2D95B6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2-2.【水资源/综合类】提高园区水资源利用效率，加快中水回用系统建设。</w:t>
                  </w:r>
                </w:p>
                <w:p w14:paraId="41F37F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2-3.【其他/综合类】有行业清洁生产标准的新引进项目清洁生产水平须达到本行业国内先进水平。</w:t>
                  </w:r>
                </w:p>
              </w:tc>
              <w:tc>
                <w:tcPr>
                  <w:tcW w:w="1317" w:type="pct"/>
                  <w:gridSpan w:val="3"/>
                  <w:tcBorders>
                    <w:tl2br w:val="nil"/>
                    <w:tr2bl w:val="nil"/>
                  </w:tcBorders>
                  <w:noWrap w:val="0"/>
                  <w:vAlign w:val="center"/>
                </w:tcPr>
                <w:p w14:paraId="589FA2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项目主要以电能、天然气作为生产能源，属于清洁能源；项目外排生产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p>
              </w:tc>
              <w:tc>
                <w:tcPr>
                  <w:tcW w:w="374" w:type="pct"/>
                  <w:gridSpan w:val="2"/>
                  <w:tcBorders>
                    <w:tl2br w:val="nil"/>
                    <w:tr2bl w:val="nil"/>
                  </w:tcBorders>
                  <w:noWrap w:val="0"/>
                  <w:vAlign w:val="center"/>
                </w:tcPr>
                <w:p w14:paraId="6143D6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16F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6AC29E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2A069C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污染物排放管控</w:t>
                  </w:r>
                </w:p>
              </w:tc>
              <w:tc>
                <w:tcPr>
                  <w:tcW w:w="2714" w:type="pct"/>
                  <w:gridSpan w:val="2"/>
                  <w:tcBorders>
                    <w:tl2br w:val="nil"/>
                    <w:tr2bl w:val="nil"/>
                  </w:tcBorders>
                  <w:noWrap w:val="0"/>
                  <w:vAlign w:val="center"/>
                </w:tcPr>
                <w:p w14:paraId="056600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3-1.【水、大气/限制类】园区各项污染物排放总量不得突破园区规划环评核定的污染物排放总量管控要求。</w:t>
                  </w:r>
                </w:p>
                <w:p w14:paraId="20E7E3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水/限制类】实行重点重金属污染物（铅、砷、汞、镉、铬）等量替代。严格控制涉重金属及有毒有害污染物排放的项目建设，新建、改建、扩建涉重金属重点行业的项目应明确重金属污染物总量来源。3-3.【大气/限制类】新建项目原则上实施氮氧化物、挥发性有机物排放量等量替代。</w:t>
                  </w:r>
                </w:p>
                <w:p w14:paraId="7BAF4A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3-4.【其它/鼓励引导类】支持危险废物专业收集转运和利用处置单位建设区域性收集网点和贮存设施。</w:t>
                  </w:r>
                </w:p>
              </w:tc>
              <w:tc>
                <w:tcPr>
                  <w:tcW w:w="1317" w:type="pct"/>
                  <w:gridSpan w:val="3"/>
                  <w:tcBorders>
                    <w:tl2br w:val="nil"/>
                    <w:tr2bl w:val="nil"/>
                  </w:tcBorders>
                  <w:noWrap w:val="0"/>
                  <w:vAlign w:val="center"/>
                </w:tcPr>
                <w:p w14:paraId="6DF3EC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本项目实施后园区的总量指标依然没有超规划环评的总量指标</w:t>
                  </w:r>
                  <w:r>
                    <w:rPr>
                      <w:rFonts w:hint="default" w:ascii="Times New Roman" w:hAnsi="Times New Roman" w:cs="Times New Roman"/>
                      <w:color w:val="auto"/>
                      <w:sz w:val="21"/>
                      <w:szCs w:val="21"/>
                      <w:highlight w:val="none"/>
                    </w:rPr>
                    <w:t>，需向韶关市生态环境局乐昌分局申请分配实行等量代替，</w:t>
                  </w:r>
                  <w:r>
                    <w:rPr>
                      <w:rFonts w:hint="eastAsia" w:cs="Times New Roman"/>
                      <w:color w:val="auto"/>
                      <w:sz w:val="21"/>
                      <w:szCs w:val="21"/>
                      <w:highlight w:val="none"/>
                      <w:lang w:val="en-US" w:eastAsia="zh-CN"/>
                    </w:rPr>
                    <w:t>申请总量为VOCs1.022t/a、氮氧化物0.341t/a（详见附件9）。</w:t>
                  </w:r>
                  <w:r>
                    <w:rPr>
                      <w:rFonts w:hint="default" w:ascii="Times New Roman" w:hAnsi="Times New Roman" w:cs="Times New Roman"/>
                      <w:color w:val="auto"/>
                      <w:sz w:val="21"/>
                      <w:szCs w:val="21"/>
                      <w:highlight w:val="none"/>
                    </w:rPr>
                    <w:t>项目不涉及重金属污染物，危险废物贮存在厂区</w:t>
                  </w:r>
                  <w:r>
                    <w:rPr>
                      <w:rFonts w:hint="eastAsia" w:cs="Times New Roman"/>
                      <w:color w:val="auto"/>
                      <w:sz w:val="21"/>
                      <w:szCs w:val="21"/>
                      <w:highlight w:val="none"/>
                      <w:lang w:eastAsia="zh-CN"/>
                    </w:rPr>
                    <w:t>危险废物贮存间</w:t>
                  </w:r>
                  <w:r>
                    <w:rPr>
                      <w:rFonts w:hint="default" w:ascii="Times New Roman" w:hAnsi="Times New Roman" w:cs="Times New Roman"/>
                      <w:color w:val="auto"/>
                      <w:sz w:val="21"/>
                      <w:szCs w:val="21"/>
                      <w:highlight w:val="none"/>
                    </w:rPr>
                    <w:t>，统一收集后交有资质的单位处理。</w:t>
                  </w:r>
                </w:p>
              </w:tc>
              <w:tc>
                <w:tcPr>
                  <w:tcW w:w="374" w:type="pct"/>
                  <w:gridSpan w:val="2"/>
                  <w:tcBorders>
                    <w:tl2br w:val="nil"/>
                    <w:tr2bl w:val="nil"/>
                  </w:tcBorders>
                  <w:noWrap w:val="0"/>
                  <w:vAlign w:val="center"/>
                </w:tcPr>
                <w:p w14:paraId="0D0D6C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786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0F8D0C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4F391C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环境风险防控</w:t>
                  </w:r>
                </w:p>
              </w:tc>
              <w:tc>
                <w:tcPr>
                  <w:tcW w:w="2714" w:type="pct"/>
                  <w:gridSpan w:val="2"/>
                  <w:tcBorders>
                    <w:tl2br w:val="nil"/>
                    <w:tr2bl w:val="nil"/>
                  </w:tcBorders>
                  <w:noWrap w:val="0"/>
                  <w:vAlign w:val="center"/>
                </w:tcPr>
                <w:p w14:paraId="55A4FC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default" w:ascii="Times New Roman" w:hAnsi="Times New Roman" w:cs="Times New Roman"/>
                      <w:color w:val="auto"/>
                      <w:sz w:val="21"/>
                      <w:szCs w:val="21"/>
                      <w:highlight w:val="none"/>
                      <w:lang w:eastAsia="zh-CN"/>
                    </w:rPr>
                    <w:t>水</w:t>
                  </w:r>
                  <w:r>
                    <w:rPr>
                      <w:rFonts w:hint="default" w:ascii="Times New Roman" w:hAnsi="Times New Roman" w:cs="Times New Roman"/>
                      <w:color w:val="auto"/>
                      <w:sz w:val="21"/>
                      <w:szCs w:val="21"/>
                      <w:highlight w:val="none"/>
                    </w:rPr>
                    <w:t>处理厂设置足够容积的事故应急池，纳污水体设置水质监控断面，发现问题，及时采取限制废水排放等措施。</w:t>
                  </w:r>
                </w:p>
              </w:tc>
              <w:tc>
                <w:tcPr>
                  <w:tcW w:w="1317" w:type="pct"/>
                  <w:gridSpan w:val="3"/>
                  <w:tcBorders>
                    <w:tl2br w:val="nil"/>
                    <w:tr2bl w:val="nil"/>
                  </w:tcBorders>
                  <w:noWrap w:val="0"/>
                  <w:vAlign w:val="center"/>
                </w:tcPr>
                <w:p w14:paraId="47C0A7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w:t>
                  </w:r>
                  <w:r>
                    <w:rPr>
                      <w:rFonts w:hint="default" w:ascii="Times New Roman" w:hAnsi="Times New Roman" w:cs="Times New Roman"/>
                      <w:color w:val="auto"/>
                      <w:sz w:val="21"/>
                      <w:szCs w:val="21"/>
                      <w:highlight w:val="none"/>
                      <w:lang w:eastAsia="zh-CN"/>
                    </w:rPr>
                    <w:t>乐昌产业转移工业园</w:t>
                  </w:r>
                  <w:r>
                    <w:rPr>
                      <w:rFonts w:hint="default" w:ascii="Times New Roman" w:hAnsi="Times New Roman" w:cs="Times New Roman"/>
                      <w:color w:val="auto"/>
                      <w:sz w:val="21"/>
                      <w:szCs w:val="21"/>
                      <w:highlight w:val="none"/>
                    </w:rPr>
                    <w:t>内，</w:t>
                  </w:r>
                  <w:r>
                    <w:rPr>
                      <w:rFonts w:hint="default" w:ascii="Times New Roman" w:hAnsi="Times New Roman" w:cs="Times New Roman"/>
                      <w:color w:val="auto"/>
                      <w:sz w:val="21"/>
                      <w:szCs w:val="21"/>
                      <w:highlight w:val="none"/>
                      <w:lang w:eastAsia="zh-CN"/>
                    </w:rPr>
                    <w:t>乐昌产业转移工业园</w:t>
                  </w:r>
                  <w:r>
                    <w:rPr>
                      <w:rFonts w:hint="default" w:ascii="Times New Roman" w:hAnsi="Times New Roman" w:cs="Times New Roman"/>
                      <w:color w:val="auto"/>
                      <w:sz w:val="21"/>
                      <w:szCs w:val="21"/>
                      <w:highlight w:val="none"/>
                    </w:rPr>
                    <w:t>已完善相关环保手续，并制定了事故风险防范和应急措施，能够满足项目环境风险防控的要求。</w:t>
                  </w:r>
                </w:p>
              </w:tc>
              <w:tc>
                <w:tcPr>
                  <w:tcW w:w="374" w:type="pct"/>
                  <w:gridSpan w:val="2"/>
                  <w:tcBorders>
                    <w:tl2br w:val="nil"/>
                    <w:tr2bl w:val="nil"/>
                  </w:tcBorders>
                  <w:noWrap w:val="0"/>
                  <w:vAlign w:val="center"/>
                </w:tcPr>
                <w:p w14:paraId="54B6BA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3EA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D9BEE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环境管控单元编码</w:t>
                  </w:r>
                </w:p>
              </w:tc>
              <w:tc>
                <w:tcPr>
                  <w:tcW w:w="2475" w:type="pct"/>
                  <w:tcBorders>
                    <w:tl2br w:val="nil"/>
                    <w:tr2bl w:val="nil"/>
                  </w:tcBorders>
                  <w:noWrap w:val="0"/>
                  <w:vAlign w:val="center"/>
                </w:tcPr>
                <w:p w14:paraId="6BFFF4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环境管控单元名称</w:t>
                  </w:r>
                </w:p>
              </w:tc>
              <w:tc>
                <w:tcPr>
                  <w:tcW w:w="1692" w:type="pct"/>
                  <w:gridSpan w:val="5"/>
                  <w:tcBorders>
                    <w:tl2br w:val="nil"/>
                    <w:tr2bl w:val="nil"/>
                  </w:tcBorders>
                  <w:noWrap w:val="0"/>
                  <w:vAlign w:val="center"/>
                </w:tcPr>
                <w:p w14:paraId="3EC5DB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管控单元分类</w:t>
                  </w:r>
                </w:p>
              </w:tc>
            </w:tr>
            <w:tr w14:paraId="316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2EB03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YS4402813110001</w:t>
                  </w:r>
                </w:p>
              </w:tc>
              <w:tc>
                <w:tcPr>
                  <w:tcW w:w="2475" w:type="pct"/>
                  <w:tcBorders>
                    <w:tl2br w:val="nil"/>
                    <w:tr2bl w:val="nil"/>
                  </w:tcBorders>
                  <w:noWrap w:val="0"/>
                  <w:vAlign w:val="center"/>
                </w:tcPr>
                <w:p w14:paraId="30E857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乐昌市生态空间一般管控区</w:t>
                  </w:r>
                </w:p>
              </w:tc>
              <w:tc>
                <w:tcPr>
                  <w:tcW w:w="1692" w:type="pct"/>
                  <w:gridSpan w:val="5"/>
                  <w:tcBorders>
                    <w:tl2br w:val="nil"/>
                    <w:tr2bl w:val="nil"/>
                  </w:tcBorders>
                  <w:noWrap w:val="0"/>
                  <w:vAlign w:val="center"/>
                </w:tcPr>
                <w:p w14:paraId="452760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生态空间一般管控区</w:t>
                  </w:r>
                </w:p>
              </w:tc>
            </w:tr>
            <w:tr w14:paraId="65E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F9216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0AAF7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224" w:type="pct"/>
                  <w:tcBorders>
                    <w:tl2br w:val="nil"/>
                    <w:tr2bl w:val="nil"/>
                  </w:tcBorders>
                  <w:noWrap w:val="0"/>
                  <w:vAlign w:val="center"/>
                </w:tcPr>
                <w:p w14:paraId="3469C1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468" w:type="pct"/>
                  <w:gridSpan w:val="4"/>
                  <w:tcBorders>
                    <w:tl2br w:val="nil"/>
                    <w:tr2bl w:val="nil"/>
                  </w:tcBorders>
                  <w:noWrap w:val="0"/>
                  <w:vAlign w:val="center"/>
                </w:tcPr>
                <w:p w14:paraId="26BB18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w:t>
                  </w:r>
                </w:p>
              </w:tc>
            </w:tr>
            <w:tr w14:paraId="3A9A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940DF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区域布局管控</w:t>
                  </w:r>
                </w:p>
              </w:tc>
              <w:tc>
                <w:tcPr>
                  <w:tcW w:w="2475" w:type="pct"/>
                  <w:tcBorders>
                    <w:tl2br w:val="nil"/>
                    <w:tr2bl w:val="nil"/>
                  </w:tcBorders>
                  <w:noWrap w:val="0"/>
                  <w:vAlign w:val="center"/>
                </w:tcPr>
                <w:p w14:paraId="093B61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按国家和省统一要求管理。</w:t>
                  </w:r>
                </w:p>
              </w:tc>
              <w:tc>
                <w:tcPr>
                  <w:tcW w:w="1224" w:type="pct"/>
                  <w:tcBorders>
                    <w:tl2br w:val="nil"/>
                    <w:tr2bl w:val="nil"/>
                  </w:tcBorders>
                  <w:noWrap w:val="0"/>
                  <w:vAlign w:val="center"/>
                </w:tcPr>
                <w:p w14:paraId="2FC92F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项目不涉及自然生态用地，合理开发，符合城市规划</w:t>
                  </w:r>
                </w:p>
              </w:tc>
              <w:tc>
                <w:tcPr>
                  <w:tcW w:w="468" w:type="pct"/>
                  <w:gridSpan w:val="4"/>
                  <w:tcBorders>
                    <w:tl2br w:val="nil"/>
                    <w:tr2bl w:val="nil"/>
                  </w:tcBorders>
                  <w:noWrap w:val="0"/>
                  <w:vAlign w:val="center"/>
                </w:tcPr>
                <w:p w14:paraId="5E8B68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77C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AC211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0B5B6E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7193AE6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3F3E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8CD8B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YS440281321001</w:t>
                  </w:r>
                  <w:r>
                    <w:rPr>
                      <w:rFonts w:hint="eastAsia" w:ascii="Times New Roman" w:hAnsi="Times New Roman" w:eastAsia="宋体" w:cs="Times New Roman"/>
                      <w:color w:val="auto"/>
                      <w:sz w:val="21"/>
                      <w:szCs w:val="21"/>
                      <w:highlight w:val="none"/>
                      <w:lang w:val="en-US" w:eastAsia="zh-CN"/>
                    </w:rPr>
                    <w:t>3</w:t>
                  </w:r>
                </w:p>
              </w:tc>
              <w:tc>
                <w:tcPr>
                  <w:tcW w:w="2475" w:type="pct"/>
                  <w:tcBorders>
                    <w:tl2br w:val="nil"/>
                    <w:tr2bl w:val="nil"/>
                  </w:tcBorders>
                  <w:noWrap w:val="0"/>
                  <w:vAlign w:val="center"/>
                </w:tcPr>
                <w:p w14:paraId="612A3F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廊田水韶关市长来-廊田-五山镇控制单元</w:t>
                  </w:r>
                </w:p>
              </w:tc>
              <w:tc>
                <w:tcPr>
                  <w:tcW w:w="1692" w:type="pct"/>
                  <w:gridSpan w:val="5"/>
                  <w:tcBorders>
                    <w:tl2br w:val="nil"/>
                    <w:tr2bl w:val="nil"/>
                  </w:tcBorders>
                  <w:noWrap w:val="0"/>
                  <w:vAlign w:val="center"/>
                </w:tcPr>
                <w:p w14:paraId="2B2A30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水环境一般管控区</w:t>
                  </w:r>
                </w:p>
              </w:tc>
            </w:tr>
            <w:tr w14:paraId="5074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78C29B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73453EB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297" w:type="pct"/>
                  <w:gridSpan w:val="2"/>
                  <w:tcBorders>
                    <w:tl2br w:val="nil"/>
                    <w:tr2bl w:val="nil"/>
                  </w:tcBorders>
                  <w:noWrap w:val="0"/>
                  <w:vAlign w:val="center"/>
                </w:tcPr>
                <w:p w14:paraId="14BF244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94" w:type="pct"/>
                  <w:gridSpan w:val="3"/>
                  <w:tcBorders>
                    <w:tl2br w:val="nil"/>
                    <w:tr2bl w:val="nil"/>
                  </w:tcBorders>
                  <w:noWrap w:val="0"/>
                  <w:vAlign w:val="center"/>
                </w:tcPr>
                <w:p w14:paraId="320A8E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7285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7D46A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530FFC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严格执行畜禽养殖禁养区管理要求，畜禽养殖禁养区内严禁建设规模化畜禽养殖场和规模化畜禽养殖小区，禁养区外的养殖场应配套污染防治设施</w:t>
                  </w:r>
                </w:p>
              </w:tc>
              <w:tc>
                <w:tcPr>
                  <w:tcW w:w="1297" w:type="pct"/>
                  <w:gridSpan w:val="2"/>
                  <w:tcBorders>
                    <w:tl2br w:val="nil"/>
                    <w:tr2bl w:val="nil"/>
                  </w:tcBorders>
                  <w:noWrap w:val="0"/>
                  <w:vAlign w:val="center"/>
                </w:tcPr>
                <w:p w14:paraId="6E2BE3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本项目不涉及畜禽养殖。</w:t>
                  </w:r>
                </w:p>
              </w:tc>
              <w:tc>
                <w:tcPr>
                  <w:tcW w:w="394" w:type="pct"/>
                  <w:gridSpan w:val="3"/>
                  <w:tcBorders>
                    <w:tl2br w:val="nil"/>
                    <w:tr2bl w:val="nil"/>
                  </w:tcBorders>
                  <w:noWrap w:val="0"/>
                  <w:vAlign w:val="center"/>
                </w:tcPr>
                <w:p w14:paraId="3998F6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7EF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9436E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环境风险防控</w:t>
                  </w:r>
                </w:p>
              </w:tc>
              <w:tc>
                <w:tcPr>
                  <w:tcW w:w="2475" w:type="pct"/>
                  <w:tcBorders>
                    <w:tl2br w:val="nil"/>
                    <w:tr2bl w:val="nil"/>
                  </w:tcBorders>
                  <w:noWrap w:val="0"/>
                  <w:vAlign w:val="center"/>
                </w:tcPr>
                <w:p w14:paraId="3FFAEC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集中式污水处理厂应采取有效措施，防止事故废水直接排入水体</w:t>
                  </w:r>
                </w:p>
              </w:tc>
              <w:tc>
                <w:tcPr>
                  <w:tcW w:w="1297" w:type="pct"/>
                  <w:gridSpan w:val="2"/>
                  <w:tcBorders>
                    <w:tl2br w:val="nil"/>
                    <w:tr2bl w:val="nil"/>
                  </w:tcBorders>
                  <w:noWrap w:val="0"/>
                  <w:vAlign w:val="center"/>
                </w:tcPr>
                <w:p w14:paraId="190CA4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本项目不属于集中式污水处理厂，</w:t>
                  </w:r>
                  <w:r>
                    <w:rPr>
                      <w:rFonts w:hint="eastAsia" w:ascii="Times New Roman" w:hAnsi="Times New Roman" w:cs="Times New Roman"/>
                      <w:color w:val="auto"/>
                      <w:sz w:val="21"/>
                      <w:szCs w:val="21"/>
                      <w:highlight w:val="none"/>
                      <w:lang w:val="en-US" w:eastAsia="zh-CN"/>
                    </w:rPr>
                    <w:t>且</w:t>
                  </w:r>
                  <w:r>
                    <w:rPr>
                      <w:rFonts w:hint="default" w:ascii="Times New Roman" w:hAnsi="Times New Roman" w:cs="Times New Roman"/>
                      <w:color w:val="auto"/>
                      <w:sz w:val="21"/>
                      <w:szCs w:val="21"/>
                      <w:highlight w:val="none"/>
                    </w:rPr>
                    <w:t>依托的园区污水处理厂设有应急措施。</w:t>
                  </w:r>
                </w:p>
              </w:tc>
              <w:tc>
                <w:tcPr>
                  <w:tcW w:w="394" w:type="pct"/>
                  <w:gridSpan w:val="3"/>
                  <w:tcBorders>
                    <w:tl2br w:val="nil"/>
                    <w:tr2bl w:val="nil"/>
                  </w:tcBorders>
                  <w:noWrap w:val="0"/>
                  <w:vAlign w:val="center"/>
                </w:tcPr>
                <w:p w14:paraId="42D48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90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164051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4726D1C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55B517C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402F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6FA5E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YS4402812310002</w:t>
                  </w:r>
                </w:p>
              </w:tc>
              <w:tc>
                <w:tcPr>
                  <w:tcW w:w="2475" w:type="pct"/>
                  <w:tcBorders>
                    <w:tl2br w:val="nil"/>
                    <w:tr2bl w:val="nil"/>
                  </w:tcBorders>
                  <w:noWrap w:val="0"/>
                  <w:vAlign w:val="center"/>
                </w:tcPr>
                <w:p w14:paraId="13E3A4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大气环境高排放重点管控区</w:t>
                  </w:r>
                </w:p>
              </w:tc>
              <w:tc>
                <w:tcPr>
                  <w:tcW w:w="1692" w:type="pct"/>
                  <w:gridSpan w:val="5"/>
                  <w:tcBorders>
                    <w:tl2br w:val="nil"/>
                    <w:tr2bl w:val="nil"/>
                  </w:tcBorders>
                  <w:noWrap w:val="0"/>
                  <w:vAlign w:val="center"/>
                </w:tcPr>
                <w:p w14:paraId="38C6B4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重点管控区</w:t>
                  </w:r>
                </w:p>
              </w:tc>
            </w:tr>
            <w:tr w14:paraId="775C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CB73DB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134A499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332" w:type="pct"/>
                  <w:gridSpan w:val="4"/>
                  <w:tcBorders>
                    <w:tl2br w:val="nil"/>
                    <w:tr2bl w:val="nil"/>
                  </w:tcBorders>
                  <w:noWrap w:val="0"/>
                  <w:vAlign w:val="center"/>
                </w:tcPr>
                <w:p w14:paraId="7FC5DF1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59" w:type="pct"/>
                  <w:tcBorders>
                    <w:tl2br w:val="nil"/>
                    <w:tr2bl w:val="nil"/>
                  </w:tcBorders>
                  <w:noWrap w:val="0"/>
                  <w:vAlign w:val="center"/>
                </w:tcPr>
                <w:p w14:paraId="574D52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4631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46FE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5971F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1-1.引导工业项目科学布局，新建项目原则上入园管理，推动现有工业项目集中进园。</w:t>
                  </w:r>
                </w:p>
                <w:p w14:paraId="46951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1-2.严格控制涉重金属及有毒有害污染物排放的项目建设，新建、改建、扩建涉重金属重点行业的项目应明确重金属污染物总量来源。</w:t>
                  </w:r>
                </w:p>
                <w:p w14:paraId="3115CB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1-3.严格限制新建除热电联产以外的煤电项目；严格限制新（改、扩）建钢铁、建材（水泥、平板玻璃）、焦化、有色金属冶炼、石化等高污染行业项目。</w:t>
                  </w:r>
                </w:p>
                <w:p w14:paraId="521AB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1-4.禁止违法露天焚烧秸秆等产生烟尘污染物质以及焚烧垃圾等产生有毒有害烟尘、恶臭气体物质的行为。</w:t>
                  </w:r>
                </w:p>
              </w:tc>
              <w:tc>
                <w:tcPr>
                  <w:tcW w:w="1332" w:type="pct"/>
                  <w:gridSpan w:val="4"/>
                  <w:tcBorders>
                    <w:tl2br w:val="nil"/>
                    <w:tr2bl w:val="nil"/>
                  </w:tcBorders>
                  <w:noWrap w:val="0"/>
                  <w:vAlign w:val="center"/>
                </w:tcPr>
                <w:p w14:paraId="5C27F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本项目选址位于乐昌产业转移工业园，属于入园管理项目；</w:t>
                  </w:r>
                </w:p>
                <w:p w14:paraId="64A93C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本项目为金属表面处理及热处理加工行业</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不属于严格限制的项目</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且废气排放不涉及</w:t>
                  </w:r>
                  <w:r>
                    <w:rPr>
                      <w:rFonts w:hint="default" w:ascii="Times New Roman" w:hAnsi="Times New Roman" w:eastAsia="宋体" w:cs="Times New Roman"/>
                      <w:color w:val="auto"/>
                      <w:sz w:val="21"/>
                      <w:szCs w:val="21"/>
                      <w:highlight w:val="none"/>
                    </w:rPr>
                    <w:t>重金属及有毒有害污染物</w:t>
                  </w:r>
                  <w:r>
                    <w:rPr>
                      <w:rFonts w:hint="default" w:ascii="Times New Roman" w:hAnsi="Times New Roman" w:cs="Times New Roman"/>
                      <w:color w:val="auto"/>
                      <w:sz w:val="21"/>
                      <w:szCs w:val="21"/>
                      <w:highlight w:val="none"/>
                      <w:lang w:eastAsia="zh-CN"/>
                    </w:rPr>
                    <w:t>。</w:t>
                  </w:r>
                </w:p>
              </w:tc>
              <w:tc>
                <w:tcPr>
                  <w:tcW w:w="359" w:type="pct"/>
                  <w:tcBorders>
                    <w:tl2br w:val="nil"/>
                    <w:tr2bl w:val="nil"/>
                  </w:tcBorders>
                  <w:noWrap w:val="0"/>
                  <w:vAlign w:val="center"/>
                </w:tcPr>
                <w:p w14:paraId="79BB68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2D14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7F376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能源资源利用</w:t>
                  </w:r>
                </w:p>
              </w:tc>
              <w:tc>
                <w:tcPr>
                  <w:tcW w:w="2475" w:type="pct"/>
                  <w:tcBorders>
                    <w:tl2br w:val="nil"/>
                    <w:tr2bl w:val="nil"/>
                  </w:tcBorders>
                  <w:noWrap w:val="0"/>
                  <w:vAlign w:val="center"/>
                </w:tcPr>
                <w:p w14:paraId="00F69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4-1.推广节能技术，加快发展绿色货运与现代物流。</w:t>
                  </w:r>
                </w:p>
                <w:p w14:paraId="66E99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4-2.禁燃区内，禁止新建、扩建燃用高污染燃料的设施；已有使用高污染燃料设施改用清洁能源。</w:t>
                  </w:r>
                </w:p>
                <w:p w14:paraId="403A0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4-3.科学实施能源消费总量和强度“双控”，新建高能耗项目单位产品</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产值</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能耗达到国际国内先进水平。</w:t>
                  </w:r>
                </w:p>
              </w:tc>
              <w:tc>
                <w:tcPr>
                  <w:tcW w:w="1332" w:type="pct"/>
                  <w:gridSpan w:val="4"/>
                  <w:tcBorders>
                    <w:tl2br w:val="nil"/>
                    <w:tr2bl w:val="nil"/>
                  </w:tcBorders>
                  <w:noWrap w:val="0"/>
                  <w:vAlign w:val="center"/>
                </w:tcPr>
                <w:p w14:paraId="5565FB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本项目主要能源使用天然气和电能，不涉及高污染燃料且项目不属于高能耗类型项目</w:t>
                  </w:r>
                </w:p>
              </w:tc>
              <w:tc>
                <w:tcPr>
                  <w:tcW w:w="359" w:type="pct"/>
                  <w:tcBorders>
                    <w:tl2br w:val="nil"/>
                    <w:tr2bl w:val="nil"/>
                  </w:tcBorders>
                  <w:noWrap w:val="0"/>
                  <w:vAlign w:val="center"/>
                </w:tcPr>
                <w:p w14:paraId="5A2DAE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2ED3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2ECD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2475" w:type="pct"/>
                  <w:tcBorders>
                    <w:tl2br w:val="nil"/>
                    <w:tr2bl w:val="nil"/>
                  </w:tcBorders>
                  <w:noWrap w:val="0"/>
                  <w:vAlign w:val="center"/>
                </w:tcPr>
                <w:p w14:paraId="3F0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2-1.园区各项污染物排放总量不得突破园区规划环评核定的污染物排放总量管控要求。</w:t>
                  </w:r>
                </w:p>
                <w:p w14:paraId="7D9C5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2-2.实行重点重金属污染物（铅、砷、汞、镉、铬）等量替代。严格控制涉重金属及有毒有害污染物排放的项目建设，新建、改建、扩建涉重金属重点行业的项目应明确重金属污染物总量来源。</w:t>
                  </w:r>
                </w:p>
                <w:p w14:paraId="52D8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2-3.新建项目原则上实施氮氧化物、挥发性有机物排放量等量替代。</w:t>
                  </w:r>
                </w:p>
                <w:p w14:paraId="32508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2-4.支持危险废物专业收集转运和利用处置单位建设区域性收集网点和贮存设施。</w:t>
                  </w:r>
                </w:p>
                <w:p w14:paraId="6950F3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2-5.积极实行集中供热，应尽快关停现有企业小锅炉。</w:t>
                  </w:r>
                </w:p>
              </w:tc>
              <w:tc>
                <w:tcPr>
                  <w:tcW w:w="1332" w:type="pct"/>
                  <w:gridSpan w:val="4"/>
                  <w:tcBorders>
                    <w:tl2br w:val="nil"/>
                    <w:tr2bl w:val="nil"/>
                  </w:tcBorders>
                  <w:noWrap w:val="0"/>
                  <w:vAlign w:val="center"/>
                </w:tcPr>
                <w:p w14:paraId="660EE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rPr>
                    <w:t>本项目所在园区污染物排放总量未超过核定总量。本项目不涉及重金属污染物排放。本项目不涉及危险废物专业收集转运和利用处置。</w:t>
                  </w:r>
                </w:p>
              </w:tc>
              <w:tc>
                <w:tcPr>
                  <w:tcW w:w="359" w:type="pct"/>
                  <w:tcBorders>
                    <w:tl2br w:val="nil"/>
                    <w:tr2bl w:val="nil"/>
                  </w:tcBorders>
                  <w:noWrap w:val="0"/>
                  <w:vAlign w:val="center"/>
                </w:tcPr>
                <w:p w14:paraId="312B5E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4E5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983B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环境风险防控</w:t>
                  </w:r>
                </w:p>
              </w:tc>
              <w:tc>
                <w:tcPr>
                  <w:tcW w:w="2475" w:type="pct"/>
                  <w:tcBorders>
                    <w:tl2br w:val="nil"/>
                    <w:tr2bl w:val="nil"/>
                  </w:tcBorders>
                  <w:noWrap w:val="0"/>
                  <w:vAlign w:val="center"/>
                </w:tcPr>
                <w:p w14:paraId="51850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4-1.集中式污水处理厂应采取有效措施，防止事故废水直接排入水体。</w:t>
                  </w:r>
                </w:p>
                <w:p w14:paraId="226AD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有水环境污染风险的企事业单位，应当制定有关水污染事故的应急方案，做好应急准备，并定期进行演练，做好突发水污染事故应急处置和事后恢复等工作。有水环境污染风险的企事业单位，生产、储存危险化学品的企事业单位，应当采取措施，防止在应急处置过程中产生的消防废水、废液直接排入水体。</w:t>
                  </w:r>
                </w:p>
              </w:tc>
              <w:tc>
                <w:tcPr>
                  <w:tcW w:w="1332" w:type="pct"/>
                  <w:gridSpan w:val="4"/>
                  <w:tcBorders>
                    <w:tl2br w:val="nil"/>
                    <w:tr2bl w:val="nil"/>
                  </w:tcBorders>
                  <w:noWrap w:val="0"/>
                  <w:vAlign w:val="center"/>
                </w:tcPr>
                <w:p w14:paraId="52740A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rPr>
                    <w:t>项目建设完成后</w:t>
                  </w:r>
                  <w:r>
                    <w:rPr>
                      <w:rFonts w:hint="default" w:ascii="Times New Roman" w:hAnsi="Times New Roman" w:cs="Times New Roman"/>
                      <w:color w:val="auto"/>
                      <w:sz w:val="21"/>
                      <w:szCs w:val="21"/>
                      <w:highlight w:val="none"/>
                      <w:lang w:val="en-US" w:eastAsia="zh-CN"/>
                    </w:rPr>
                    <w:t>按照相关规定完善环境风险应急措施</w:t>
                  </w:r>
                  <w:r>
                    <w:rPr>
                      <w:rFonts w:hint="default" w:ascii="Times New Roman" w:hAnsi="Times New Roman" w:eastAsia="宋体" w:cs="Times New Roman"/>
                      <w:color w:val="auto"/>
                      <w:sz w:val="21"/>
                      <w:szCs w:val="21"/>
                      <w:highlight w:val="none"/>
                      <w:lang w:val="en-US" w:eastAsia="zh-CN"/>
                    </w:rPr>
                    <w:t>，与园区、政府构成三级环境风险防控体系</w:t>
                  </w:r>
                </w:p>
              </w:tc>
              <w:tc>
                <w:tcPr>
                  <w:tcW w:w="359" w:type="pct"/>
                  <w:tcBorders>
                    <w:tl2br w:val="nil"/>
                    <w:tr2bl w:val="nil"/>
                  </w:tcBorders>
                  <w:noWrap w:val="0"/>
                  <w:vAlign w:val="center"/>
                </w:tcPr>
                <w:p w14:paraId="4F846B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6E4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23C543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5FB181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0ACD636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5540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21AAAC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YS4402812540001</w:t>
                  </w:r>
                </w:p>
              </w:tc>
              <w:tc>
                <w:tcPr>
                  <w:tcW w:w="2475" w:type="pct"/>
                  <w:tcBorders>
                    <w:tl2br w:val="nil"/>
                    <w:tr2bl w:val="nil"/>
                  </w:tcBorders>
                  <w:noWrap w:val="0"/>
                  <w:vAlign w:val="center"/>
                </w:tcPr>
                <w:p w14:paraId="122875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乐昌市高污染燃料禁燃区</w:t>
                  </w:r>
                </w:p>
              </w:tc>
              <w:tc>
                <w:tcPr>
                  <w:tcW w:w="1692" w:type="pct"/>
                  <w:gridSpan w:val="5"/>
                  <w:tcBorders>
                    <w:tl2br w:val="nil"/>
                    <w:tr2bl w:val="nil"/>
                  </w:tcBorders>
                  <w:noWrap w:val="0"/>
                  <w:vAlign w:val="center"/>
                </w:tcPr>
                <w:p w14:paraId="18B9229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重点管控区</w:t>
                  </w:r>
                </w:p>
              </w:tc>
            </w:tr>
            <w:tr w14:paraId="29E3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61B062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59BFF17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332" w:type="pct"/>
                  <w:gridSpan w:val="4"/>
                  <w:tcBorders>
                    <w:tl2br w:val="nil"/>
                    <w:tr2bl w:val="nil"/>
                  </w:tcBorders>
                  <w:noWrap w:val="0"/>
                  <w:vAlign w:val="center"/>
                </w:tcPr>
                <w:p w14:paraId="310CCA8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59" w:type="pct"/>
                  <w:tcBorders>
                    <w:tl2br w:val="nil"/>
                    <w:tr2bl w:val="nil"/>
                  </w:tcBorders>
                  <w:noWrap w:val="0"/>
                  <w:vAlign w:val="center"/>
                </w:tcPr>
                <w:p w14:paraId="588E38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151F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43AB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1F2D5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禁止新、扩建燃用高污染燃料的设施</w:t>
                  </w:r>
                </w:p>
              </w:tc>
              <w:tc>
                <w:tcPr>
                  <w:tcW w:w="1332" w:type="pct"/>
                  <w:gridSpan w:val="4"/>
                  <w:tcBorders>
                    <w:tl2br w:val="nil"/>
                    <w:tr2bl w:val="nil"/>
                  </w:tcBorders>
                  <w:noWrap w:val="0"/>
                  <w:vAlign w:val="center"/>
                </w:tcPr>
                <w:p w14:paraId="6D177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本项目使用电能、天然气，不使用高污染燃料。</w:t>
                  </w:r>
                </w:p>
              </w:tc>
              <w:tc>
                <w:tcPr>
                  <w:tcW w:w="359" w:type="pct"/>
                  <w:tcBorders>
                    <w:tl2br w:val="nil"/>
                    <w:tr2bl w:val="nil"/>
                  </w:tcBorders>
                  <w:noWrap w:val="0"/>
                  <w:vAlign w:val="center"/>
                </w:tcPr>
                <w:p w14:paraId="40C441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79F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5CAE0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能源资源利用</w:t>
                  </w:r>
                </w:p>
              </w:tc>
              <w:tc>
                <w:tcPr>
                  <w:tcW w:w="2475" w:type="pct"/>
                  <w:tcBorders>
                    <w:tl2br w:val="nil"/>
                    <w:tr2bl w:val="nil"/>
                  </w:tcBorders>
                  <w:noWrap w:val="0"/>
                  <w:vAlign w:val="center"/>
                </w:tcPr>
                <w:p w14:paraId="00AA1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在禁燃区内，禁止销售、燃用高污染燃料；已建成的高污染燃料设施应当改用天然气、页岩气、液化石油气、电等清洁能源。</w:t>
                  </w:r>
                </w:p>
              </w:tc>
              <w:tc>
                <w:tcPr>
                  <w:tcW w:w="1332" w:type="pct"/>
                  <w:gridSpan w:val="4"/>
                  <w:tcBorders>
                    <w:tl2br w:val="nil"/>
                    <w:tr2bl w:val="nil"/>
                  </w:tcBorders>
                  <w:noWrap w:val="0"/>
                  <w:vAlign w:val="center"/>
                </w:tcPr>
                <w:p w14:paraId="5643D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本项目使用电能和天然气，不销售、不使用高污染燃料。</w:t>
                  </w:r>
                </w:p>
              </w:tc>
              <w:tc>
                <w:tcPr>
                  <w:tcW w:w="359" w:type="pct"/>
                  <w:tcBorders>
                    <w:tl2br w:val="nil"/>
                    <w:tr2bl w:val="nil"/>
                  </w:tcBorders>
                  <w:noWrap w:val="0"/>
                  <w:vAlign w:val="center"/>
                </w:tcPr>
                <w:p w14:paraId="68150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CD5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EB86A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2475" w:type="pct"/>
                  <w:tcBorders>
                    <w:tl2br w:val="nil"/>
                    <w:tr2bl w:val="nil"/>
                  </w:tcBorders>
                  <w:noWrap w:val="0"/>
                  <w:vAlign w:val="center"/>
                </w:tcPr>
                <w:p w14:paraId="66E9B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禁燃区内使用生物质成型燃料锅炉和气化供热项目的，污染物排放浓度要达到或优于</w:t>
                  </w:r>
                  <w:r>
                    <w:rPr>
                      <w:rFonts w:hint="eastAsia" w:ascii="Times New Roman" w:hAnsi="Times New Roman" w:eastAsia="宋体" w:cs="Times New Roman"/>
                      <w:color w:val="auto"/>
                      <w:sz w:val="21"/>
                      <w:szCs w:val="21"/>
                      <w:highlight w:val="none"/>
                      <w:lang w:eastAsia="zh-CN"/>
                    </w:rPr>
                    <w:t>天然气</w:t>
                  </w:r>
                  <w:r>
                    <w:rPr>
                      <w:rFonts w:hint="default" w:ascii="Times New Roman" w:hAnsi="Times New Roman" w:eastAsia="宋体" w:cs="Times New Roman"/>
                      <w:color w:val="auto"/>
                      <w:sz w:val="21"/>
                      <w:szCs w:val="21"/>
                      <w:highlight w:val="none"/>
                    </w:rPr>
                    <w:t>锅炉对应的大气污染物排放标准（折算基准氧含量排放浓度时，生物质成型燃料锅炉按9%执行，生物质气化供热项目按3.5%执行）。</w:t>
                  </w:r>
                </w:p>
              </w:tc>
              <w:tc>
                <w:tcPr>
                  <w:tcW w:w="1332" w:type="pct"/>
                  <w:gridSpan w:val="4"/>
                  <w:tcBorders>
                    <w:tl2br w:val="nil"/>
                    <w:tr2bl w:val="nil"/>
                  </w:tcBorders>
                  <w:noWrap w:val="0"/>
                  <w:vAlign w:val="center"/>
                </w:tcPr>
                <w:p w14:paraId="1CE55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本项目不涉及</w:t>
                  </w:r>
                </w:p>
              </w:tc>
              <w:tc>
                <w:tcPr>
                  <w:tcW w:w="359" w:type="pct"/>
                  <w:tcBorders>
                    <w:tl2br w:val="nil"/>
                    <w:tr2bl w:val="nil"/>
                  </w:tcBorders>
                  <w:noWrap w:val="0"/>
                  <w:vAlign w:val="center"/>
                </w:tcPr>
                <w:p w14:paraId="7FCF07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580E9C7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0C2ADE5E">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综上，项目符合《韶关市人民政府关于印发韶关市“三线一单”生态环境分区管控方案的通知》（韶府〔2021〕10号）、《韶关市生态环境分区管控动态更新成果》的相关要求。</w:t>
            </w:r>
          </w:p>
          <w:p w14:paraId="37F7D133">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7、与</w:t>
            </w:r>
            <w:r>
              <w:rPr>
                <w:rFonts w:hint="default" w:ascii="Times New Roman" w:hAnsi="Times New Roman" w:eastAsia="宋体" w:cs="Times New Roman"/>
                <w:b/>
                <w:bCs/>
                <w:color w:val="auto"/>
                <w:kern w:val="0"/>
                <w:sz w:val="24"/>
                <w:highlight w:val="none"/>
                <w:lang w:val="en-US" w:eastAsia="zh-CN"/>
              </w:rPr>
              <w:t>《关于印发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广东省生态环境保护“十四五”规划</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（粤环〔2021〕10号）</w:t>
            </w:r>
            <w:r>
              <w:rPr>
                <w:rFonts w:hint="eastAsia" w:ascii="Times New Roman" w:hAnsi="Times New Roman" w:eastAsia="宋体" w:cs="Times New Roman"/>
                <w:b/>
                <w:bCs/>
                <w:color w:val="auto"/>
                <w:kern w:val="0"/>
                <w:sz w:val="24"/>
                <w:highlight w:val="none"/>
                <w:lang w:val="en-US" w:eastAsia="zh-CN"/>
              </w:rPr>
              <w:t>相符性</w:t>
            </w:r>
          </w:p>
          <w:p w14:paraId="002370F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广东省生态环境保护“十四五”规划》要求：新建高能耗项目单位产品（产值）能耗达到国际国内先进水平。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p>
          <w:p w14:paraId="28756D26">
            <w:pPr>
              <w:pStyle w:val="24"/>
              <w:ind w:firstLine="482"/>
              <w:rPr>
                <w:rFonts w:hint="eastAsia" w:eastAsia="宋体"/>
                <w:b w:val="0"/>
                <w:bCs w:val="0"/>
                <w:color w:val="auto"/>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项目使用</w:t>
            </w:r>
            <w:r>
              <w:rPr>
                <w:rFonts w:hint="eastAsia" w:ascii="Times New Roman" w:hAnsi="Times New Roman" w:eastAsia="宋体" w:cs="Times New Roman"/>
                <w:b w:val="0"/>
                <w:bCs w:val="0"/>
                <w:color w:val="auto"/>
                <w:kern w:val="0"/>
                <w:sz w:val="24"/>
                <w:highlight w:val="none"/>
                <w:lang w:val="en-US" w:eastAsia="zh-CN"/>
              </w:rPr>
              <w:t>的</w:t>
            </w:r>
            <w:r>
              <w:rPr>
                <w:rFonts w:hint="eastAsia" w:cs="Times New Roman"/>
                <w:b w:val="0"/>
                <w:bCs w:val="0"/>
                <w:color w:val="auto"/>
                <w:kern w:val="0"/>
                <w:sz w:val="24"/>
                <w:highlight w:val="none"/>
                <w:lang w:val="en-US" w:eastAsia="zh-CN"/>
              </w:rPr>
              <w:t>油漆符合《低挥发性有机化合物含量涂料产品技术要求》（GB/T38597-2020）溶剂型涂料-工业防护涂料-金属基层防腐涂料-单组分：≤500g/L限值要求，</w:t>
            </w:r>
            <w:r>
              <w:rPr>
                <w:rFonts w:hint="eastAsia" w:ascii="Times New Roman" w:hAnsi="Times New Roman" w:eastAsia="宋体" w:cs="Times New Roman"/>
                <w:b w:val="0"/>
                <w:bCs w:val="0"/>
                <w:color w:val="auto"/>
                <w:kern w:val="0"/>
                <w:sz w:val="24"/>
                <w:highlight w:val="none"/>
                <w:lang w:val="en-US" w:eastAsia="zh-CN"/>
              </w:rPr>
              <w:t>不属于</w:t>
            </w:r>
            <w:r>
              <w:rPr>
                <w:rFonts w:hint="default" w:ascii="Times New Roman" w:hAnsi="Times New Roman" w:eastAsia="宋体" w:cs="Times New Roman"/>
                <w:b w:val="0"/>
                <w:bCs w:val="0"/>
                <w:color w:val="auto"/>
                <w:kern w:val="0"/>
                <w:sz w:val="24"/>
                <w:highlight w:val="none"/>
                <w:lang w:val="en-US" w:eastAsia="zh-CN"/>
              </w:rPr>
              <w:t>高VOCs含量的溶剂型涂料。</w:t>
            </w:r>
            <w:r>
              <w:rPr>
                <w:rFonts w:hint="eastAsia" w:eastAsia="宋体"/>
                <w:b w:val="0"/>
                <w:bCs w:val="0"/>
                <w:color w:val="auto"/>
                <w:sz w:val="24"/>
                <w:highlight w:val="none"/>
                <w:lang w:val="en-US" w:eastAsia="zh-CN"/>
              </w:rPr>
              <w:t>本项目</w:t>
            </w:r>
            <w:r>
              <w:rPr>
                <w:rFonts w:hint="eastAsia"/>
                <w:b w:val="0"/>
                <w:bCs w:val="0"/>
                <w:color w:val="auto"/>
                <w:sz w:val="24"/>
                <w:highlight w:val="none"/>
                <w:lang w:val="en-US" w:eastAsia="zh-CN"/>
              </w:rPr>
              <w:t>需使用</w:t>
            </w:r>
            <w:r>
              <w:rPr>
                <w:rFonts w:hint="eastAsia" w:eastAsia="宋体"/>
                <w:b w:val="0"/>
                <w:bCs w:val="0"/>
                <w:color w:val="auto"/>
                <w:sz w:val="24"/>
                <w:highlight w:val="none"/>
                <w:lang w:val="en-US" w:eastAsia="zh-CN"/>
              </w:rPr>
              <w:t>喷枪清洗剂，</w:t>
            </w:r>
            <w:r>
              <w:rPr>
                <w:rFonts w:hint="eastAsia"/>
                <w:b w:val="0"/>
                <w:bCs w:val="0"/>
                <w:color w:val="auto"/>
                <w:sz w:val="24"/>
                <w:highlight w:val="none"/>
                <w:lang w:val="en-US" w:eastAsia="zh-CN"/>
              </w:rPr>
              <w:t>根据物料MSDS，主要成分为乙酸乙酯、乙酸正丁酯，不含苯、甲苯、乙苯、二甲苯、二氯甲烷、三氯甲烷、三氯乙烯、四氯乙烯和甲醛。清洗剂</w:t>
            </w:r>
            <w:r>
              <w:rPr>
                <w:rFonts w:hint="eastAsia" w:eastAsia="宋体"/>
                <w:b w:val="0"/>
                <w:bCs w:val="0"/>
                <w:color w:val="auto"/>
                <w:sz w:val="24"/>
                <w:highlight w:val="none"/>
                <w:lang w:val="en-US" w:eastAsia="zh-CN"/>
              </w:rPr>
              <w:t>相对密度</w:t>
            </w:r>
            <w:r>
              <w:rPr>
                <w:rFonts w:hint="eastAsia"/>
                <w:b w:val="0"/>
                <w:bCs w:val="0"/>
                <w:color w:val="auto"/>
                <w:sz w:val="24"/>
                <w:highlight w:val="none"/>
                <w:lang w:val="en-US" w:eastAsia="zh-CN"/>
              </w:rPr>
              <w:t>为0.828</w:t>
            </w:r>
            <w:r>
              <w:rPr>
                <w:rFonts w:hint="eastAsia" w:eastAsia="宋体"/>
                <w:b w:val="0"/>
                <w:bCs w:val="0"/>
                <w:color w:val="auto"/>
                <w:sz w:val="24"/>
                <w:highlight w:val="none"/>
                <w:lang w:val="en-US" w:eastAsia="zh-CN"/>
              </w:rPr>
              <w:t>；按其有机物组分 100%挥发计算， VOC 含量约</w:t>
            </w:r>
            <w:r>
              <w:rPr>
                <w:rFonts w:hint="eastAsia"/>
                <w:b w:val="0"/>
                <w:bCs w:val="0"/>
                <w:color w:val="auto"/>
                <w:sz w:val="24"/>
                <w:highlight w:val="none"/>
                <w:lang w:val="en-US" w:eastAsia="zh-CN"/>
              </w:rPr>
              <w:t>为828</w:t>
            </w:r>
            <w:r>
              <w:rPr>
                <w:rFonts w:hint="eastAsia" w:eastAsia="宋体"/>
                <w:b w:val="0"/>
                <w:bCs w:val="0"/>
                <w:color w:val="auto"/>
                <w:sz w:val="24"/>
                <w:highlight w:val="none"/>
                <w:lang w:val="en-US" w:eastAsia="zh-CN"/>
              </w:rPr>
              <w:t>g/L</w:t>
            </w:r>
            <w:r>
              <w:rPr>
                <w:rFonts w:hint="eastAsia"/>
                <w:b w:val="0"/>
                <w:bCs w:val="0"/>
                <w:color w:val="auto"/>
                <w:sz w:val="24"/>
                <w:highlight w:val="none"/>
                <w:lang w:val="en-US" w:eastAsia="zh-CN"/>
              </w:rPr>
              <w:t>，</w:t>
            </w:r>
            <w:r>
              <w:rPr>
                <w:rFonts w:hint="eastAsia" w:eastAsia="宋体"/>
                <w:b w:val="0"/>
                <w:bCs w:val="0"/>
                <w:color w:val="auto"/>
                <w:sz w:val="24"/>
                <w:highlight w:val="none"/>
                <w:lang w:val="en-US" w:eastAsia="zh-CN"/>
              </w:rPr>
              <w:t>可以满足《清洗剂挥发性有机化合物含量限值》（GB38508-2020）中有机溶剂清洗剂 VOC 含量限值（≤ 900g/L）</w:t>
            </w:r>
            <w:r>
              <w:rPr>
                <w:rFonts w:hint="eastAsia"/>
                <w:b w:val="0"/>
                <w:bCs w:val="0"/>
                <w:color w:val="auto"/>
                <w:sz w:val="24"/>
                <w:highlight w:val="none"/>
                <w:lang w:val="en-US" w:eastAsia="zh-CN"/>
              </w:rPr>
              <w:t>等相关</w:t>
            </w:r>
            <w:r>
              <w:rPr>
                <w:rFonts w:hint="eastAsia" w:eastAsia="宋体"/>
                <w:b w:val="0"/>
                <w:bCs w:val="0"/>
                <w:color w:val="auto"/>
                <w:sz w:val="24"/>
                <w:highlight w:val="none"/>
                <w:lang w:val="en-US" w:eastAsia="zh-CN"/>
              </w:rPr>
              <w:t>要求。</w:t>
            </w:r>
          </w:p>
          <w:p w14:paraId="684FA9A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eastAsia" w:cs="Times New Roman"/>
                <w:b w:val="0"/>
                <w:bCs w:val="0"/>
                <w:color w:val="auto"/>
                <w:kern w:val="0"/>
                <w:sz w:val="24"/>
                <w:highlight w:val="none"/>
                <w:lang w:val="en-US" w:eastAsia="zh-CN"/>
              </w:rPr>
              <w:t>固化</w:t>
            </w:r>
            <w:r>
              <w:rPr>
                <w:rFonts w:hint="default" w:ascii="Times New Roman" w:hAnsi="Times New Roman" w:eastAsia="宋体" w:cs="Times New Roman"/>
                <w:b w:val="0"/>
                <w:bCs w:val="0"/>
                <w:color w:val="auto"/>
                <w:kern w:val="0"/>
                <w:sz w:val="24"/>
                <w:highlight w:val="none"/>
                <w:lang w:val="en-US" w:eastAsia="zh-CN"/>
              </w:rPr>
              <w:t>工序采用天然气加热，产生的污染物主要有</w:t>
            </w:r>
            <w:r>
              <w:rPr>
                <w:rFonts w:hint="eastAsia" w:cs="Times New Roman"/>
                <w:b w:val="0"/>
                <w:bCs w:val="0"/>
                <w:color w:val="auto"/>
                <w:kern w:val="0"/>
                <w:sz w:val="24"/>
                <w:highlight w:val="none"/>
                <w:lang w:val="en-US" w:eastAsia="zh-CN"/>
              </w:rPr>
              <w:t>非甲烷总烃、苯系物、臭气浓度、</w:t>
            </w:r>
            <w:r>
              <w:rPr>
                <w:rFonts w:hint="default" w:ascii="Times New Roman" w:hAnsi="Times New Roman" w:eastAsia="宋体" w:cs="Times New Roman"/>
                <w:b w:val="0"/>
                <w:bCs w:val="0"/>
                <w:color w:val="auto"/>
                <w:kern w:val="0"/>
                <w:sz w:val="24"/>
                <w:highlight w:val="none"/>
                <w:lang w:val="en-US" w:eastAsia="zh-CN"/>
              </w:rPr>
              <w:t>颗粒物、二氧化硫、氮氧化物</w:t>
            </w:r>
            <w:r>
              <w:rPr>
                <w:rFonts w:hint="eastAsia" w:cs="Times New Roman"/>
                <w:b w:val="0"/>
                <w:bCs w:val="0"/>
                <w:color w:val="auto"/>
                <w:kern w:val="0"/>
                <w:sz w:val="24"/>
                <w:highlight w:val="none"/>
                <w:lang w:val="en-US" w:eastAsia="zh-CN"/>
              </w:rPr>
              <w:t>等</w:t>
            </w:r>
            <w:r>
              <w:rPr>
                <w:rFonts w:hint="default" w:ascii="Times New Roman" w:hAnsi="Times New Roman" w:eastAsia="宋体" w:cs="Times New Roman"/>
                <w:b w:val="0"/>
                <w:bCs w:val="0"/>
                <w:color w:val="auto"/>
                <w:kern w:val="0"/>
                <w:sz w:val="24"/>
                <w:highlight w:val="none"/>
                <w:lang w:val="en-US" w:eastAsia="zh-CN"/>
              </w:rPr>
              <w:t>。</w:t>
            </w:r>
            <w:r>
              <w:rPr>
                <w:rFonts w:hint="eastAsia" w:cs="Times New Roman"/>
                <w:b w:val="0"/>
                <w:bCs w:val="0"/>
                <w:color w:val="auto"/>
                <w:kern w:val="0"/>
                <w:sz w:val="24"/>
                <w:highlight w:val="none"/>
                <w:lang w:val="en-US" w:eastAsia="zh-CN"/>
              </w:rPr>
              <w:t>非甲烷总烃、</w:t>
            </w:r>
            <w:r>
              <w:rPr>
                <w:rFonts w:hint="default" w:ascii="Times New Roman" w:hAnsi="Times New Roman" w:eastAsia="宋体" w:cs="Times New Roman"/>
                <w:b w:val="0"/>
                <w:bCs w:val="0"/>
                <w:color w:val="auto"/>
                <w:kern w:val="0"/>
                <w:sz w:val="24"/>
                <w:highlight w:val="none"/>
                <w:lang w:val="en-US" w:eastAsia="zh-CN"/>
              </w:rPr>
              <w:t>氮氧化物等量替代，</w:t>
            </w:r>
            <w:r>
              <w:rPr>
                <w:rFonts w:hint="eastAsia" w:cs="Times New Roman"/>
                <w:b w:val="0"/>
                <w:bCs w:val="0"/>
                <w:color w:val="auto"/>
                <w:kern w:val="0"/>
                <w:sz w:val="24"/>
                <w:highlight w:val="none"/>
                <w:lang w:val="en-US" w:eastAsia="zh-CN"/>
              </w:rPr>
              <w:t>喷漆废气通过喷淋+干式过滤器+活性炭吸脱附+催化燃烧+活性炭吸附处理后，引至15m高的排气筒（DA001）排放；固化废气通过喷淋+干式过滤器+二级活性炭吸附处理后，引至15m高的排气筒（DA002）排放</w:t>
            </w:r>
            <w:r>
              <w:rPr>
                <w:rFonts w:hint="default" w:ascii="Times New Roman" w:hAnsi="Times New Roman" w:eastAsia="宋体" w:cs="Times New Roman"/>
                <w:b w:val="0"/>
                <w:bCs w:val="0"/>
                <w:color w:val="auto"/>
                <w:kern w:val="0"/>
                <w:sz w:val="24"/>
                <w:highlight w:val="none"/>
                <w:lang w:val="en-US" w:eastAsia="zh-CN"/>
              </w:rPr>
              <w:t>。</w:t>
            </w:r>
          </w:p>
          <w:p w14:paraId="35585BF1">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综上所述，本项目与《关于印发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广东省生态环境保护“十四五”规划</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（粤环〔2021〕10号）相符。</w:t>
            </w:r>
          </w:p>
          <w:p w14:paraId="0E77C60F">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8</w:t>
            </w:r>
            <w:r>
              <w:rPr>
                <w:rFonts w:hint="default" w:ascii="Times New Roman" w:hAnsi="Times New Roman" w:eastAsia="宋体" w:cs="Times New Roman"/>
                <w:b/>
                <w:bCs/>
                <w:color w:val="auto"/>
                <w:kern w:val="0"/>
                <w:sz w:val="24"/>
                <w:highlight w:val="none"/>
                <w:lang w:val="en-US" w:eastAsia="zh-CN"/>
              </w:rPr>
              <w:t>、</w:t>
            </w:r>
            <w:r>
              <w:rPr>
                <w:rFonts w:hint="eastAsia" w:ascii="Times New Roman" w:hAnsi="Times New Roman" w:eastAsia="宋体"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《韶关市人民政府办公室关于印发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韶关市生态环境保护“十四五”规划</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（韶府办〔2022〕1号）</w:t>
            </w:r>
            <w:r>
              <w:rPr>
                <w:rFonts w:hint="eastAsia" w:ascii="Times New Roman" w:hAnsi="Times New Roman" w:eastAsia="宋体" w:cs="Times New Roman"/>
                <w:b/>
                <w:bCs/>
                <w:color w:val="auto"/>
                <w:kern w:val="0"/>
                <w:sz w:val="24"/>
                <w:highlight w:val="none"/>
                <w:lang w:val="en-US" w:eastAsia="zh-CN"/>
              </w:rPr>
              <w:t>相符性</w:t>
            </w:r>
          </w:p>
          <w:p w14:paraId="1F98F474">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77213523">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项目不涉及锅炉。</w:t>
            </w:r>
            <w:r>
              <w:rPr>
                <w:rFonts w:hint="eastAsia" w:cs="Times New Roman"/>
                <w:b w:val="0"/>
                <w:bCs w:val="0"/>
                <w:color w:val="auto"/>
                <w:kern w:val="0"/>
                <w:sz w:val="24"/>
                <w:highlight w:val="none"/>
                <w:lang w:val="en-US" w:eastAsia="zh-CN"/>
              </w:rPr>
              <w:t>烘干、固化</w:t>
            </w:r>
            <w:r>
              <w:rPr>
                <w:rFonts w:hint="default" w:ascii="Times New Roman" w:hAnsi="Times New Roman" w:eastAsia="宋体" w:cs="Times New Roman"/>
                <w:b w:val="0"/>
                <w:bCs w:val="0"/>
                <w:color w:val="auto"/>
                <w:kern w:val="0"/>
                <w:sz w:val="24"/>
                <w:highlight w:val="none"/>
                <w:lang w:val="en-US" w:eastAsia="zh-CN"/>
              </w:rPr>
              <w:t>工序采用天然气</w:t>
            </w:r>
            <w:r>
              <w:rPr>
                <w:rFonts w:hint="eastAsia" w:cs="Times New Roman"/>
                <w:b w:val="0"/>
                <w:bCs w:val="0"/>
                <w:color w:val="auto"/>
                <w:kern w:val="0"/>
                <w:sz w:val="24"/>
                <w:highlight w:val="none"/>
                <w:lang w:val="en-US" w:eastAsia="zh-CN"/>
              </w:rPr>
              <w:t>燃料</w:t>
            </w:r>
            <w:r>
              <w:rPr>
                <w:rFonts w:hint="default" w:ascii="Times New Roman" w:hAnsi="Times New Roman" w:eastAsia="宋体" w:cs="Times New Roman"/>
                <w:b w:val="0"/>
                <w:bCs w:val="0"/>
                <w:color w:val="auto"/>
                <w:kern w:val="0"/>
                <w:sz w:val="24"/>
                <w:highlight w:val="none"/>
                <w:lang w:val="en-US" w:eastAsia="zh-CN"/>
              </w:rPr>
              <w:t>，产生的污染物主要有颗粒物、二氧化硫、氮氧化物。燃烧废气收集后经15m高排气筒</w:t>
            </w:r>
            <w:r>
              <w:rPr>
                <w:rFonts w:hint="eastAsia" w:cs="Times New Roman"/>
                <w:b w:val="0"/>
                <w:bCs w:val="0"/>
                <w:color w:val="auto"/>
                <w:kern w:val="0"/>
                <w:sz w:val="24"/>
                <w:highlight w:val="none"/>
                <w:lang w:val="en-US" w:eastAsia="zh-CN"/>
              </w:rPr>
              <w:t>DA002</w:t>
            </w:r>
            <w:r>
              <w:rPr>
                <w:rFonts w:hint="default" w:ascii="Times New Roman" w:hAnsi="Times New Roman" w:eastAsia="宋体" w:cs="Times New Roman"/>
                <w:b w:val="0"/>
                <w:bCs w:val="0"/>
                <w:color w:val="auto"/>
                <w:kern w:val="0"/>
                <w:sz w:val="24"/>
                <w:highlight w:val="none"/>
                <w:lang w:val="en-US" w:eastAsia="zh-CN"/>
              </w:rPr>
              <w:t>高空排放。本项目产生的工业固体废物均得到妥善处置。故本项目与韶关市人民政府办公室《关于印发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韶关市生态环境保护“十四五”规划</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（韶府办〔2022〕1号）相符。</w:t>
            </w:r>
          </w:p>
          <w:p w14:paraId="497C0737">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cs="Times New Roman"/>
                <w:b/>
                <w:bCs/>
                <w:color w:val="auto"/>
                <w:kern w:val="0"/>
                <w:sz w:val="24"/>
                <w:highlight w:val="none"/>
                <w:lang w:val="en-US" w:eastAsia="zh-CN"/>
              </w:rPr>
              <w:t>9</w:t>
            </w:r>
            <w:r>
              <w:rPr>
                <w:rFonts w:hint="default" w:ascii="Times New Roman" w:hAnsi="Times New Roman" w:eastAsia="宋体" w:cs="Times New Roman"/>
                <w:b/>
                <w:bCs/>
                <w:color w:val="auto"/>
                <w:kern w:val="0"/>
                <w:sz w:val="24"/>
                <w:highlight w:val="none"/>
                <w:lang w:val="en-US" w:eastAsia="zh-CN"/>
              </w:rPr>
              <w:t>、</w:t>
            </w:r>
            <w:r>
              <w:rPr>
                <w:rFonts w:hint="eastAsia" w:ascii="Times New Roman" w:hAnsi="Times New Roman" w:eastAsia="宋体"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《乐昌市人民政府办公室关于印发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乐昌市生态环境保护“十四五”规划</w:t>
            </w:r>
            <w:r>
              <w:rPr>
                <w:rFonts w:hint="eastAsia" w:cs="Times New Roman"/>
                <w:b/>
                <w:bCs/>
                <w:color w:val="auto"/>
                <w:kern w:val="0"/>
                <w:sz w:val="24"/>
                <w:highlight w:val="none"/>
                <w:lang w:val="en-US" w:eastAsia="zh-CN"/>
              </w:rPr>
              <w:t>&gt;</w:t>
            </w:r>
            <w:r>
              <w:rPr>
                <w:rFonts w:hint="default" w:ascii="Times New Roman" w:hAnsi="Times New Roman" w:eastAsia="宋体" w:cs="Times New Roman"/>
                <w:b/>
                <w:bCs/>
                <w:color w:val="auto"/>
                <w:kern w:val="0"/>
                <w:sz w:val="24"/>
                <w:highlight w:val="none"/>
                <w:lang w:val="en-US" w:eastAsia="zh-CN"/>
              </w:rPr>
              <w:t>的通知》（乐府办〔2022〕16号）</w:t>
            </w:r>
            <w:r>
              <w:rPr>
                <w:rFonts w:hint="eastAsia" w:ascii="Times New Roman" w:hAnsi="Times New Roman" w:eastAsia="宋体" w:cs="Times New Roman"/>
                <w:b/>
                <w:bCs/>
                <w:color w:val="auto"/>
                <w:kern w:val="0"/>
                <w:sz w:val="24"/>
                <w:highlight w:val="none"/>
                <w:lang w:val="en-US" w:eastAsia="zh-CN"/>
              </w:rPr>
              <w:t>相符性</w:t>
            </w:r>
          </w:p>
          <w:p w14:paraId="35CE9F3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深化重点污染源治理，推进污染物减排。在水泥、化工、火电等行业全面执行大气污染物特别排放限值。逐步推进水泥行业实施超低排放改造，力争到2025年全市水泥（熟料）制造企业的水泥窑及窑尾余热利用系统烟气NOx排放浓度不高于100mg/m</w:t>
            </w:r>
            <w:r>
              <w:rPr>
                <w:rFonts w:hint="default" w:ascii="Times New Roman" w:hAnsi="Times New Roman" w:eastAsia="宋体" w:cs="Times New Roman"/>
                <w:b w:val="0"/>
                <w:bCs w:val="0"/>
                <w:color w:val="auto"/>
                <w:kern w:val="0"/>
                <w:sz w:val="24"/>
                <w:highlight w:val="none"/>
                <w:vertAlign w:val="superscript"/>
                <w:lang w:val="en-US" w:eastAsia="zh-CN"/>
              </w:rPr>
              <w:t>3</w:t>
            </w:r>
            <w:r>
              <w:rPr>
                <w:rFonts w:hint="default" w:ascii="Times New Roman" w:hAnsi="Times New Roman" w:eastAsia="宋体" w:cs="Times New Roman"/>
                <w:b w:val="0"/>
                <w:bCs w:val="0"/>
                <w:color w:val="auto"/>
                <w:kern w:val="0"/>
                <w:sz w:val="24"/>
                <w:highlight w:val="none"/>
                <w:lang w:val="en-US" w:eastAsia="zh-CN"/>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42575D7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项目不涉及锅炉。</w:t>
            </w:r>
            <w:r>
              <w:rPr>
                <w:rFonts w:hint="eastAsia" w:cs="Times New Roman"/>
                <w:b w:val="0"/>
                <w:bCs w:val="0"/>
                <w:color w:val="auto"/>
                <w:kern w:val="0"/>
                <w:sz w:val="24"/>
                <w:highlight w:val="none"/>
                <w:lang w:val="en-US" w:eastAsia="zh-CN"/>
              </w:rPr>
              <w:t>烘干工序和</w:t>
            </w:r>
            <w:r>
              <w:rPr>
                <w:rFonts w:hint="default" w:ascii="Times New Roman" w:hAnsi="Times New Roman" w:eastAsia="宋体" w:cs="Times New Roman"/>
                <w:b w:val="0"/>
                <w:bCs w:val="0"/>
                <w:color w:val="auto"/>
                <w:kern w:val="0"/>
                <w:sz w:val="24"/>
                <w:highlight w:val="none"/>
                <w:lang w:val="en-US" w:eastAsia="zh-CN"/>
              </w:rPr>
              <w:t>工业炉窑</w:t>
            </w:r>
            <w:r>
              <w:rPr>
                <w:rFonts w:hint="eastAsia" w:cs="Times New Roman"/>
                <w:b w:val="0"/>
                <w:bCs w:val="0"/>
                <w:color w:val="auto"/>
                <w:kern w:val="0"/>
                <w:sz w:val="24"/>
                <w:highlight w:val="none"/>
                <w:lang w:val="en-US" w:eastAsia="zh-CN"/>
              </w:rPr>
              <w:t>固化</w:t>
            </w:r>
            <w:r>
              <w:rPr>
                <w:rFonts w:hint="default" w:ascii="Times New Roman" w:hAnsi="Times New Roman" w:eastAsia="宋体" w:cs="Times New Roman"/>
                <w:b w:val="0"/>
                <w:bCs w:val="0"/>
                <w:color w:val="auto"/>
                <w:kern w:val="0"/>
                <w:sz w:val="24"/>
                <w:highlight w:val="none"/>
                <w:lang w:val="en-US" w:eastAsia="zh-CN"/>
              </w:rPr>
              <w:t>工序采用天然气加热，产生的污染物主要有颗粒物、二氧化硫、氮氧化物。燃烧废气收集后</w:t>
            </w:r>
            <w:r>
              <w:rPr>
                <w:rFonts w:hint="eastAsia" w:cs="Times New Roman"/>
                <w:b w:val="0"/>
                <w:bCs w:val="0"/>
                <w:color w:val="auto"/>
                <w:kern w:val="0"/>
                <w:sz w:val="24"/>
                <w:highlight w:val="none"/>
                <w:lang w:val="en-US" w:eastAsia="zh-CN"/>
              </w:rPr>
              <w:t>分别</w:t>
            </w:r>
            <w:r>
              <w:rPr>
                <w:rFonts w:hint="default" w:ascii="Times New Roman" w:hAnsi="Times New Roman" w:eastAsia="宋体" w:cs="Times New Roman"/>
                <w:b w:val="0"/>
                <w:bCs w:val="0"/>
                <w:color w:val="auto"/>
                <w:kern w:val="0"/>
                <w:sz w:val="24"/>
                <w:highlight w:val="none"/>
                <w:lang w:val="en-US" w:eastAsia="zh-CN"/>
              </w:rPr>
              <w:t>经排气筒</w:t>
            </w:r>
            <w:r>
              <w:rPr>
                <w:rFonts w:hint="eastAsia" w:cs="Times New Roman"/>
                <w:b w:val="0"/>
                <w:bCs w:val="0"/>
                <w:color w:val="auto"/>
                <w:kern w:val="0"/>
                <w:sz w:val="24"/>
                <w:highlight w:val="none"/>
                <w:lang w:val="en-US" w:eastAsia="zh-CN"/>
              </w:rPr>
              <w:t>DA002、DA003</w:t>
            </w:r>
            <w:r>
              <w:rPr>
                <w:rFonts w:hint="default" w:ascii="Times New Roman" w:hAnsi="Times New Roman" w:eastAsia="宋体" w:cs="Times New Roman"/>
                <w:b w:val="0"/>
                <w:bCs w:val="0"/>
                <w:color w:val="auto"/>
                <w:kern w:val="0"/>
                <w:sz w:val="24"/>
                <w:highlight w:val="none"/>
                <w:lang w:val="en-US" w:eastAsia="zh-CN"/>
              </w:rPr>
              <w:t>高空排放。故本项目与乐昌市人民政府办公室《关于印发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乐昌市生态环境保护“十四五”规划的通知》（乐府办〔2022〕16号）相符。</w:t>
            </w:r>
          </w:p>
          <w:p w14:paraId="7D41F57A">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cs="Times New Roman"/>
                <w:b/>
                <w:bCs/>
                <w:color w:val="auto"/>
                <w:kern w:val="0"/>
                <w:sz w:val="24"/>
                <w:highlight w:val="none"/>
                <w:lang w:val="en-US" w:eastAsia="zh-CN"/>
              </w:rPr>
              <w:t>10</w:t>
            </w:r>
            <w:r>
              <w:rPr>
                <w:rFonts w:hint="default" w:ascii="Times New Roman" w:hAnsi="Times New Roman" w:eastAsia="宋体"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环境保护部《关于印发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重点行业挥发性有机物综合治理方案</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（环大气〔2019〕53号）</w:t>
            </w:r>
            <w:r>
              <w:rPr>
                <w:rFonts w:hint="eastAsia" w:cs="Times New Roman"/>
                <w:b/>
                <w:bCs/>
                <w:color w:val="auto"/>
                <w:kern w:val="0"/>
                <w:sz w:val="24"/>
                <w:highlight w:val="none"/>
                <w:lang w:val="en-US" w:eastAsia="zh-CN"/>
              </w:rPr>
              <w:t>相符性</w:t>
            </w:r>
          </w:p>
          <w:p w14:paraId="446DBFF0">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151C3D5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本项目</w:t>
            </w:r>
            <w:r>
              <w:rPr>
                <w:rFonts w:hint="eastAsia" w:cs="Times New Roman"/>
                <w:b w:val="0"/>
                <w:bCs w:val="0"/>
                <w:color w:val="auto"/>
                <w:kern w:val="0"/>
                <w:sz w:val="24"/>
                <w:highlight w:val="none"/>
                <w:lang w:val="en-US" w:eastAsia="zh-CN"/>
              </w:rPr>
              <w:t>所用涉VOCs的</w:t>
            </w:r>
            <w:r>
              <w:rPr>
                <w:rFonts w:hint="default" w:ascii="Times New Roman" w:hAnsi="Times New Roman" w:eastAsia="宋体" w:cs="Times New Roman"/>
                <w:b w:val="0"/>
                <w:bCs w:val="0"/>
                <w:color w:val="auto"/>
                <w:kern w:val="0"/>
                <w:sz w:val="24"/>
                <w:highlight w:val="none"/>
                <w:lang w:val="en-US" w:eastAsia="zh-CN"/>
              </w:rPr>
              <w:t>原料</w:t>
            </w:r>
            <w:r>
              <w:rPr>
                <w:rFonts w:hint="eastAsia" w:cs="Times New Roman"/>
                <w:b w:val="0"/>
                <w:bCs w:val="0"/>
                <w:color w:val="auto"/>
                <w:kern w:val="0"/>
                <w:sz w:val="24"/>
                <w:highlight w:val="none"/>
                <w:lang w:val="en-US" w:eastAsia="zh-CN"/>
              </w:rPr>
              <w:t>为低</w:t>
            </w:r>
            <w:r>
              <w:rPr>
                <w:rFonts w:hint="default" w:ascii="Times New Roman" w:hAnsi="Times New Roman" w:eastAsia="宋体" w:cs="Times New Roman"/>
                <w:b w:val="0"/>
                <w:bCs w:val="0"/>
                <w:color w:val="auto"/>
                <w:kern w:val="0"/>
                <w:sz w:val="24"/>
                <w:highlight w:val="none"/>
                <w:lang w:val="en-US" w:eastAsia="zh-CN"/>
              </w:rPr>
              <w:t>VOCs</w:t>
            </w:r>
            <w:r>
              <w:rPr>
                <w:rFonts w:hint="eastAsia" w:cs="Times New Roman"/>
                <w:b w:val="0"/>
                <w:bCs w:val="0"/>
                <w:color w:val="auto"/>
                <w:kern w:val="0"/>
                <w:sz w:val="24"/>
                <w:highlight w:val="none"/>
                <w:lang w:val="en-US" w:eastAsia="zh-CN"/>
              </w:rPr>
              <w:t>含量</w:t>
            </w:r>
            <w:r>
              <w:rPr>
                <w:rFonts w:hint="default" w:ascii="Times New Roman" w:hAnsi="Times New Roman" w:eastAsia="宋体" w:cs="Times New Roman"/>
                <w:b w:val="0"/>
                <w:bCs w:val="0"/>
                <w:color w:val="auto"/>
                <w:kern w:val="0"/>
                <w:sz w:val="24"/>
                <w:highlight w:val="none"/>
                <w:lang w:val="en-US" w:eastAsia="zh-CN"/>
              </w:rPr>
              <w:t>物料，可从源头有效控制VOCs排放，</w:t>
            </w:r>
            <w:r>
              <w:rPr>
                <w:rFonts w:hint="eastAsia" w:cs="Times New Roman"/>
                <w:b w:val="0"/>
                <w:bCs w:val="0"/>
                <w:color w:val="auto"/>
                <w:kern w:val="0"/>
                <w:sz w:val="24"/>
                <w:highlight w:val="none"/>
                <w:lang w:val="en-US" w:eastAsia="zh-CN"/>
              </w:rPr>
              <w:t>喷漆废气、固化废气</w:t>
            </w:r>
            <w:r>
              <w:rPr>
                <w:rFonts w:hint="default" w:ascii="Times New Roman" w:hAnsi="Times New Roman" w:eastAsia="宋体" w:cs="Times New Roman"/>
                <w:b w:val="0"/>
                <w:bCs w:val="0"/>
                <w:color w:val="auto"/>
                <w:kern w:val="0"/>
                <w:sz w:val="24"/>
                <w:highlight w:val="none"/>
                <w:lang w:val="en-US" w:eastAsia="zh-CN"/>
              </w:rPr>
              <w:t>收集后经</w:t>
            </w:r>
            <w:r>
              <w:rPr>
                <w:rFonts w:hint="eastAsia" w:cs="Times New Roman"/>
                <w:b w:val="0"/>
                <w:bCs w:val="0"/>
                <w:color w:val="auto"/>
                <w:kern w:val="0"/>
                <w:sz w:val="24"/>
                <w:highlight w:val="none"/>
                <w:lang w:val="en-US" w:eastAsia="zh-CN"/>
              </w:rPr>
              <w:t>处理达标后分别从</w:t>
            </w:r>
            <w:r>
              <w:rPr>
                <w:rFonts w:hint="default" w:ascii="Times New Roman" w:hAnsi="Times New Roman" w:eastAsia="宋体" w:cs="Times New Roman"/>
                <w:b w:val="0"/>
                <w:bCs w:val="0"/>
                <w:color w:val="auto"/>
                <w:kern w:val="0"/>
                <w:sz w:val="24"/>
                <w:highlight w:val="none"/>
                <w:lang w:val="en-US" w:eastAsia="zh-CN"/>
              </w:rPr>
              <w:t>排气筒</w:t>
            </w:r>
            <w:r>
              <w:rPr>
                <w:rFonts w:hint="eastAsia" w:cs="Times New Roman"/>
                <w:b w:val="0"/>
                <w:bCs w:val="0"/>
                <w:color w:val="auto"/>
                <w:kern w:val="0"/>
                <w:sz w:val="24"/>
                <w:highlight w:val="none"/>
                <w:lang w:val="en-US" w:eastAsia="zh-CN"/>
              </w:rPr>
              <w:t>DA001、DA002</w:t>
            </w:r>
            <w:r>
              <w:rPr>
                <w:rFonts w:hint="default" w:ascii="Times New Roman" w:hAnsi="Times New Roman" w:eastAsia="宋体" w:cs="Times New Roman"/>
                <w:b w:val="0"/>
                <w:bCs w:val="0"/>
                <w:color w:val="auto"/>
                <w:kern w:val="0"/>
                <w:sz w:val="24"/>
                <w:highlight w:val="none"/>
                <w:lang w:val="en-US" w:eastAsia="zh-CN"/>
              </w:rPr>
              <w:t>高空排放。综上，本项目与环境保护部《关于印发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重点行业挥发性有机物综合治理方案</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（环大气〔2019〕53号）相符。</w:t>
            </w:r>
          </w:p>
          <w:p w14:paraId="6F7B4F9F">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1</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lang w:val="en-US" w:eastAsia="zh-CN"/>
              </w:rPr>
              <w:t>、与《广东省2023年土壤与地下水污染防治工作方案》（粤环〔2023〕3号）的相符性</w:t>
            </w:r>
          </w:p>
          <w:p w14:paraId="3218A8B6">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方案要求：</w:t>
            </w:r>
          </w:p>
          <w:p w14:paraId="20B641B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三、系统推进土壤污染源头防控</w:t>
            </w:r>
          </w:p>
          <w:p w14:paraId="36BCEEF8">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一）加强涉重金属行业污染防控。深化涉镉等重点行业企业污染源排查整治，动态更新污染源排查整治清单。韶关、阳江、清远市要督促有关涉重金属污染物排放企业严格执行特别排放限值相关规定。2023年底前，各地要督促纳入大气环境重点排污单位名录的涉镉等重金属排放企业实现大气污染物中的颗粒物自动监测、监控设备联网。（省生态环境厅牵头，省自然资源厅等按职责分工负责）</w:t>
            </w:r>
          </w:p>
          <w:p w14:paraId="70311D93">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二）严格监管土壤污染重点监管单位。更新并公布土壤污染重点监管单位名录，督促重点监管单位落实法定义务，原则上新纳入的重点监管单位应在当年完成隐患排查，所有重点监管单位完成一轮土壤和地下水自行监测。各地级以上市要组织对重点监管单位开展周边监测，完成比例不低于40%；督促50%已开展隐患排查的重点监管单位开展隐患排查“回头看”。省市两级对“回头看”工作开展质量控制抽查，省级抽查比例不低于10%，</w:t>
            </w:r>
            <w:bookmarkStart w:id="205" w:name="_GoBack"/>
            <w:r>
              <w:rPr>
                <w:rFonts w:hint="default" w:ascii="Times New Roman" w:hAnsi="Times New Roman" w:eastAsia="宋体" w:cs="Times New Roman"/>
                <w:b w:val="0"/>
                <w:bCs w:val="0"/>
                <w:color w:val="auto"/>
                <w:kern w:val="0"/>
                <w:sz w:val="24"/>
                <w:highlight w:val="none"/>
                <w:lang w:val="en-US" w:eastAsia="zh-CN"/>
              </w:rPr>
              <w:t>市级</w:t>
            </w:r>
            <w:bookmarkEnd w:id="205"/>
            <w:r>
              <w:rPr>
                <w:rFonts w:hint="default" w:ascii="Times New Roman" w:hAnsi="Times New Roman" w:eastAsia="宋体" w:cs="Times New Roman"/>
                <w:b w:val="0"/>
                <w:bCs w:val="0"/>
                <w:color w:val="auto"/>
                <w:kern w:val="0"/>
                <w:sz w:val="24"/>
                <w:highlight w:val="none"/>
                <w:lang w:val="en-US" w:eastAsia="zh-CN"/>
              </w:rPr>
              <w:t>抽查比例不低于20%（省生态环境厅负责）。</w:t>
            </w:r>
          </w:p>
          <w:p w14:paraId="22EC179B">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六、有序推进地下水污染防治</w:t>
            </w:r>
          </w:p>
          <w:p w14:paraId="4359EDDE">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一）加强地下水环境质量目标管理和分区管理。各地级以上市加快印发并实施“十四五”国家地下水环境质量考核点位水质达标保持方案，省生态环境厅定期组织对各地级以上市达标保持方案重点工作实施情况开展评估。湛江等市开展地下水国考点位、地下水型农村“千吨万人”饮用水源环境背景值调查研究。实施地下水环境分区管理、分级防治，完成珠三角整体区域及佛山、韶关、河源、东莞、湛江、云浮等市地下水污染防治重点区划定工作。（省生态环境厅牵头，省发展改革委、自然资源厅、水利厅、地质局等按职责分工负责）</w:t>
            </w:r>
          </w:p>
          <w:p w14:paraId="11A5585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 xml:space="preserve">（三）加强地下水污染防治重点排污单位管理。各地级以上市建立并公布地下水污染防治重点排污单位名录，参照生态环境 </w:t>
            </w:r>
          </w:p>
          <w:p w14:paraId="7615557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部制定的重点监管单位土壤污染隐患排查技术指南、地下水污染源防渗技术指南等，指导重点排污单位开展地下水污染渗漏排查，存在问题的单位应开展防渗改造。（省生态环境厅牵头，省住房城乡建设厅等按职责分工负责）</w:t>
            </w:r>
          </w:p>
          <w:p w14:paraId="4FA0CD90">
            <w:pPr>
              <w:spacing w:line="360" w:lineRule="auto"/>
              <w:ind w:firstLine="482"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相符性分析：</w:t>
            </w:r>
            <w:r>
              <w:rPr>
                <w:rFonts w:hint="default" w:ascii="Times New Roman" w:hAnsi="Times New Roman" w:eastAsia="宋体" w:cs="Times New Roman"/>
                <w:b w:val="0"/>
                <w:bCs w:val="0"/>
                <w:color w:val="auto"/>
                <w:kern w:val="0"/>
                <w:sz w:val="24"/>
                <w:highlight w:val="none"/>
                <w:lang w:val="en-US" w:eastAsia="zh-CN"/>
              </w:rPr>
              <w:t>本项目生产运营过程不涉及</w:t>
            </w:r>
            <w:r>
              <w:rPr>
                <w:rFonts w:hint="eastAsia" w:cs="Times New Roman"/>
                <w:b w:val="0"/>
                <w:bCs w:val="0"/>
                <w:color w:val="auto"/>
                <w:kern w:val="0"/>
                <w:sz w:val="24"/>
                <w:highlight w:val="none"/>
                <w:lang w:val="en-US" w:eastAsia="zh-CN"/>
              </w:rPr>
              <w:t>一类</w:t>
            </w:r>
            <w:r>
              <w:rPr>
                <w:rFonts w:hint="default" w:ascii="Times New Roman" w:hAnsi="Times New Roman" w:eastAsia="宋体" w:cs="Times New Roman"/>
                <w:b w:val="0"/>
                <w:bCs w:val="0"/>
                <w:color w:val="auto"/>
                <w:kern w:val="0"/>
                <w:sz w:val="24"/>
                <w:highlight w:val="none"/>
                <w:lang w:val="en-US" w:eastAsia="zh-CN"/>
              </w:rPr>
              <w:t>重金属排放，外排生产</w:t>
            </w:r>
            <w:r>
              <w:rPr>
                <w:rFonts w:hint="eastAsia" w:cs="Times New Roman"/>
                <w:b w:val="0"/>
                <w:bCs w:val="0"/>
                <w:color w:val="auto"/>
                <w:kern w:val="0"/>
                <w:sz w:val="24"/>
                <w:highlight w:val="none"/>
                <w:lang w:val="en-US" w:eastAsia="zh-CN"/>
              </w:rPr>
              <w:t>废水经自建</w:t>
            </w:r>
            <w:r>
              <w:rPr>
                <w:rFonts w:hint="default" w:ascii="Times New Roman" w:hAnsi="Times New Roman" w:eastAsia="宋体" w:cs="Times New Roman"/>
                <w:b w:val="0"/>
                <w:bCs w:val="0"/>
                <w:color w:val="auto"/>
                <w:kern w:val="0"/>
                <w:sz w:val="24"/>
                <w:highlight w:val="none"/>
                <w:lang w:val="en-US" w:eastAsia="zh-CN"/>
              </w:rPr>
              <w:t>污水处理站处理后排入园区污水处理厂；生活污水经三级化粪池+隔油隔渣池处理后排入园区污水处理厂。项目对危废仓进行防渗漏、防扬散、防流失等措施，防止危险废物暂存过程对土壤环境造成影响。因此，项目的建设符合《广东省2023年土壤与地下水污染防治工作方案》的相关要求。</w:t>
            </w:r>
          </w:p>
          <w:p w14:paraId="02FD415A">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1</w:t>
            </w:r>
            <w:r>
              <w:rPr>
                <w:rFonts w:hint="eastAsia"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val="en-US" w:eastAsia="zh-CN"/>
              </w:rPr>
              <w:t>、与《广东省生态环境厅关于2021年工业炉窑、锅炉综合整治重点工作的通知》（粤环函〔2021〕461号）相符性</w:t>
            </w:r>
          </w:p>
          <w:p w14:paraId="5E0D4FF9">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根据通知：按照《广东省人民政府关于印发广东省“三线一单”生态环境分区管控方案的通知》：“一、推进钢铁行业超低排放改造；二、鼓励水泥行业超低排放改造；三、推进钢压延、铝型材行业清洁能源改造；四、收严燃气锅炉大气污染物排放标准；五、珠三角地区逐步淘汰生物质锅炉；六、动态更新工业炉窑综合整治清单；七、完成70%以上涉工业炉窑企业综合整治工作；八、公开综合整治相关信息；九、加强监督执法；十、做好企业整治提升资金保障。”</w:t>
            </w:r>
          </w:p>
          <w:p w14:paraId="5065167B">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项目使用天然气作</w:t>
            </w:r>
            <w:r>
              <w:rPr>
                <w:rFonts w:hint="eastAsia" w:cs="Times New Roman"/>
                <w:b w:val="0"/>
                <w:bCs w:val="0"/>
                <w:color w:val="auto"/>
                <w:kern w:val="0"/>
                <w:sz w:val="24"/>
                <w:highlight w:val="none"/>
                <w:lang w:val="en-US" w:eastAsia="zh-CN"/>
              </w:rPr>
              <w:t>烘干炉、固化炉</w:t>
            </w:r>
            <w:r>
              <w:rPr>
                <w:rFonts w:hint="default" w:ascii="Times New Roman" w:hAnsi="Times New Roman" w:eastAsia="宋体" w:cs="Times New Roman"/>
                <w:b w:val="0"/>
                <w:bCs w:val="0"/>
                <w:color w:val="auto"/>
                <w:kern w:val="0"/>
                <w:sz w:val="24"/>
                <w:highlight w:val="none"/>
                <w:lang w:val="en-US" w:eastAsia="zh-CN"/>
              </w:rPr>
              <w:t>的燃料。</w:t>
            </w:r>
            <w:r>
              <w:rPr>
                <w:rFonts w:hint="eastAsia" w:cs="Times New Roman"/>
                <w:b w:val="0"/>
                <w:bCs w:val="0"/>
                <w:color w:val="auto"/>
                <w:kern w:val="0"/>
                <w:sz w:val="24"/>
                <w:highlight w:val="none"/>
                <w:lang w:val="en-US" w:eastAsia="zh-CN"/>
              </w:rPr>
              <w:t>烘干炉、固化炉</w:t>
            </w:r>
            <w:r>
              <w:rPr>
                <w:rFonts w:hint="default" w:ascii="Times New Roman" w:hAnsi="Times New Roman" w:eastAsia="宋体" w:cs="Times New Roman"/>
                <w:b w:val="0"/>
                <w:bCs w:val="0"/>
                <w:color w:val="auto"/>
                <w:kern w:val="0"/>
                <w:sz w:val="24"/>
                <w:highlight w:val="none"/>
                <w:lang w:val="en-US" w:eastAsia="zh-CN"/>
              </w:rPr>
              <w:t>天然气燃烧排放的污染物为颗粒物、SO</w:t>
            </w:r>
            <w:r>
              <w:rPr>
                <w:rFonts w:hint="default" w:ascii="Times New Roman" w:hAnsi="Times New Roman" w:eastAsia="宋体" w:cs="Times New Roman"/>
                <w:b w:val="0"/>
                <w:bCs w:val="0"/>
                <w:color w:val="auto"/>
                <w:kern w:val="0"/>
                <w:sz w:val="24"/>
                <w:highlight w:val="none"/>
                <w:vertAlign w:val="subscript"/>
                <w:lang w:val="en-US" w:eastAsia="zh-CN"/>
              </w:rPr>
              <w:t>2</w:t>
            </w:r>
            <w:r>
              <w:rPr>
                <w:rFonts w:hint="default" w:ascii="Times New Roman" w:hAnsi="Times New Roman" w:eastAsia="宋体" w:cs="Times New Roman"/>
                <w:b w:val="0"/>
                <w:bCs w:val="0"/>
                <w:color w:val="auto"/>
                <w:kern w:val="0"/>
                <w:sz w:val="24"/>
                <w:highlight w:val="none"/>
                <w:lang w:val="en-US" w:eastAsia="zh-CN"/>
              </w:rPr>
              <w:t>、NO</w:t>
            </w:r>
            <w:r>
              <w:rPr>
                <w:rFonts w:hint="eastAsia" w:ascii="Times New Roman" w:hAnsi="Times New Roman" w:eastAsia="宋体" w:cs="Times New Roman"/>
                <w:b w:val="0"/>
                <w:bCs w:val="0"/>
                <w:color w:val="auto"/>
                <w:kern w:val="0"/>
                <w:sz w:val="24"/>
                <w:highlight w:val="none"/>
                <w:vertAlign w:val="subscript"/>
                <w:lang w:val="en-US" w:eastAsia="zh-CN"/>
              </w:rPr>
              <w:t>X</w:t>
            </w:r>
            <w:r>
              <w:rPr>
                <w:rFonts w:hint="eastAsia" w:cs="Times New Roman"/>
                <w:b w:val="0"/>
                <w:bCs w:val="0"/>
                <w:color w:val="auto"/>
                <w:kern w:val="0"/>
                <w:sz w:val="24"/>
                <w:highlight w:val="none"/>
                <w:vertAlign w:val="baseline"/>
                <w:lang w:val="en-US" w:eastAsia="zh-CN"/>
              </w:rPr>
              <w:t>和烟气黑度</w:t>
            </w:r>
            <w:r>
              <w:rPr>
                <w:rFonts w:hint="default" w:ascii="Times New Roman" w:hAnsi="Times New Roman" w:eastAsia="宋体" w:cs="Times New Roman"/>
                <w:b w:val="0"/>
                <w:bCs w:val="0"/>
                <w:color w:val="auto"/>
                <w:kern w:val="0"/>
                <w:sz w:val="24"/>
                <w:highlight w:val="none"/>
                <w:lang w:val="en-US" w:eastAsia="zh-CN"/>
              </w:rPr>
              <w:t>。天然气燃烧废气排放根据《关于印发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工业炉窑大气污染综合治理方案</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（环大气〔2019〕56号）和《关于贯彻落实</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工业炉窑大气污染物综合治理方案</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的实施意见》（粤环函〔2019〕1112号），废气按照颗粒物、二氧化硫、氮氧化物排放限值分别不高于30、200、300毫克/立方米控制要求。因此项目符合《广东省生态环境厅关于2021年工业炉窑、锅炉综合整治重点工作的通知》（粤环函〔2021〕461号）的相关要求。</w:t>
            </w:r>
            <w:r>
              <w:rPr>
                <w:rFonts w:hint="eastAsia" w:ascii="Times New Roman" w:hAnsi="Times New Roman" w:eastAsia="宋体" w:cs="Times New Roman"/>
                <w:b w:val="0"/>
                <w:bCs w:val="0"/>
                <w:color w:val="auto"/>
                <w:kern w:val="0"/>
                <w:sz w:val="24"/>
                <w:highlight w:val="none"/>
                <w:lang w:val="en-US" w:eastAsia="zh-CN"/>
              </w:rPr>
              <w:t xml:space="preserve">  </w:t>
            </w:r>
          </w:p>
          <w:p w14:paraId="6CCD919F">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p>
          <w:p w14:paraId="51D35B39">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p>
          <w:p w14:paraId="41A8F7B2">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 xml:space="preserve">       </w:t>
            </w:r>
          </w:p>
        </w:tc>
      </w:tr>
    </w:tbl>
    <w:p w14:paraId="294316D8">
      <w:pPr>
        <w:spacing w:line="360" w:lineRule="auto"/>
        <w:outlineLvl w:val="0"/>
        <w:rPr>
          <w:rFonts w:eastAsia="黑体"/>
          <w:color w:val="auto"/>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9E428E4">
      <w:pPr>
        <w:pStyle w:val="45"/>
        <w:jc w:val="center"/>
        <w:outlineLvl w:val="0"/>
        <w:rPr>
          <w:rFonts w:ascii="黑体" w:hAnsi="黑体" w:eastAsia="黑体"/>
          <w:snapToGrid w:val="0"/>
          <w:color w:val="auto"/>
          <w:sz w:val="30"/>
          <w:szCs w:val="30"/>
          <w:highlight w:val="none"/>
        </w:rPr>
      </w:pPr>
      <w:bookmarkStart w:id="5" w:name="_Toc14981"/>
      <w:bookmarkStart w:id="6" w:name="_Toc26466"/>
      <w:bookmarkStart w:id="7" w:name="_Toc19853"/>
      <w:bookmarkStart w:id="8" w:name="_Toc14029"/>
      <w:r>
        <w:rPr>
          <w:rFonts w:hint="eastAsia" w:ascii="黑体" w:hAnsi="黑体" w:eastAsia="黑体"/>
          <w:snapToGrid w:val="0"/>
          <w:color w:val="auto"/>
          <w:sz w:val="30"/>
          <w:szCs w:val="30"/>
          <w:highlight w:val="none"/>
        </w:rPr>
        <w:t>二、建设项目工程分析</w:t>
      </w:r>
      <w:bookmarkEnd w:id="5"/>
      <w:bookmarkEnd w:id="6"/>
      <w:bookmarkEnd w:id="7"/>
      <w:bookmarkEnd w:id="8"/>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2"/>
        <w:gridCol w:w="8608"/>
      </w:tblGrid>
      <w:tr w14:paraId="0CB25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52" w:type="dxa"/>
            <w:noWrap w:val="0"/>
            <w:vAlign w:val="center"/>
          </w:tcPr>
          <w:p w14:paraId="206B227B">
            <w:pPr>
              <w:pStyle w:val="45"/>
              <w:adjustRightInd w:val="0"/>
              <w:snapToGrid w:val="0"/>
              <w:spacing w:before="0" w:beforeAutospacing="0" w:after="0" w:afterAutospacing="0"/>
              <w:jc w:val="center"/>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建设内容</w:t>
            </w:r>
          </w:p>
        </w:tc>
        <w:tc>
          <w:tcPr>
            <w:tcW w:w="8608" w:type="dxa"/>
            <w:noWrap w:val="0"/>
            <w:vAlign w:val="top"/>
          </w:tcPr>
          <w:p w14:paraId="275730EB">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7D704207">
            <w:pPr>
              <w:pStyle w:val="43"/>
              <w:spacing w:after="0" w:line="360" w:lineRule="auto"/>
              <w:ind w:firstLine="482" w:firstLineChars="200"/>
              <w:rPr>
                <w:rFonts w:hint="default" w:ascii="Times New Roman" w:hAnsi="Times New Roman" w:cs="Times New Roman"/>
                <w:b/>
                <w:color w:val="auto"/>
                <w:sz w:val="24"/>
                <w:highlight w:val="none"/>
              </w:rPr>
            </w:pPr>
            <w:r>
              <w:rPr>
                <w:rFonts w:hint="eastAsia" w:ascii="Times New Roman" w:hAnsi="Times New Roman" w:cs="Times New Roman"/>
                <w:b/>
                <w:bCs/>
                <w:color w:val="auto"/>
                <w:sz w:val="24"/>
                <w:highlight w:val="none"/>
                <w:lang w:val="en-US" w:eastAsia="zh-CN"/>
              </w:rPr>
              <w:t>一</w:t>
            </w:r>
            <w:r>
              <w:rPr>
                <w:rFonts w:hint="default" w:ascii="Times New Roman" w:hAnsi="Times New Roman" w:cs="Times New Roman"/>
                <w:b/>
                <w:bCs/>
                <w:color w:val="auto"/>
                <w:sz w:val="24"/>
                <w:highlight w:val="none"/>
              </w:rPr>
              <w:t>、</w:t>
            </w:r>
            <w:r>
              <w:rPr>
                <w:rFonts w:hint="default" w:ascii="Times New Roman" w:hAnsi="Times New Roman" w:cs="Times New Roman"/>
                <w:b/>
                <w:color w:val="auto"/>
                <w:sz w:val="24"/>
                <w:highlight w:val="none"/>
              </w:rPr>
              <w:t>项目由来</w:t>
            </w:r>
          </w:p>
          <w:p w14:paraId="6E62C8E6">
            <w:pPr>
              <w:pStyle w:val="43"/>
              <w:spacing w:after="0" w:line="360" w:lineRule="auto"/>
              <w:ind w:firstLine="480" w:firstLineChars="200"/>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广东三筑金属制品有限公司</w:t>
            </w:r>
            <w:r>
              <w:rPr>
                <w:rFonts w:hint="default" w:ascii="Times New Roman" w:hAnsi="Times New Roman" w:eastAsia="宋体" w:cs="Times New Roman"/>
                <w:color w:val="auto"/>
                <w:sz w:val="24"/>
                <w:highlight w:val="none"/>
              </w:rPr>
              <w:t>（以下简称</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建设单位</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）拟在</w:t>
            </w:r>
            <w:r>
              <w:rPr>
                <w:rFonts w:hint="eastAsia" w:ascii="Times New Roman" w:hAnsi="Times New Roman" w:eastAsia="宋体" w:cs="Times New Roman"/>
                <w:color w:val="auto"/>
                <w:sz w:val="24"/>
                <w:highlight w:val="none"/>
                <w:lang w:eastAsia="zh-CN"/>
              </w:rPr>
              <w:t>韶关市乐昌市</w:t>
            </w:r>
            <w:r>
              <w:rPr>
                <w:rFonts w:hint="eastAsia" w:cs="Times New Roman"/>
                <w:color w:val="auto"/>
                <w:sz w:val="24"/>
                <w:highlight w:val="none"/>
                <w:lang w:eastAsia="zh-CN"/>
              </w:rPr>
              <w:t>乐昌产业转移工业园GL-02-02-01地块</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东经113°24'30.099"，北纬25°9'23.358"</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投资建设</w:t>
            </w:r>
            <w:r>
              <w:rPr>
                <w:rFonts w:hint="eastAsia" w:ascii="Times New Roman" w:hAnsi="Times New Roman" w:eastAsia="宋体" w:cs="Times New Roman"/>
                <w:color w:val="auto"/>
                <w:sz w:val="24"/>
                <w:highlight w:val="none"/>
                <w:lang w:eastAsia="zh-CN"/>
              </w:rPr>
              <w:t>“乐昌市三筑金属材料智造项目”</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规划总用地面积</w:t>
            </w:r>
            <w:r>
              <w:rPr>
                <w:rFonts w:hint="eastAsia" w:ascii="Times New Roman" w:hAnsi="Times New Roman" w:eastAsia="宋体" w:cs="Times New Roman"/>
                <w:color w:val="auto"/>
                <w:sz w:val="24"/>
                <w:highlight w:val="none"/>
                <w:lang w:val="en-US" w:eastAsia="zh-CN"/>
              </w:rPr>
              <w:t>为</w:t>
            </w:r>
            <w:r>
              <w:rPr>
                <w:rFonts w:hint="eastAsia" w:ascii="Times New Roman" w:hAnsi="Times New Roman" w:eastAsia="宋体" w:cs="Times New Roman"/>
                <w:color w:val="auto"/>
                <w:sz w:val="24"/>
                <w:highlight w:val="none"/>
                <w:lang w:eastAsia="zh-CN"/>
              </w:rPr>
              <w:t>54139.29</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总</w:t>
            </w:r>
            <w:r>
              <w:rPr>
                <w:rFonts w:hint="default" w:ascii="Times New Roman" w:hAnsi="Times New Roman" w:eastAsia="宋体" w:cs="Times New Roman"/>
                <w:color w:val="auto"/>
                <w:sz w:val="24"/>
                <w:highlight w:val="none"/>
              </w:rPr>
              <w:t>建筑面积</w:t>
            </w:r>
            <w:r>
              <w:rPr>
                <w:rFonts w:hint="eastAsia" w:ascii="Times New Roman" w:hAnsi="Times New Roman" w:eastAsia="宋体" w:cs="Times New Roman"/>
                <w:color w:val="auto"/>
                <w:sz w:val="24"/>
                <w:highlight w:val="none"/>
                <w:lang w:val="en-US" w:eastAsia="zh-CN"/>
              </w:rPr>
              <w:t>为</w:t>
            </w:r>
            <w:r>
              <w:rPr>
                <w:rFonts w:hint="eastAsia" w:ascii="Times New Roman" w:hAnsi="Times New Roman" w:eastAsia="宋体" w:cs="Times New Roman"/>
                <w:color w:val="auto"/>
                <w:sz w:val="24"/>
                <w:highlight w:val="none"/>
                <w:lang w:eastAsia="zh-CN"/>
              </w:rPr>
              <w:t>43886.37</w:t>
            </w:r>
            <w:r>
              <w:rPr>
                <w:rFonts w:hint="default" w:ascii="Times New Roman" w:hAnsi="Times New Roman" w:eastAsia="宋体" w:cs="Times New Roman"/>
                <w:color w:val="auto"/>
                <w:sz w:val="24"/>
                <w:highlight w:val="none"/>
              </w:rPr>
              <w:t>平方米，拟建设厂房</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栋，</w:t>
            </w:r>
            <w:r>
              <w:rPr>
                <w:rFonts w:hint="eastAsia" w:ascii="Times New Roman" w:hAnsi="Times New Roman" w:eastAsia="宋体" w:cs="Times New Roman"/>
                <w:color w:val="auto"/>
                <w:sz w:val="24"/>
                <w:highlight w:val="none"/>
                <w:lang w:eastAsia="zh-CN"/>
              </w:rPr>
              <w:t>宿舍楼</w:t>
            </w:r>
            <w:r>
              <w:rPr>
                <w:rFonts w:hint="default" w:ascii="Times New Roman" w:hAnsi="Times New Roman" w:eastAsia="宋体" w:cs="Times New Roman"/>
                <w:color w:val="auto"/>
                <w:sz w:val="24"/>
                <w:highlight w:val="none"/>
              </w:rPr>
              <w:t>1栋，综合楼1栋及其他辅助设施。项目总投资</w:t>
            </w:r>
            <w:r>
              <w:rPr>
                <w:rFonts w:hint="default"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000</w:t>
            </w:r>
            <w:r>
              <w:rPr>
                <w:rFonts w:hint="default" w:ascii="Times New Roman" w:hAnsi="Times New Roman" w:eastAsia="宋体" w:cs="Times New Roman"/>
                <w:color w:val="auto"/>
                <w:sz w:val="24"/>
                <w:highlight w:val="none"/>
              </w:rPr>
              <w:t>万元，其中环保投资</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00万元。</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lang w:eastAsia="zh-CN"/>
              </w:rPr>
              <w:t>建成后年生产各类板铝制品1</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0万平方米</w:t>
            </w:r>
            <w:r>
              <w:rPr>
                <w:rFonts w:hint="eastAsia" w:ascii="Times New Roman" w:hAnsi="Times New Roman" w:eastAsia="宋体" w:cs="Times New Roman"/>
                <w:color w:val="auto"/>
                <w:sz w:val="24"/>
                <w:highlight w:val="none"/>
                <w:lang w:eastAsia="zh-CN"/>
              </w:rPr>
              <w:t>。</w:t>
            </w:r>
          </w:p>
          <w:p w14:paraId="254FF2FD">
            <w:pPr>
              <w:pStyle w:val="43"/>
              <w:spacing w:after="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根据《中华人民共和国生态环境法典》(2026年8月15日起施行)等有关规定，建设过程中或者建成投产后可能对环境产生影响的新建、扩建、改建、迁建、技术改造项目及区域开发建设项目，必须执行</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rPr>
              <w:t>环境影响评价制度。对照《国民经济行业分类》（GB/T 4754-2017，按第1号修改单修订），本项目属于C3360金属表面处理及热处理加工；对照国家环保部《建设项目环境影响评价分类管理名录》（2021年版），该项目属于“三十、33金属制品业67金属表面处理及热处理加工其他（年用非溶剂型低VOCs含量涂料10吨以下的除外）”，按要求需要编制环境影响报告表。</w:t>
            </w:r>
          </w:p>
          <w:p w14:paraId="6731BC54">
            <w:pPr>
              <w:widowControl w:val="0"/>
              <w:spacing w:line="360" w:lineRule="auto"/>
              <w:ind w:firstLine="480" w:firstLineChars="200"/>
              <w:jc w:val="both"/>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建设单位</w:t>
            </w:r>
            <w:r>
              <w:rPr>
                <w:rFonts w:hint="eastAsia" w:ascii="Times New Roman" w:hAnsi="Times New Roman" w:eastAsia="宋体" w:cs="Times New Roman"/>
                <w:color w:val="auto"/>
                <w:kern w:val="0"/>
                <w:sz w:val="24"/>
                <w:szCs w:val="24"/>
                <w:highlight w:val="none"/>
                <w:lang w:val="en-US" w:eastAsia="zh-CN" w:bidi="ar-SA"/>
              </w:rPr>
              <w:t>于2025年11月12日取得《广东三筑金属制品有限公司乐昌市三筑金属材料智造项目环境影响报告表的审查意见》（韶环乐审(2025)2</w:t>
            </w:r>
            <w:r>
              <w:rPr>
                <w:rFonts w:hint="eastAsia" w:cs="Times New Roman"/>
                <w:color w:val="auto"/>
                <w:kern w:val="0"/>
                <w:sz w:val="24"/>
                <w:szCs w:val="24"/>
                <w:highlight w:val="none"/>
                <w:lang w:val="en-US" w:eastAsia="zh-CN" w:bidi="ar-SA"/>
              </w:rPr>
              <w:t>4</w:t>
            </w:r>
            <w:r>
              <w:rPr>
                <w:rFonts w:hint="eastAsia" w:ascii="Times New Roman" w:hAnsi="Times New Roman" w:eastAsia="宋体" w:cs="Times New Roman"/>
                <w:color w:val="auto"/>
                <w:kern w:val="0"/>
                <w:sz w:val="24"/>
                <w:szCs w:val="24"/>
                <w:highlight w:val="none"/>
                <w:lang w:val="en-US" w:eastAsia="zh-CN" w:bidi="ar-SA"/>
              </w:rPr>
              <w:t>号）批复</w:t>
            </w:r>
            <w:r>
              <w:rPr>
                <w:rFonts w:hint="default" w:ascii="Times New Roman" w:hAnsi="Times New Roman" w:eastAsia="宋体" w:cs="Times New Roman"/>
                <w:color w:val="auto"/>
                <w:kern w:val="0"/>
                <w:sz w:val="24"/>
                <w:szCs w:val="24"/>
                <w:highlight w:val="none"/>
                <w:lang w:val="en-US" w:eastAsia="zh-CN" w:bidi="ar-SA"/>
              </w:rPr>
              <w:t>后开工建设，</w:t>
            </w:r>
            <w:r>
              <w:rPr>
                <w:rFonts w:hint="eastAsia" w:ascii="Times New Roman" w:hAnsi="Times New Roman" w:eastAsia="宋体" w:cs="Times New Roman"/>
                <w:color w:val="auto"/>
                <w:kern w:val="0"/>
                <w:sz w:val="24"/>
                <w:szCs w:val="24"/>
                <w:highlight w:val="none"/>
                <w:lang w:val="en-US" w:eastAsia="zh-CN" w:bidi="ar-SA"/>
              </w:rPr>
              <w:t>尚未进行投产，</w:t>
            </w:r>
            <w:r>
              <w:rPr>
                <w:rFonts w:hint="default" w:ascii="Times New Roman" w:hAnsi="Times New Roman" w:eastAsia="宋体" w:cs="Times New Roman"/>
                <w:color w:val="auto"/>
                <w:kern w:val="0"/>
                <w:sz w:val="24"/>
                <w:szCs w:val="24"/>
                <w:highlight w:val="none"/>
                <w:lang w:val="en-US" w:eastAsia="zh-CN" w:bidi="ar-SA"/>
              </w:rPr>
              <w:t>在建设过程中受市场影响等因素对产品</w:t>
            </w:r>
            <w:r>
              <w:rPr>
                <w:rFonts w:hint="eastAsia" w:ascii="Times New Roman" w:hAnsi="Times New Roman" w:eastAsia="宋体" w:cs="Times New Roman"/>
                <w:color w:val="auto"/>
                <w:kern w:val="0"/>
                <w:sz w:val="24"/>
                <w:szCs w:val="24"/>
                <w:highlight w:val="none"/>
                <w:lang w:val="en-US" w:eastAsia="zh-CN" w:bidi="ar-SA"/>
              </w:rPr>
              <w:t>工艺</w:t>
            </w:r>
            <w:r>
              <w:rPr>
                <w:rFonts w:hint="default" w:ascii="Times New Roman" w:hAnsi="Times New Roman" w:eastAsia="宋体" w:cs="Times New Roman"/>
                <w:color w:val="auto"/>
                <w:kern w:val="0"/>
                <w:sz w:val="24"/>
                <w:szCs w:val="24"/>
                <w:highlight w:val="none"/>
                <w:lang w:val="en-US" w:eastAsia="zh-CN" w:bidi="ar-SA"/>
              </w:rPr>
              <w:t>进行调整，</w:t>
            </w:r>
            <w:r>
              <w:rPr>
                <w:rFonts w:hint="eastAsia" w:ascii="Times New Roman" w:hAnsi="Times New Roman" w:eastAsia="宋体" w:cs="Times New Roman"/>
                <w:color w:val="auto"/>
                <w:kern w:val="0"/>
                <w:sz w:val="24"/>
                <w:szCs w:val="24"/>
                <w:highlight w:val="none"/>
                <w:lang w:val="en-US" w:eastAsia="zh-CN" w:bidi="ar-SA"/>
              </w:rPr>
              <w:t>新增</w:t>
            </w:r>
            <w:r>
              <w:rPr>
                <w:rFonts w:hint="eastAsia" w:cs="Times New Roman"/>
                <w:color w:val="auto"/>
                <w:kern w:val="0"/>
                <w:sz w:val="24"/>
                <w:szCs w:val="24"/>
                <w:highlight w:val="none"/>
                <w:lang w:val="en-US" w:eastAsia="zh-CN" w:bidi="ar-SA"/>
              </w:rPr>
              <w:t>前处理线和</w:t>
            </w:r>
            <w:r>
              <w:rPr>
                <w:rFonts w:hint="eastAsia" w:ascii="Times New Roman" w:hAnsi="Times New Roman" w:eastAsia="宋体" w:cs="Times New Roman"/>
                <w:color w:val="auto"/>
                <w:kern w:val="0"/>
                <w:sz w:val="24"/>
                <w:szCs w:val="24"/>
                <w:highlight w:val="none"/>
                <w:lang w:val="en-US" w:eastAsia="zh-CN" w:bidi="ar-SA"/>
              </w:rPr>
              <w:t>喷涂</w:t>
            </w:r>
            <w:r>
              <w:rPr>
                <w:rFonts w:hint="eastAsia" w:cs="Times New Roman"/>
                <w:color w:val="auto"/>
                <w:kern w:val="0"/>
                <w:sz w:val="24"/>
                <w:szCs w:val="24"/>
                <w:highlight w:val="none"/>
                <w:lang w:val="en-US" w:eastAsia="zh-CN" w:bidi="ar-SA"/>
              </w:rPr>
              <w:t>线</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对照《关于印发《污染影响类建设项目重大变动清单（试行）》的通知》（环办环评函〔2020〕688号），项目</w:t>
            </w:r>
            <w:r>
              <w:rPr>
                <w:rFonts w:hint="eastAsia" w:ascii="Times New Roman" w:hAnsi="Times New Roman" w:eastAsia="宋体" w:cs="Times New Roman"/>
                <w:color w:val="auto"/>
                <w:kern w:val="0"/>
                <w:sz w:val="24"/>
                <w:szCs w:val="24"/>
                <w:highlight w:val="none"/>
                <w:lang w:val="en-US" w:eastAsia="zh-CN" w:bidi="ar-SA"/>
              </w:rPr>
              <w:t>生产工艺</w:t>
            </w:r>
            <w:r>
              <w:rPr>
                <w:rFonts w:hint="default" w:ascii="Times New Roman" w:hAnsi="Times New Roman" w:eastAsia="宋体" w:cs="Times New Roman"/>
                <w:color w:val="auto"/>
                <w:kern w:val="0"/>
                <w:sz w:val="24"/>
                <w:szCs w:val="24"/>
                <w:highlight w:val="none"/>
                <w:lang w:val="en-US" w:eastAsia="zh-CN" w:bidi="ar-SA"/>
              </w:rPr>
              <w:t>发生了重大变动</w:t>
            </w:r>
            <w:r>
              <w:rPr>
                <w:rFonts w:hint="eastAsia" w:ascii="Times New Roman" w:hAnsi="Times New Roman" w:eastAsia="宋体" w:cs="Times New Roman"/>
                <w:color w:val="auto"/>
                <w:kern w:val="0"/>
                <w:sz w:val="24"/>
                <w:szCs w:val="24"/>
                <w:highlight w:val="none"/>
                <w:lang w:val="en-US" w:eastAsia="zh-CN" w:bidi="ar-SA"/>
              </w:rPr>
              <w:t>。</w:t>
            </w:r>
          </w:p>
          <w:p w14:paraId="4386BC03">
            <w:pPr>
              <w:pageBreakBefore w:val="0"/>
              <w:widowControl w:val="0"/>
              <w:wordWrap w:val="0"/>
              <w:overflowPunct/>
              <w:bidi w:val="0"/>
              <w:spacing w:line="360" w:lineRule="auto"/>
              <w:ind w:firstLine="480" w:firstLineChars="200"/>
              <w:jc w:val="both"/>
              <w:rPr>
                <w:rFonts w:hint="eastAsia" w:ascii="Times New Roman" w:hAnsi="Times New Roman" w:eastAsia="宋体" w:cs="Times New Roman"/>
                <w:bCs/>
                <w:color w:val="auto"/>
                <w:kern w:val="0"/>
                <w:sz w:val="24"/>
                <w:szCs w:val="20"/>
                <w:highlight w:val="none"/>
                <w:lang w:val="en-US" w:eastAsia="zh-CN" w:bidi="ar-SA"/>
              </w:rPr>
            </w:pPr>
            <w:r>
              <w:rPr>
                <w:rFonts w:hint="eastAsia" w:ascii="Times New Roman" w:hAnsi="Times New Roman" w:eastAsia="宋体" w:cs="Times New Roman"/>
                <w:bCs/>
                <w:color w:val="auto"/>
                <w:kern w:val="0"/>
                <w:sz w:val="24"/>
                <w:szCs w:val="20"/>
                <w:highlight w:val="none"/>
                <w:lang w:val="en-US" w:eastAsia="zh-CN" w:bidi="ar-SA"/>
              </w:rPr>
              <w:t>截至2026年4月，建设单位已完成基础厂房建设</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sz w:val="24"/>
                <w:lang w:eastAsia="zh-CN"/>
              </w:rPr>
              <w:t>广东三筑金属制品有限公司</w:t>
            </w:r>
            <w:r>
              <w:rPr>
                <w:rFonts w:hint="eastAsia" w:ascii="Times New Roman" w:hAnsi="Times New Roman" w:eastAsia="宋体" w:cs="Times New Roman"/>
                <w:color w:val="auto"/>
                <w:kern w:val="0"/>
                <w:sz w:val="24"/>
                <w:szCs w:val="24"/>
                <w:highlight w:val="none"/>
                <w:lang w:val="en-US" w:eastAsia="zh-CN" w:bidi="ar-SA"/>
              </w:rPr>
              <w:t>乐昌市三筑金属材料智造项目</w:t>
            </w:r>
            <w:r>
              <w:rPr>
                <w:rFonts w:hint="eastAsia" w:ascii="Times New Roman" w:hAnsi="Times New Roman" w:eastAsia="宋体" w:cs="Times New Roman"/>
                <w:bCs/>
                <w:color w:val="auto"/>
                <w:kern w:val="0"/>
                <w:sz w:val="24"/>
                <w:szCs w:val="20"/>
                <w:highlight w:val="none"/>
                <w:lang w:val="en-US" w:eastAsia="zh-CN" w:bidi="ar-SA"/>
              </w:rPr>
              <w:t>在建设过程中</w:t>
            </w:r>
            <w:r>
              <w:rPr>
                <w:rFonts w:hint="eastAsia" w:ascii="Times New Roman" w:hAnsi="Times New Roman" w:eastAsia="宋体" w:cs="Times New Roman"/>
                <w:b/>
                <w:bCs w:val="0"/>
                <w:color w:val="auto"/>
                <w:kern w:val="0"/>
                <w:sz w:val="24"/>
                <w:szCs w:val="20"/>
                <w:highlight w:val="none"/>
                <w:lang w:val="en-US" w:eastAsia="zh-CN" w:bidi="ar-SA"/>
              </w:rPr>
              <w:t>发生的重大变动</w:t>
            </w:r>
            <w:r>
              <w:rPr>
                <w:rFonts w:hint="eastAsia" w:ascii="Times New Roman" w:hAnsi="Times New Roman" w:eastAsia="宋体" w:cs="Times New Roman"/>
                <w:bCs/>
                <w:color w:val="auto"/>
                <w:kern w:val="0"/>
                <w:sz w:val="24"/>
                <w:szCs w:val="20"/>
                <w:highlight w:val="none"/>
                <w:lang w:val="en-US" w:eastAsia="zh-CN" w:bidi="ar-SA"/>
              </w:rPr>
              <w:t>如下：</w:t>
            </w:r>
          </w:p>
          <w:p w14:paraId="7131BCCC">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项目建设内容变动情况</w:t>
            </w:r>
            <w:r>
              <w:rPr>
                <w:rFonts w:hint="default" w:ascii="Times New Roman" w:hAnsi="Times New Roman" w:eastAsia="宋体" w:cs="Times New Roman"/>
                <w:b/>
                <w:bCs/>
                <w:color w:val="auto"/>
                <w:kern w:val="2"/>
                <w:sz w:val="21"/>
                <w:szCs w:val="21"/>
                <w:highlight w:val="none"/>
                <w:lang w:val="en-US" w:eastAsia="zh-CN" w:bidi="ar-SA"/>
              </w:rPr>
              <w:t>一览表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2250"/>
              <w:gridCol w:w="2019"/>
              <w:gridCol w:w="1881"/>
              <w:gridCol w:w="887"/>
              <w:gridCol w:w="889"/>
            </w:tblGrid>
            <w:tr w14:paraId="3233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B66CF5">
                  <w:pPr>
                    <w:spacing w:line="240" w:lineRule="auto"/>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1342" w:type="pct"/>
                  <w:noWrap w:val="0"/>
                  <w:vAlign w:val="center"/>
                </w:tcPr>
                <w:p w14:paraId="016C8DA9">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文件内容</w:t>
                  </w:r>
                </w:p>
              </w:tc>
              <w:tc>
                <w:tcPr>
                  <w:tcW w:w="1204" w:type="pct"/>
                  <w:noWrap w:val="0"/>
                  <w:vAlign w:val="center"/>
                </w:tcPr>
                <w:p w14:paraId="12802CE4">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原环评项目建设内容</w:t>
                  </w:r>
                </w:p>
              </w:tc>
              <w:tc>
                <w:tcPr>
                  <w:tcW w:w="1122" w:type="pct"/>
                  <w:noWrap w:val="0"/>
                  <w:vAlign w:val="center"/>
                </w:tcPr>
                <w:p w14:paraId="0DD9C622">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实际建设情况</w:t>
                  </w:r>
                </w:p>
              </w:tc>
              <w:tc>
                <w:tcPr>
                  <w:tcW w:w="529" w:type="pct"/>
                  <w:noWrap w:val="0"/>
                  <w:vAlign w:val="center"/>
                </w:tcPr>
                <w:p w14:paraId="25E0A401">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变动情况</w:t>
                  </w:r>
                </w:p>
              </w:tc>
              <w:tc>
                <w:tcPr>
                  <w:tcW w:w="530" w:type="pct"/>
                  <w:noWrap w:val="0"/>
                  <w:vAlign w:val="center"/>
                </w:tcPr>
                <w:p w14:paraId="5BEA481B">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是否属于重大变动</w:t>
                  </w:r>
                </w:p>
              </w:tc>
            </w:tr>
            <w:tr w14:paraId="67AE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395EE00">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c>
                <w:tcPr>
                  <w:tcW w:w="1342" w:type="pct"/>
                  <w:noWrap w:val="0"/>
                  <w:vAlign w:val="center"/>
                </w:tcPr>
                <w:p w14:paraId="76986FB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建设项目开发、使用功能发生变化的</w:t>
                  </w:r>
                </w:p>
              </w:tc>
              <w:tc>
                <w:tcPr>
                  <w:tcW w:w="1204" w:type="pct"/>
                  <w:noWrap w:val="0"/>
                  <w:vAlign w:val="center"/>
                </w:tcPr>
                <w:p w14:paraId="02912D5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项目属于“三十、金属制品业 33—67、金属表面处理及热处理加工 336”</w:t>
                  </w:r>
                </w:p>
              </w:tc>
              <w:tc>
                <w:tcPr>
                  <w:tcW w:w="1122" w:type="pct"/>
                  <w:noWrap w:val="0"/>
                  <w:vAlign w:val="center"/>
                </w:tcPr>
                <w:p w14:paraId="1D2784D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项目属于“三十、金属制品业 33—67、金属表面处理及热处理加工 336”</w:t>
                  </w:r>
                </w:p>
              </w:tc>
              <w:tc>
                <w:tcPr>
                  <w:tcW w:w="529" w:type="pct"/>
                  <w:noWrap w:val="0"/>
                  <w:vAlign w:val="center"/>
                </w:tcPr>
                <w:p w14:paraId="5636CBF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无变动</w:t>
                  </w:r>
                </w:p>
              </w:tc>
              <w:tc>
                <w:tcPr>
                  <w:tcW w:w="530" w:type="pct"/>
                  <w:noWrap w:val="0"/>
                  <w:vAlign w:val="center"/>
                </w:tcPr>
                <w:p w14:paraId="16FAD3EE">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4818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A131656">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1342" w:type="pct"/>
                  <w:noWrap w:val="0"/>
                  <w:vAlign w:val="center"/>
                </w:tcPr>
                <w:p w14:paraId="4F43466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生产、处置或储存能力增大30%及以上的</w:t>
                  </w:r>
                </w:p>
              </w:tc>
              <w:tc>
                <w:tcPr>
                  <w:tcW w:w="1204" w:type="pct"/>
                  <w:noWrap w:val="0"/>
                  <w:vAlign w:val="center"/>
                </w:tcPr>
                <w:p w14:paraId="09D9379D">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lang w:val="en-US" w:eastAsia="zh-CN"/>
                    </w:rPr>
                    <w:t>产品方案为年产1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vertAlign w:val="baseli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vertAlign w:val="baseline"/>
                      <w:lang w:val="en-US" w:eastAsia="zh-CN"/>
                    </w:rPr>
                    <w:t>钣金件</w:t>
                  </w:r>
                </w:p>
              </w:tc>
              <w:tc>
                <w:tcPr>
                  <w:tcW w:w="1122" w:type="pct"/>
                  <w:noWrap w:val="0"/>
                  <w:vAlign w:val="center"/>
                </w:tcPr>
                <w:p w14:paraId="489993C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产品方案为年产1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vertAlign w:val="baseli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cs="Times New Roman"/>
                      <w:b w:val="0"/>
                      <w:bCs w:val="0"/>
                      <w:color w:val="auto"/>
                      <w:sz w:val="21"/>
                      <w:szCs w:val="21"/>
                      <w:highlight w:val="none"/>
                      <w:vertAlign w:val="baseline"/>
                      <w:lang w:val="en-US" w:eastAsia="zh-CN"/>
                    </w:rPr>
                    <w:t>铝单板</w:t>
                  </w:r>
                </w:p>
              </w:tc>
              <w:tc>
                <w:tcPr>
                  <w:tcW w:w="529" w:type="pct"/>
                  <w:noWrap w:val="0"/>
                  <w:vAlign w:val="center"/>
                </w:tcPr>
                <w:p w14:paraId="5B3AD915">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无</w:t>
                  </w:r>
                  <w:r>
                    <w:rPr>
                      <w:rFonts w:hint="eastAsia" w:ascii="Times New Roman" w:hAnsi="Times New Roman" w:eastAsia="宋体" w:cs="Times New Roman"/>
                      <w:b w:val="0"/>
                      <w:bCs w:val="0"/>
                      <w:color w:val="auto"/>
                      <w:sz w:val="21"/>
                      <w:szCs w:val="21"/>
                      <w:highlight w:val="none"/>
                      <w:lang w:val="en-US" w:eastAsia="zh-CN"/>
                    </w:rPr>
                    <w:t>变动</w:t>
                  </w:r>
                </w:p>
              </w:tc>
              <w:tc>
                <w:tcPr>
                  <w:tcW w:w="530" w:type="pct"/>
                  <w:noWrap w:val="0"/>
                  <w:vAlign w:val="center"/>
                </w:tcPr>
                <w:p w14:paraId="306A0E2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否</w:t>
                  </w:r>
                </w:p>
              </w:tc>
            </w:tr>
            <w:tr w14:paraId="0253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64B9ED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w:t>
                  </w:r>
                </w:p>
              </w:tc>
              <w:tc>
                <w:tcPr>
                  <w:tcW w:w="1342" w:type="pct"/>
                  <w:noWrap w:val="0"/>
                  <w:vAlign w:val="center"/>
                </w:tcPr>
                <w:p w14:paraId="3FDFCB9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生产、处置或储存能力增大，导致废水第一类污染物排放量增加的</w:t>
                  </w:r>
                </w:p>
              </w:tc>
              <w:tc>
                <w:tcPr>
                  <w:tcW w:w="1204" w:type="pct"/>
                  <w:noWrap w:val="0"/>
                  <w:vAlign w:val="center"/>
                </w:tcPr>
                <w:p w14:paraId="06D6745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废水不涉及第一类污染物排放</w:t>
                  </w:r>
                </w:p>
              </w:tc>
              <w:tc>
                <w:tcPr>
                  <w:tcW w:w="1122" w:type="pct"/>
                  <w:noWrap w:val="0"/>
                  <w:vAlign w:val="center"/>
                </w:tcPr>
                <w:p w14:paraId="0A7489FC">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废水不涉及第一类污染物排放</w:t>
                  </w:r>
                </w:p>
              </w:tc>
              <w:tc>
                <w:tcPr>
                  <w:tcW w:w="529" w:type="pct"/>
                  <w:noWrap w:val="0"/>
                  <w:vAlign w:val="center"/>
                </w:tcPr>
                <w:p w14:paraId="1DCB74A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无变动</w:t>
                  </w:r>
                </w:p>
              </w:tc>
              <w:tc>
                <w:tcPr>
                  <w:tcW w:w="530" w:type="pct"/>
                  <w:noWrap w:val="0"/>
                  <w:vAlign w:val="center"/>
                </w:tcPr>
                <w:p w14:paraId="1C9BAEF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0E0D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A53BE76">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w:t>
                  </w:r>
                </w:p>
              </w:tc>
              <w:tc>
                <w:tcPr>
                  <w:tcW w:w="1342" w:type="pct"/>
                  <w:noWrap w:val="0"/>
                  <w:vAlign w:val="center"/>
                </w:tcPr>
                <w:p w14:paraId="12C4435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204" w:type="pct"/>
                  <w:noWrap w:val="0"/>
                  <w:vAlign w:val="center"/>
                </w:tcPr>
                <w:p w14:paraId="7CCA2BF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原</w:t>
                  </w:r>
                  <w:r>
                    <w:rPr>
                      <w:rFonts w:hint="eastAsia" w:ascii="Times New Roman" w:hAnsi="Times New Roman" w:eastAsia="宋体" w:cs="Times New Roman"/>
                      <w:b w:val="0"/>
                      <w:bCs w:val="0"/>
                      <w:color w:val="auto"/>
                      <w:sz w:val="21"/>
                      <w:szCs w:val="21"/>
                      <w:highlight w:val="none"/>
                      <w:lang w:val="en-US" w:eastAsia="zh-CN"/>
                    </w:rPr>
                    <w:t>项目所在区域属于达标区，项目生产废水排放量为8128.5t/a，生活污水排放量为2070t/a，综合废水合计为10198.5t/a，均经预处理后排入园区污水处理厂进行处理，因此，CODCr（0.999t/a）、NH</w:t>
                  </w:r>
                  <w:r>
                    <w:rPr>
                      <w:rFonts w:hint="eastAsia" w:ascii="Times New Roman" w:hAnsi="Times New Roman" w:eastAsia="宋体" w:cs="Times New Roman"/>
                      <w:b w:val="0"/>
                      <w:bCs w:val="0"/>
                      <w:color w:val="auto"/>
                      <w:sz w:val="21"/>
                      <w:szCs w:val="21"/>
                      <w:highlight w:val="none"/>
                      <w:vertAlign w:val="subscript"/>
                      <w:lang w:val="en-US" w:eastAsia="zh-CN"/>
                    </w:rPr>
                    <w:t>3</w:t>
                  </w:r>
                  <w:r>
                    <w:rPr>
                      <w:rFonts w:hint="eastAsia" w:ascii="Times New Roman" w:hAnsi="Times New Roman" w:eastAsia="宋体" w:cs="Times New Roman"/>
                      <w:b w:val="0"/>
                      <w:bCs w:val="0"/>
                      <w:color w:val="auto"/>
                      <w:sz w:val="21"/>
                      <w:szCs w:val="21"/>
                      <w:highlight w:val="none"/>
                      <w:lang w:val="en-US" w:eastAsia="zh-CN"/>
                    </w:rPr>
                    <w:t>-N（0.066t/a）纳入园区污水处理厂的总量控制指标，不需再增加新的总量分配指标。氮氧化物</w:t>
                  </w:r>
                  <w:r>
                    <w:rPr>
                      <w:rFonts w:hint="default" w:ascii="Times New Roman" w:hAnsi="Times New Roman" w:eastAsia="宋体" w:cs="Times New Roman"/>
                      <w:b w:val="0"/>
                      <w:bCs w:val="0"/>
                      <w:color w:val="auto"/>
                      <w:sz w:val="21"/>
                      <w:szCs w:val="21"/>
                      <w:highlight w:val="none"/>
                    </w:rPr>
                    <w:t>排放</w:t>
                  </w:r>
                  <w:r>
                    <w:rPr>
                      <w:rFonts w:hint="eastAsia" w:ascii="Times New Roman" w:hAnsi="Times New Roman" w:eastAsia="宋体" w:cs="Times New Roman"/>
                      <w:b w:val="0"/>
                      <w:bCs w:val="0"/>
                      <w:color w:val="auto"/>
                      <w:sz w:val="21"/>
                      <w:szCs w:val="21"/>
                      <w:highlight w:val="none"/>
                      <w:lang w:val="en-US" w:eastAsia="zh-CN"/>
                    </w:rPr>
                    <w:t>量</w:t>
                  </w:r>
                  <w:r>
                    <w:rPr>
                      <w:rFonts w:hint="default" w:ascii="Times New Roman" w:hAnsi="Times New Roman" w:eastAsia="宋体" w:cs="Times New Roman"/>
                      <w:b w:val="0"/>
                      <w:bCs w:val="0"/>
                      <w:color w:val="auto"/>
                      <w:sz w:val="21"/>
                      <w:szCs w:val="21"/>
                      <w:highlight w:val="none"/>
                    </w:rPr>
                    <w:t>：</w:t>
                  </w:r>
                  <w:r>
                    <w:rPr>
                      <w:rFonts w:hint="eastAsia" w:ascii="Times New Roman" w:hAnsi="Times New Roman" w:eastAsia="宋体" w:cs="Times New Roman"/>
                      <w:b w:val="0"/>
                      <w:bCs w:val="0"/>
                      <w:color w:val="auto"/>
                      <w:sz w:val="21"/>
                      <w:szCs w:val="21"/>
                      <w:highlight w:val="none"/>
                      <w:lang w:val="en-US" w:eastAsia="zh-CN"/>
                    </w:rPr>
                    <w:t>0.089</w:t>
                  </w:r>
                  <w:r>
                    <w:rPr>
                      <w:rFonts w:hint="default" w:ascii="Times New Roman" w:hAnsi="Times New Roman" w:eastAsia="宋体" w:cs="Times New Roman"/>
                      <w:b w:val="0"/>
                      <w:bCs w:val="0"/>
                      <w:color w:val="auto"/>
                      <w:sz w:val="21"/>
                      <w:szCs w:val="21"/>
                      <w:highlight w:val="none"/>
                    </w:rPr>
                    <w:t>t/a</w:t>
                  </w:r>
                  <w:r>
                    <w:rPr>
                      <w:rFonts w:hint="eastAsia"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小于0.1t/a，无需</w:t>
                  </w:r>
                  <w:r>
                    <w:rPr>
                      <w:rFonts w:hint="eastAsia" w:ascii="Times New Roman" w:hAnsi="Times New Roman" w:eastAsia="宋体" w:cs="Times New Roman"/>
                      <w:b w:val="0"/>
                      <w:bCs w:val="0"/>
                      <w:color w:val="auto"/>
                      <w:sz w:val="21"/>
                      <w:szCs w:val="21"/>
                      <w:highlight w:val="none"/>
                      <w:lang w:eastAsia="zh-CN"/>
                    </w:rPr>
                    <w:t>向韶关市生态环境局乐昌分局申请分配</w:t>
                  </w:r>
                  <w:r>
                    <w:rPr>
                      <w:rFonts w:hint="eastAsia" w:ascii="Times New Roman" w:hAnsi="Times New Roman" w:eastAsia="宋体" w:cs="Times New Roman"/>
                      <w:b w:val="0"/>
                      <w:bCs w:val="0"/>
                      <w:color w:val="auto"/>
                      <w:sz w:val="21"/>
                      <w:szCs w:val="21"/>
                      <w:highlight w:val="none"/>
                      <w:lang w:val="en-US" w:eastAsia="zh-CN"/>
                    </w:rPr>
                    <w:t>总量分配指标</w:t>
                  </w:r>
                  <w:r>
                    <w:rPr>
                      <w:rFonts w:hint="eastAsia" w:ascii="Times New Roman" w:hAnsi="Times New Roman" w:eastAsia="宋体" w:cs="Times New Roman"/>
                      <w:b w:val="0"/>
                      <w:bCs w:val="0"/>
                      <w:color w:val="auto"/>
                      <w:sz w:val="21"/>
                      <w:szCs w:val="21"/>
                      <w:highlight w:val="none"/>
                      <w:lang w:eastAsia="zh-CN"/>
                    </w:rPr>
                    <w:t>。</w:t>
                  </w:r>
                </w:p>
              </w:tc>
              <w:tc>
                <w:tcPr>
                  <w:tcW w:w="1122" w:type="pct"/>
                  <w:noWrap w:val="0"/>
                  <w:vAlign w:val="center"/>
                </w:tcPr>
                <w:p w14:paraId="1A261FAB">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本项目所在区域属于达标区，项目</w:t>
                  </w:r>
                  <w:r>
                    <w:rPr>
                      <w:rFonts w:hint="eastAsia" w:cs="Times New Roman"/>
                      <w:b w:val="0"/>
                      <w:bCs w:val="0"/>
                      <w:color w:val="auto"/>
                      <w:sz w:val="21"/>
                      <w:szCs w:val="21"/>
                      <w:highlight w:val="none"/>
                      <w:lang w:val="en-US" w:eastAsia="zh-CN"/>
                    </w:rPr>
                    <w:t>外排</w:t>
                  </w:r>
                  <w:r>
                    <w:rPr>
                      <w:rFonts w:hint="eastAsia" w:ascii="Times New Roman" w:hAnsi="Times New Roman" w:eastAsia="宋体" w:cs="Times New Roman"/>
                      <w:b w:val="0"/>
                      <w:bCs w:val="0"/>
                      <w:color w:val="auto"/>
                      <w:sz w:val="21"/>
                      <w:szCs w:val="21"/>
                      <w:highlight w:val="none"/>
                      <w:lang w:val="en-US" w:eastAsia="zh-CN"/>
                    </w:rPr>
                    <w:t>生产废水</w:t>
                  </w:r>
                  <w:r>
                    <w:rPr>
                      <w:rFonts w:hint="eastAsia" w:cs="Times New Roman"/>
                      <w:b w:val="0"/>
                      <w:bCs w:val="0"/>
                      <w:color w:val="auto"/>
                      <w:sz w:val="21"/>
                      <w:szCs w:val="21"/>
                      <w:highlight w:val="none"/>
                      <w:lang w:val="en-US" w:eastAsia="zh-CN"/>
                    </w:rPr>
                    <w:t>（预处理废水）</w:t>
                  </w:r>
                  <w:r>
                    <w:rPr>
                      <w:rFonts w:hint="eastAsia" w:ascii="Times New Roman" w:hAnsi="Times New Roman" w:eastAsia="宋体" w:cs="Times New Roman"/>
                      <w:b w:val="0"/>
                      <w:bCs w:val="0"/>
                      <w:color w:val="auto"/>
                      <w:sz w:val="21"/>
                      <w:szCs w:val="21"/>
                      <w:highlight w:val="none"/>
                      <w:lang w:val="en-US" w:eastAsia="zh-CN"/>
                    </w:rPr>
                    <w:t>排放量为</w:t>
                  </w:r>
                  <w:r>
                    <w:rPr>
                      <w:rFonts w:hint="eastAsia" w:cs="Times New Roman"/>
                      <w:b w:val="0"/>
                      <w:bCs w:val="0"/>
                      <w:color w:val="auto"/>
                      <w:sz w:val="21"/>
                      <w:szCs w:val="21"/>
                      <w:highlight w:val="none"/>
                      <w:lang w:val="en-US" w:eastAsia="zh-CN"/>
                    </w:rPr>
                    <w:t>10010.08</w:t>
                  </w:r>
                  <w:r>
                    <w:rPr>
                      <w:rFonts w:hint="eastAsia" w:ascii="Times New Roman" w:hAnsi="Times New Roman" w:eastAsia="宋体" w:cs="Times New Roman"/>
                      <w:b w:val="0"/>
                      <w:bCs w:val="0"/>
                      <w:color w:val="auto"/>
                      <w:sz w:val="21"/>
                      <w:szCs w:val="21"/>
                      <w:highlight w:val="none"/>
                      <w:lang w:val="en-US" w:eastAsia="zh-CN"/>
                    </w:rPr>
                    <w:t>t/a，生活污水排放量为2070t/a，综合废水合计为</w:t>
                  </w:r>
                  <w:r>
                    <w:rPr>
                      <w:rFonts w:hint="eastAsia" w:cs="Times New Roman"/>
                      <w:b w:val="0"/>
                      <w:bCs w:val="0"/>
                      <w:color w:val="auto"/>
                      <w:sz w:val="21"/>
                      <w:szCs w:val="21"/>
                      <w:highlight w:val="none"/>
                      <w:lang w:val="en-US" w:eastAsia="zh-CN"/>
                    </w:rPr>
                    <w:t>12080.08</w:t>
                  </w:r>
                  <w:r>
                    <w:rPr>
                      <w:rFonts w:hint="eastAsia" w:ascii="Times New Roman" w:hAnsi="Times New Roman" w:eastAsia="宋体" w:cs="Times New Roman"/>
                      <w:b w:val="0"/>
                      <w:bCs w:val="0"/>
                      <w:color w:val="auto"/>
                      <w:sz w:val="21"/>
                      <w:szCs w:val="21"/>
                      <w:highlight w:val="none"/>
                      <w:lang w:val="en-US" w:eastAsia="zh-CN"/>
                    </w:rPr>
                    <w:t>t/a，均经预处理后排入园区污水处理厂进行处理，因此，COD</w:t>
                  </w:r>
                  <w:r>
                    <w:rPr>
                      <w:rFonts w:hint="eastAsia" w:ascii="Times New Roman" w:hAnsi="Times New Roman" w:eastAsia="宋体" w:cs="Times New Roman"/>
                      <w:b w:val="0"/>
                      <w:bCs w:val="0"/>
                      <w:color w:val="auto"/>
                      <w:sz w:val="21"/>
                      <w:szCs w:val="21"/>
                      <w:highlight w:val="none"/>
                      <w:vertAlign w:val="subscript"/>
                      <w:lang w:val="en-US" w:eastAsia="zh-CN"/>
                    </w:rPr>
                    <w:t>Cr</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1.499</w:t>
                  </w:r>
                  <w:r>
                    <w:rPr>
                      <w:rFonts w:hint="eastAsia" w:ascii="Times New Roman" w:hAnsi="Times New Roman" w:eastAsia="宋体" w:cs="Times New Roman"/>
                      <w:b w:val="0"/>
                      <w:bCs w:val="0"/>
                      <w:color w:val="auto"/>
                      <w:sz w:val="21"/>
                      <w:szCs w:val="21"/>
                      <w:highlight w:val="none"/>
                      <w:lang w:val="en-US" w:eastAsia="zh-CN"/>
                    </w:rPr>
                    <w:t>t/a）、NH</w:t>
                  </w:r>
                  <w:r>
                    <w:rPr>
                      <w:rFonts w:hint="eastAsia" w:ascii="Times New Roman" w:hAnsi="Times New Roman" w:eastAsia="宋体" w:cs="Times New Roman"/>
                      <w:b w:val="0"/>
                      <w:bCs w:val="0"/>
                      <w:color w:val="auto"/>
                      <w:sz w:val="21"/>
                      <w:szCs w:val="21"/>
                      <w:highlight w:val="none"/>
                      <w:vertAlign w:val="subscript"/>
                      <w:lang w:val="en-US" w:eastAsia="zh-CN"/>
                    </w:rPr>
                    <w:t>3</w:t>
                  </w:r>
                  <w:r>
                    <w:rPr>
                      <w:rFonts w:hint="eastAsia" w:ascii="Times New Roman" w:hAnsi="Times New Roman" w:eastAsia="宋体" w:cs="Times New Roman"/>
                      <w:b w:val="0"/>
                      <w:bCs w:val="0"/>
                      <w:color w:val="auto"/>
                      <w:sz w:val="21"/>
                      <w:szCs w:val="21"/>
                      <w:highlight w:val="none"/>
                      <w:lang w:val="en-US" w:eastAsia="zh-CN"/>
                    </w:rPr>
                    <w:t>-N（</w:t>
                  </w:r>
                  <w:r>
                    <w:rPr>
                      <w:rFonts w:hint="eastAsia" w:cs="Times New Roman"/>
                      <w:b w:val="0"/>
                      <w:bCs w:val="0"/>
                      <w:color w:val="auto"/>
                      <w:sz w:val="21"/>
                      <w:szCs w:val="21"/>
                      <w:highlight w:val="none"/>
                      <w:lang w:val="en-US" w:eastAsia="zh-CN"/>
                    </w:rPr>
                    <w:t>0.188</w:t>
                  </w:r>
                  <w:r>
                    <w:rPr>
                      <w:rFonts w:hint="eastAsia" w:ascii="Times New Roman" w:hAnsi="Times New Roman" w:eastAsia="宋体" w:cs="Times New Roman"/>
                      <w:b w:val="0"/>
                      <w:bCs w:val="0"/>
                      <w:color w:val="auto"/>
                      <w:sz w:val="21"/>
                      <w:szCs w:val="21"/>
                      <w:highlight w:val="none"/>
                      <w:lang w:val="en-US" w:eastAsia="zh-CN"/>
                    </w:rPr>
                    <w:t>t/a）纳入园区污水处理厂的总量控制指标，不需再增加新的总量分配指标。</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总排放量为</w:t>
                  </w:r>
                  <w:r>
                    <w:rPr>
                      <w:rFonts w:hint="eastAsia" w:cs="Times New Roman"/>
                      <w:b/>
                      <w:bCs/>
                      <w:color w:val="auto"/>
                      <w:sz w:val="21"/>
                      <w:szCs w:val="21"/>
                      <w:highlight w:val="none"/>
                      <w:lang w:val="en-US" w:eastAsia="zh-CN"/>
                    </w:rPr>
                    <w:t>1.022t</w:t>
                  </w:r>
                  <w:r>
                    <w:rPr>
                      <w:rFonts w:hint="default" w:ascii="Times New Roman" w:hAnsi="Times New Roman" w:eastAsia="宋体" w:cs="Times New Roman"/>
                      <w:b/>
                      <w:bCs/>
                      <w:color w:val="auto"/>
                      <w:sz w:val="21"/>
                      <w:szCs w:val="21"/>
                      <w:highlight w:val="none"/>
                    </w:rPr>
                    <w:t>/a</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其中</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有组织排放</w:t>
                  </w:r>
                  <w:r>
                    <w:rPr>
                      <w:rFonts w:hint="eastAsia" w:ascii="Times New Roman" w:hAnsi="Times New Roman" w:eastAsia="宋体" w:cs="Times New Roman"/>
                      <w:b/>
                      <w:bCs/>
                      <w:color w:val="auto"/>
                      <w:sz w:val="21"/>
                      <w:szCs w:val="21"/>
                      <w:highlight w:val="none"/>
                      <w:lang w:val="en-US" w:eastAsia="zh-CN"/>
                    </w:rPr>
                    <w:t>量</w:t>
                  </w:r>
                  <w:r>
                    <w:rPr>
                      <w:rFonts w:hint="default" w:ascii="Times New Roman" w:hAnsi="Times New Roman" w:eastAsia="宋体" w:cs="Times New Roman"/>
                      <w:b/>
                      <w:bCs/>
                      <w:color w:val="auto"/>
                      <w:sz w:val="21"/>
                      <w:szCs w:val="21"/>
                      <w:highlight w:val="none"/>
                    </w:rPr>
                    <w:t>：</w:t>
                  </w:r>
                  <w:r>
                    <w:rPr>
                      <w:rFonts w:hint="eastAsia" w:cs="Times New Roman"/>
                      <w:b/>
                      <w:bCs/>
                      <w:color w:val="auto"/>
                      <w:sz w:val="21"/>
                      <w:szCs w:val="21"/>
                      <w:highlight w:val="none"/>
                      <w:lang w:val="en-US" w:eastAsia="zh-CN"/>
                    </w:rPr>
                    <w:t>0.670</w:t>
                  </w:r>
                  <w:r>
                    <w:rPr>
                      <w:rFonts w:hint="default" w:ascii="Times New Roman" w:hAnsi="Times New Roman" w:eastAsia="宋体" w:cs="Times New Roman"/>
                      <w:b/>
                      <w:bCs/>
                      <w:color w:val="auto"/>
                      <w:sz w:val="21"/>
                      <w:szCs w:val="21"/>
                      <w:highlight w:val="none"/>
                    </w:rPr>
                    <w:t>t/a，</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无组织排放</w:t>
                  </w:r>
                  <w:r>
                    <w:rPr>
                      <w:rFonts w:hint="eastAsia" w:ascii="Times New Roman" w:hAnsi="Times New Roman" w:eastAsia="宋体" w:cs="Times New Roman"/>
                      <w:b/>
                      <w:bCs/>
                      <w:color w:val="auto"/>
                      <w:sz w:val="21"/>
                      <w:szCs w:val="21"/>
                      <w:highlight w:val="none"/>
                      <w:lang w:val="en-US" w:eastAsia="zh-CN"/>
                    </w:rPr>
                    <w:t>量</w:t>
                  </w:r>
                  <w:r>
                    <w:rPr>
                      <w:rFonts w:hint="default" w:ascii="Times New Roman" w:hAnsi="Times New Roman" w:eastAsia="宋体" w:cs="Times New Roman"/>
                      <w:b/>
                      <w:bCs/>
                      <w:color w:val="auto"/>
                      <w:sz w:val="21"/>
                      <w:szCs w:val="21"/>
                      <w:highlight w:val="none"/>
                    </w:rPr>
                    <w:t>：</w:t>
                  </w:r>
                  <w:r>
                    <w:rPr>
                      <w:rFonts w:hint="eastAsia" w:cs="Times New Roman"/>
                      <w:b/>
                      <w:bCs/>
                      <w:color w:val="auto"/>
                      <w:sz w:val="21"/>
                      <w:szCs w:val="21"/>
                      <w:highlight w:val="none"/>
                      <w:lang w:val="en-US" w:eastAsia="zh-CN"/>
                    </w:rPr>
                    <w:t>0.352</w:t>
                  </w:r>
                  <w:r>
                    <w:rPr>
                      <w:rFonts w:hint="default" w:ascii="Times New Roman" w:hAnsi="Times New Roman" w:eastAsia="宋体" w:cs="Times New Roman"/>
                      <w:b/>
                      <w:bCs/>
                      <w:color w:val="auto"/>
                      <w:sz w:val="21"/>
                      <w:szCs w:val="21"/>
                      <w:highlight w:val="none"/>
                    </w:rPr>
                    <w:t>t/a</w:t>
                  </w:r>
                  <w:r>
                    <w:rPr>
                      <w:rFonts w:hint="default" w:ascii="Times New Roman" w:hAnsi="Times New Roman" w:eastAsia="宋体" w:cs="Times New Roman"/>
                      <w:b/>
                      <w:bCs/>
                      <w:color w:val="auto"/>
                      <w:sz w:val="21"/>
                      <w:szCs w:val="21"/>
                      <w:highlight w:val="none"/>
                      <w:lang w:eastAsia="zh-CN"/>
                    </w:rPr>
                    <w:t>）</w:t>
                  </w:r>
                  <w:r>
                    <w:rPr>
                      <w:rFonts w:hint="eastAsia" w:ascii="Times New Roman" w:hAnsi="Times New Roman" w:eastAsia="宋体" w:cs="Times New Roman"/>
                      <w:b/>
                      <w:bCs/>
                      <w:color w:val="auto"/>
                      <w:sz w:val="21"/>
                      <w:szCs w:val="21"/>
                      <w:highlight w:val="none"/>
                      <w:lang w:eastAsia="zh-CN"/>
                    </w:rPr>
                    <w:t>，</w:t>
                  </w:r>
                  <w:r>
                    <w:rPr>
                      <w:rFonts w:hint="eastAsia" w:ascii="Times New Roman" w:hAnsi="Times New Roman" w:eastAsia="宋体" w:cs="Times New Roman"/>
                      <w:b/>
                      <w:bCs/>
                      <w:color w:val="auto"/>
                      <w:sz w:val="21"/>
                      <w:szCs w:val="21"/>
                      <w:highlight w:val="none"/>
                      <w:lang w:val="en-US" w:eastAsia="zh-CN"/>
                    </w:rPr>
                    <w:t>氮氧化物</w:t>
                  </w:r>
                  <w:r>
                    <w:rPr>
                      <w:rFonts w:hint="default" w:ascii="Times New Roman" w:hAnsi="Times New Roman" w:eastAsia="宋体" w:cs="Times New Roman"/>
                      <w:b/>
                      <w:bCs/>
                      <w:color w:val="auto"/>
                      <w:sz w:val="21"/>
                      <w:szCs w:val="21"/>
                      <w:highlight w:val="none"/>
                    </w:rPr>
                    <w:t>总排放量为</w:t>
                  </w:r>
                  <w:r>
                    <w:rPr>
                      <w:rFonts w:hint="eastAsia" w:cs="Times New Roman"/>
                      <w:b/>
                      <w:bCs/>
                      <w:color w:val="auto"/>
                      <w:sz w:val="21"/>
                      <w:szCs w:val="21"/>
                      <w:highlight w:val="none"/>
                      <w:lang w:val="en-US" w:eastAsia="zh-CN"/>
                    </w:rPr>
                    <w:t>0.34</w:t>
                  </w:r>
                  <w:r>
                    <w:rPr>
                      <w:rFonts w:hint="eastAsia"/>
                      <w:color w:val="auto"/>
                      <w:lang w:val="en-US" w:eastAsia="zh-CN"/>
                    </w:rPr>
                    <w:t>1</w:t>
                  </w:r>
                  <w:r>
                    <w:rPr>
                      <w:rFonts w:hint="default" w:ascii="Times New Roman" w:hAnsi="Times New Roman" w:eastAsia="宋体" w:cs="Times New Roman"/>
                      <w:b/>
                      <w:bCs/>
                      <w:color w:val="auto"/>
                      <w:sz w:val="21"/>
                      <w:szCs w:val="21"/>
                      <w:highlight w:val="none"/>
                    </w:rPr>
                    <w:t>t/a</w:t>
                  </w:r>
                  <w:r>
                    <w:rPr>
                      <w:rFonts w:hint="eastAsia" w:ascii="Times New Roman" w:hAnsi="Times New Roman" w:eastAsia="宋体" w:cs="Times New Roman"/>
                      <w:b/>
                      <w:bCs/>
                      <w:color w:val="auto"/>
                      <w:sz w:val="21"/>
                      <w:szCs w:val="21"/>
                      <w:highlight w:val="none"/>
                      <w:lang w:eastAsia="zh-CN"/>
                    </w:rPr>
                    <w:t>。</w:t>
                  </w:r>
                  <w:r>
                    <w:rPr>
                      <w:rFonts w:hint="eastAsia" w:cs="Times New Roman"/>
                      <w:b/>
                      <w:bCs/>
                      <w:color w:val="auto"/>
                      <w:sz w:val="21"/>
                      <w:szCs w:val="21"/>
                      <w:highlight w:val="none"/>
                      <w:lang w:val="en-US" w:eastAsia="zh-CN"/>
                    </w:rPr>
                    <w:t>根据总量申请结果（附件9），</w:t>
                  </w:r>
                  <w:r>
                    <w:rPr>
                      <w:rFonts w:hint="eastAsia" w:ascii="Times New Roman" w:hAnsi="Times New Roman" w:eastAsia="宋体" w:cs="Times New Roman"/>
                      <w:b/>
                      <w:bCs/>
                      <w:color w:val="auto"/>
                      <w:sz w:val="21"/>
                      <w:szCs w:val="21"/>
                      <w:highlight w:val="none"/>
                      <w:lang w:eastAsia="zh-CN"/>
                    </w:rPr>
                    <w:t>有机物总量指标替代由市级削减总量统筹安排。氮氧化物总量指标由</w:t>
                  </w:r>
                  <w:r>
                    <w:rPr>
                      <w:rFonts w:hint="eastAsia" w:cs="Times New Roman"/>
                      <w:b/>
                      <w:bCs/>
                      <w:color w:val="auto"/>
                      <w:sz w:val="21"/>
                      <w:szCs w:val="21"/>
                      <w:highlight w:val="none"/>
                      <w:lang w:val="en-US" w:eastAsia="zh-CN"/>
                    </w:rPr>
                    <w:t>县级</w:t>
                  </w:r>
                  <w:r>
                    <w:rPr>
                      <w:rFonts w:hint="eastAsia" w:ascii="Times New Roman" w:hAnsi="Times New Roman" w:eastAsia="宋体" w:cs="Times New Roman"/>
                      <w:b/>
                      <w:bCs/>
                      <w:color w:val="auto"/>
                      <w:sz w:val="21"/>
                      <w:szCs w:val="21"/>
                      <w:highlight w:val="none"/>
                      <w:lang w:eastAsia="zh-CN"/>
                    </w:rPr>
                    <w:t>削减总量统筹安排。</w:t>
                  </w:r>
                </w:p>
              </w:tc>
              <w:tc>
                <w:tcPr>
                  <w:tcW w:w="529" w:type="pct"/>
                  <w:noWrap w:val="0"/>
                  <w:vAlign w:val="center"/>
                </w:tcPr>
                <w:p w14:paraId="3E8BE576">
                  <w:pPr>
                    <w:spacing w:line="240" w:lineRule="auto"/>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变动</w:t>
                  </w:r>
                </w:p>
              </w:tc>
              <w:tc>
                <w:tcPr>
                  <w:tcW w:w="530" w:type="pct"/>
                  <w:noWrap w:val="0"/>
                  <w:vAlign w:val="center"/>
                </w:tcPr>
                <w:p w14:paraId="2C6DDEFE">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w:t>
                  </w:r>
                </w:p>
              </w:tc>
            </w:tr>
            <w:tr w14:paraId="2AAC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EBB5202">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w:t>
                  </w:r>
                </w:p>
              </w:tc>
              <w:tc>
                <w:tcPr>
                  <w:tcW w:w="1342" w:type="pct"/>
                  <w:noWrap w:val="0"/>
                  <w:vAlign w:val="center"/>
                </w:tcPr>
                <w:p w14:paraId="158158A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重新选址；在原厂址附近调整（包括总平面布置变化）导致环境防护距离范围变化且新增敏感点的</w:t>
                  </w:r>
                </w:p>
              </w:tc>
              <w:tc>
                <w:tcPr>
                  <w:tcW w:w="1204" w:type="pct"/>
                  <w:noWrap w:val="0"/>
                  <w:vAlign w:val="center"/>
                </w:tcPr>
                <w:p w14:paraId="340E39C0">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原项目建设地点为韶关市乐昌市</w:t>
                  </w:r>
                  <w:r>
                    <w:rPr>
                      <w:rFonts w:hint="eastAsia" w:cs="Times New Roman"/>
                      <w:b w:val="0"/>
                      <w:bCs w:val="0"/>
                      <w:color w:val="auto"/>
                      <w:sz w:val="21"/>
                      <w:szCs w:val="21"/>
                      <w:highlight w:val="none"/>
                      <w:lang w:val="en-US" w:eastAsia="zh-CN"/>
                    </w:rPr>
                    <w:t>乐昌产业转移工业园GL-02-02-01地块</w:t>
                  </w:r>
                </w:p>
              </w:tc>
              <w:tc>
                <w:tcPr>
                  <w:tcW w:w="1122" w:type="pct"/>
                  <w:noWrap w:val="0"/>
                  <w:vAlign w:val="center"/>
                </w:tcPr>
                <w:p w14:paraId="2E9C167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本项目建设地点为韶关市乐昌市</w:t>
                  </w:r>
                  <w:r>
                    <w:rPr>
                      <w:rFonts w:hint="eastAsia" w:cs="Times New Roman"/>
                      <w:b w:val="0"/>
                      <w:bCs w:val="0"/>
                      <w:color w:val="auto"/>
                      <w:sz w:val="21"/>
                      <w:szCs w:val="21"/>
                      <w:highlight w:val="none"/>
                      <w:lang w:val="en-US" w:eastAsia="zh-CN"/>
                    </w:rPr>
                    <w:t>乐昌产业转移工业园GL-02-02-01地块</w:t>
                  </w:r>
                </w:p>
              </w:tc>
              <w:tc>
                <w:tcPr>
                  <w:tcW w:w="529" w:type="pct"/>
                  <w:noWrap w:val="0"/>
                  <w:vAlign w:val="center"/>
                </w:tcPr>
                <w:p w14:paraId="0AFCAC2B">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12E52A02">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4A67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0599E5DA">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w:t>
                  </w:r>
                </w:p>
              </w:tc>
              <w:tc>
                <w:tcPr>
                  <w:tcW w:w="1342" w:type="pct"/>
                  <w:noWrap w:val="0"/>
                  <w:vAlign w:val="center"/>
                </w:tcPr>
                <w:p w14:paraId="0CD88A33">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新增产品品种或生产工艺（含主要生产装置、设备及配套设施）、主要原辅材料、燃料变化，导致以下情形之一：</w:t>
                  </w:r>
                </w:p>
                <w:p w14:paraId="0818643E">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（1）新增排放污染物种类的（毒性、挥发性降低的除外）；</w:t>
                  </w:r>
                </w:p>
                <w:p w14:paraId="6B63FEE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（2）位于环境质量不达标区的建设项目相应污染物排放量增加的；</w:t>
                  </w:r>
                </w:p>
                <w:p w14:paraId="559460E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（3）废水第一类污染物排放量增加的；</w:t>
                  </w:r>
                </w:p>
                <w:p w14:paraId="4676999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（4）其他污染物排放量增加10%及以上的</w:t>
                  </w:r>
                </w:p>
              </w:tc>
              <w:tc>
                <w:tcPr>
                  <w:tcW w:w="1204" w:type="pct"/>
                  <w:noWrap w:val="0"/>
                  <w:vAlign w:val="center"/>
                </w:tcPr>
                <w:p w14:paraId="4D17AFA1">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原项目年产钣金件1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lang w:val="en-US" w:eastAsia="zh-CN"/>
                    </w:rPr>
                    <w:t>；主要生产工序为开料、钣金、打磨、表面预处理、烘干等工序；主要原辅材料为铝卷、</w:t>
                  </w:r>
                  <w:r>
                    <w:rPr>
                      <w:rFonts w:hint="eastAsia" w:cs="Times New Roman"/>
                      <w:b w:val="0"/>
                      <w:bCs w:val="0"/>
                      <w:color w:val="auto"/>
                      <w:sz w:val="21"/>
                      <w:szCs w:val="21"/>
                      <w:highlight w:val="none"/>
                      <w:lang w:val="en-US" w:eastAsia="zh-CN"/>
                    </w:rPr>
                    <w:t>除油剂</w:t>
                  </w:r>
                  <w:r>
                    <w:rPr>
                      <w:rFonts w:hint="eastAsia" w:ascii="Times New Roman" w:hAnsi="Times New Roman" w:eastAsia="宋体" w:cs="Times New Roman"/>
                      <w:b w:val="0"/>
                      <w:bCs w:val="0"/>
                      <w:color w:val="auto"/>
                      <w:sz w:val="21"/>
                      <w:szCs w:val="21"/>
                      <w:highlight w:val="none"/>
                      <w:lang w:val="en-US" w:eastAsia="zh-CN"/>
                    </w:rPr>
                    <w:t>等</w:t>
                  </w:r>
                </w:p>
              </w:tc>
              <w:tc>
                <w:tcPr>
                  <w:tcW w:w="1122" w:type="pct"/>
                  <w:noWrap w:val="0"/>
                  <w:vAlign w:val="center"/>
                </w:tcPr>
                <w:p w14:paraId="37146593">
                  <w:pPr>
                    <w:spacing w:line="240" w:lineRule="auto"/>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本项目年产</w:t>
                  </w:r>
                  <w:r>
                    <w:rPr>
                      <w:rFonts w:hint="eastAsia" w:cs="Times New Roman"/>
                      <w:b w:val="0"/>
                      <w:bCs w:val="0"/>
                      <w:color w:val="auto"/>
                      <w:sz w:val="21"/>
                      <w:szCs w:val="21"/>
                      <w:highlight w:val="none"/>
                      <w:lang w:val="en-US" w:eastAsia="zh-CN"/>
                    </w:rPr>
                    <w:t>铝单板</w:t>
                  </w:r>
                  <w:r>
                    <w:rPr>
                      <w:rFonts w:hint="eastAsia" w:ascii="Times New Roman" w:hAnsi="Times New Roman" w:eastAsia="宋体" w:cs="Times New Roman"/>
                      <w:b w:val="0"/>
                      <w:bCs w:val="0"/>
                      <w:color w:val="auto"/>
                      <w:sz w:val="21"/>
                      <w:szCs w:val="21"/>
                      <w:highlight w:val="none"/>
                      <w:lang w:val="en-US" w:eastAsia="zh-CN"/>
                    </w:rPr>
                    <w:t>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lang w:val="en-US" w:eastAsia="zh-CN"/>
                    </w:rPr>
                    <w:t>；主要生产工序为开料、钣金、打磨、表面预处理、烘干</w:t>
                  </w:r>
                  <w:r>
                    <w:rPr>
                      <w:rFonts w:hint="eastAsia" w:ascii="Times New Roman" w:hAnsi="Times New Roman" w:eastAsia="宋体" w:cs="Times New Roman"/>
                      <w:b/>
                      <w:bCs/>
                      <w:color w:val="auto"/>
                      <w:sz w:val="21"/>
                      <w:szCs w:val="21"/>
                      <w:highlight w:val="none"/>
                      <w:lang w:val="en-US" w:eastAsia="zh-CN"/>
                    </w:rPr>
                    <w:t>喷</w:t>
                  </w:r>
                  <w:r>
                    <w:rPr>
                      <w:rFonts w:hint="eastAsia" w:cs="Times New Roman"/>
                      <w:b/>
                      <w:bCs/>
                      <w:color w:val="auto"/>
                      <w:sz w:val="21"/>
                      <w:szCs w:val="21"/>
                      <w:highlight w:val="none"/>
                      <w:lang w:val="en-US" w:eastAsia="zh-CN"/>
                    </w:rPr>
                    <w:t>粉、喷漆</w:t>
                  </w:r>
                  <w:r>
                    <w:rPr>
                      <w:rFonts w:hint="eastAsia" w:ascii="Times New Roman" w:hAnsi="Times New Roman" w:eastAsia="宋体" w:cs="Times New Roman"/>
                      <w:b/>
                      <w:bCs/>
                      <w:color w:val="auto"/>
                      <w:sz w:val="21"/>
                      <w:szCs w:val="21"/>
                      <w:highlight w:val="none"/>
                      <w:lang w:val="en-US" w:eastAsia="zh-CN"/>
                    </w:rPr>
                    <w:t>、固化</w:t>
                  </w:r>
                  <w:r>
                    <w:rPr>
                      <w:rFonts w:hint="eastAsia" w:ascii="Times New Roman" w:hAnsi="Times New Roman" w:eastAsia="宋体" w:cs="Times New Roman"/>
                      <w:b w:val="0"/>
                      <w:bCs w:val="0"/>
                      <w:color w:val="auto"/>
                      <w:sz w:val="21"/>
                      <w:szCs w:val="21"/>
                      <w:highlight w:val="none"/>
                      <w:lang w:val="en-US" w:eastAsia="zh-CN"/>
                    </w:rPr>
                    <w:t>等工序；主要原辅材料为铝卷、</w:t>
                  </w:r>
                  <w:r>
                    <w:rPr>
                      <w:rFonts w:hint="eastAsia" w:cs="Times New Roman"/>
                      <w:b w:val="0"/>
                      <w:bCs w:val="0"/>
                      <w:color w:val="auto"/>
                      <w:sz w:val="21"/>
                      <w:szCs w:val="21"/>
                      <w:highlight w:val="none"/>
                      <w:lang w:val="en-US" w:eastAsia="zh-CN"/>
                    </w:rPr>
                    <w:t>除油剂</w:t>
                  </w:r>
                  <w:r>
                    <w:rPr>
                      <w:rFonts w:hint="eastAsia" w:ascii="Times New Roman" w:hAnsi="Times New Roman" w:eastAsia="宋体" w:cs="Times New Roman"/>
                      <w:b w:val="0"/>
                      <w:bCs w:val="0"/>
                      <w:color w:val="auto"/>
                      <w:sz w:val="21"/>
                      <w:szCs w:val="21"/>
                      <w:highlight w:val="none"/>
                      <w:lang w:val="en-US" w:eastAsia="zh-CN"/>
                    </w:rPr>
                    <w:t>、油漆、粉末涂料等</w:t>
                  </w:r>
                </w:p>
              </w:tc>
              <w:tc>
                <w:tcPr>
                  <w:tcW w:w="529" w:type="pct"/>
                  <w:noWrap w:val="0"/>
                  <w:vAlign w:val="center"/>
                </w:tcPr>
                <w:p w14:paraId="7DADA8B5">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有变化</w:t>
                  </w:r>
                </w:p>
              </w:tc>
              <w:tc>
                <w:tcPr>
                  <w:tcW w:w="530" w:type="pct"/>
                  <w:noWrap w:val="0"/>
                  <w:vAlign w:val="center"/>
                </w:tcPr>
                <w:p w14:paraId="304472A9">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w:t>
                  </w:r>
                </w:p>
              </w:tc>
            </w:tr>
            <w:tr w14:paraId="3077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A62BB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w:t>
                  </w:r>
                </w:p>
              </w:tc>
              <w:tc>
                <w:tcPr>
                  <w:tcW w:w="1342" w:type="pct"/>
                  <w:noWrap w:val="0"/>
                  <w:vAlign w:val="center"/>
                </w:tcPr>
                <w:p w14:paraId="4ED9800E">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物料运输、装卸、贮存方式变化，导致大气污染物无组织排放量增加10%及以上的</w:t>
                  </w:r>
                </w:p>
              </w:tc>
              <w:tc>
                <w:tcPr>
                  <w:tcW w:w="1204" w:type="pct"/>
                  <w:noWrap w:val="0"/>
                  <w:vAlign w:val="center"/>
                </w:tcPr>
                <w:p w14:paraId="43B4CC3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1122" w:type="pct"/>
                  <w:noWrap w:val="0"/>
                  <w:vAlign w:val="center"/>
                </w:tcPr>
                <w:p w14:paraId="2172D72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14E7C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4B8F6AF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5544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5356BD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1342" w:type="pct"/>
                  <w:noWrap w:val="0"/>
                  <w:vAlign w:val="center"/>
                </w:tcPr>
                <w:p w14:paraId="532BB0D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废气、废水污染防治措施变化，导致第6条中所列情形之一（废气无组织排放改为有组织排放、污染防治措施强化或改进的除外）或大气污染物无组织排放量增加10%及以上的</w:t>
                  </w:r>
                </w:p>
              </w:tc>
              <w:tc>
                <w:tcPr>
                  <w:tcW w:w="1204" w:type="pct"/>
                  <w:noWrap w:val="0"/>
                  <w:vAlign w:val="center"/>
                </w:tcPr>
                <w:p w14:paraId="19FECEE2">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1、原项目</w:t>
                  </w:r>
                  <w:r>
                    <w:rPr>
                      <w:rFonts w:hint="eastAsia" w:cs="Times New Roman"/>
                      <w:b w:val="0"/>
                      <w:bCs w:val="0"/>
                      <w:color w:val="auto"/>
                      <w:sz w:val="21"/>
                      <w:szCs w:val="21"/>
                      <w:highlight w:val="none"/>
                      <w:lang w:val="en-US" w:eastAsia="zh-CN"/>
                    </w:rPr>
                    <w:t>打磨粉尘经布袋除尘处理后由15m排气筒DA001排放</w:t>
                  </w:r>
                  <w:r>
                    <w:rPr>
                      <w:rFonts w:hint="eastAsia" w:ascii="Times New Roman" w:hAnsi="Times New Roman" w:eastAsia="宋体" w:cs="Times New Roman"/>
                      <w:b w:val="0"/>
                      <w:bCs w:val="0"/>
                      <w:color w:val="auto"/>
                      <w:sz w:val="21"/>
                      <w:szCs w:val="21"/>
                      <w:highlight w:val="none"/>
                      <w:lang w:val="en-US" w:eastAsia="zh-CN"/>
                    </w:rPr>
                    <w:t>；</w:t>
                  </w:r>
                </w:p>
                <w:p w14:paraId="7D6B0441">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2、天然气燃烧废气低氮燃烧后通过排气筒DA002排放。3、原项目无组织废气通过</w:t>
                  </w:r>
                  <w:r>
                    <w:rPr>
                      <w:rFonts w:hint="default" w:ascii="Times New Roman" w:hAnsi="Times New Roman" w:eastAsia="宋体" w:cs="Times New Roman"/>
                      <w:b w:val="0"/>
                      <w:bCs w:val="0"/>
                      <w:color w:val="auto"/>
                      <w:sz w:val="21"/>
                      <w:szCs w:val="21"/>
                      <w:highlight w:val="none"/>
                      <w:lang w:val="en-US" w:eastAsia="zh-CN"/>
                    </w:rPr>
                    <w:t>设置在密闭车间内，并加强车间管理，减少无组织排放</w:t>
                  </w:r>
                </w:p>
              </w:tc>
              <w:tc>
                <w:tcPr>
                  <w:tcW w:w="1122" w:type="pct"/>
                  <w:noWrap w:val="0"/>
                  <w:vAlign w:val="center"/>
                </w:tcPr>
                <w:p w14:paraId="5D655BB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1、新增</w:t>
                  </w:r>
                  <w:r>
                    <w:rPr>
                      <w:rFonts w:hint="eastAsia" w:cs="Times New Roman"/>
                      <w:b w:val="0"/>
                      <w:bCs w:val="0"/>
                      <w:color w:val="auto"/>
                      <w:sz w:val="21"/>
                      <w:szCs w:val="21"/>
                      <w:highlight w:val="none"/>
                      <w:lang w:val="en-US" w:eastAsia="zh-CN"/>
                    </w:rPr>
                    <w:t>4</w:t>
                  </w:r>
                  <w:r>
                    <w:rPr>
                      <w:rFonts w:hint="eastAsia" w:ascii="Times New Roman" w:hAnsi="Times New Roman" w:eastAsia="宋体" w:cs="Times New Roman"/>
                      <w:b w:val="0"/>
                      <w:bCs w:val="0"/>
                      <w:color w:val="auto"/>
                      <w:sz w:val="21"/>
                      <w:szCs w:val="21"/>
                      <w:highlight w:val="none"/>
                      <w:lang w:val="en-US" w:eastAsia="zh-CN"/>
                    </w:rPr>
                    <w:t>套废气治理措施，分别为“</w:t>
                  </w:r>
                  <w:r>
                    <w:rPr>
                      <w:b w:val="0"/>
                      <w:color w:val="auto"/>
                      <w:szCs w:val="24"/>
                    </w:rPr>
                    <w:t>密闭车间负压收集+大旋风+滤芯式二级回收系统</w:t>
                  </w:r>
                  <w:r>
                    <w:rPr>
                      <w:rFonts w:hint="eastAsia" w:ascii="Times New Roman" w:hAnsi="Times New Roman" w:eastAsia="宋体" w:cs="Times New Roman"/>
                      <w:b w:val="0"/>
                      <w:bCs w:val="0"/>
                      <w:color w:val="auto"/>
                      <w:sz w:val="21"/>
                      <w:szCs w:val="21"/>
                      <w:highlight w:val="none"/>
                      <w:lang w:val="en-US" w:eastAsia="zh-CN"/>
                    </w:rPr>
                    <w:t>”、“水帘柜喷淋+干式过滤器+活性炭吸附脱附催化燃烧”、“</w:t>
                  </w:r>
                  <w:r>
                    <w:rPr>
                      <w:rFonts w:hint="eastAsia" w:cs="Times New Roman"/>
                      <w:b w:val="0"/>
                      <w:bCs w:val="0"/>
                      <w:color w:val="auto"/>
                      <w:sz w:val="21"/>
                      <w:szCs w:val="21"/>
                      <w:highlight w:val="none"/>
                      <w:lang w:val="en-US" w:eastAsia="zh-CN"/>
                    </w:rPr>
                    <w:t>喷淋塔</w:t>
                  </w:r>
                  <w:r>
                    <w:rPr>
                      <w:rFonts w:hint="eastAsia" w:ascii="Times New Roman" w:hAnsi="Times New Roman" w:eastAsia="宋体" w:cs="Times New Roman"/>
                      <w:b w:val="0"/>
                      <w:bCs w:val="0"/>
                      <w:color w:val="auto"/>
                      <w:sz w:val="21"/>
                      <w:szCs w:val="21"/>
                      <w:highlight w:val="none"/>
                      <w:lang w:val="en-US" w:eastAsia="zh-CN"/>
                    </w:rPr>
                    <w:t>+干式过滤器+</w:t>
                  </w:r>
                  <w:r>
                    <w:rPr>
                      <w:rFonts w:hint="eastAsia" w:cs="Times New Roman"/>
                      <w:b w:val="0"/>
                      <w:bCs w:val="0"/>
                      <w:color w:val="auto"/>
                      <w:sz w:val="21"/>
                      <w:szCs w:val="21"/>
                      <w:highlight w:val="none"/>
                      <w:lang w:val="en-US" w:eastAsia="zh-CN"/>
                    </w:rPr>
                    <w:t>二级</w:t>
                  </w:r>
                  <w:r>
                    <w:rPr>
                      <w:rFonts w:hint="eastAsia" w:ascii="Times New Roman" w:hAnsi="Times New Roman" w:eastAsia="宋体" w:cs="Times New Roman"/>
                      <w:b w:val="0"/>
                      <w:bCs w:val="0"/>
                      <w:color w:val="auto"/>
                      <w:sz w:val="21"/>
                      <w:szCs w:val="21"/>
                      <w:highlight w:val="none"/>
                      <w:lang w:val="en-US" w:eastAsia="zh-CN"/>
                    </w:rPr>
                    <w:t>活性炭吸附”</w:t>
                  </w:r>
                  <w:r>
                    <w:rPr>
                      <w:rFonts w:hint="eastAsia" w:cs="Times New Roman"/>
                      <w:b w:val="0"/>
                      <w:bCs w:val="0"/>
                      <w:color w:val="auto"/>
                      <w:sz w:val="21"/>
                      <w:szCs w:val="21"/>
                      <w:highlight w:val="none"/>
                      <w:lang w:val="en-US" w:eastAsia="zh-CN"/>
                    </w:rPr>
                    <w:t>、“碱液喷淋塔”</w:t>
                  </w:r>
                  <w:r>
                    <w:rPr>
                      <w:rFonts w:hint="eastAsia" w:ascii="Times New Roman" w:hAnsi="Times New Roman" w:eastAsia="宋体" w:cs="Times New Roman"/>
                      <w:b w:val="0"/>
                      <w:bCs w:val="0"/>
                      <w:color w:val="auto"/>
                      <w:sz w:val="21"/>
                      <w:szCs w:val="21"/>
                      <w:highlight w:val="none"/>
                      <w:lang w:val="en-US" w:eastAsia="zh-CN"/>
                    </w:rPr>
                    <w:t>，废气收集处理达标后通过15m高排气筒</w:t>
                  </w:r>
                  <w:r>
                    <w:rPr>
                      <w:rFonts w:hint="eastAsia" w:cs="Times New Roman"/>
                      <w:b w:val="0"/>
                      <w:bCs w:val="0"/>
                      <w:color w:val="auto"/>
                      <w:sz w:val="21"/>
                      <w:szCs w:val="21"/>
                      <w:highlight w:val="none"/>
                      <w:lang w:val="en-US" w:eastAsia="zh-CN"/>
                    </w:rPr>
                    <w:t>DA001</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DA003</w:t>
                  </w:r>
                  <w:r>
                    <w:rPr>
                      <w:rFonts w:hint="eastAsia" w:ascii="Times New Roman" w:hAnsi="Times New Roman" w:eastAsia="宋体" w:cs="Times New Roman"/>
                      <w:b w:val="0"/>
                      <w:bCs w:val="0"/>
                      <w:color w:val="auto"/>
                      <w:sz w:val="21"/>
                      <w:szCs w:val="21"/>
                      <w:highlight w:val="none"/>
                      <w:lang w:val="en-US" w:eastAsia="zh-CN"/>
                    </w:rPr>
                    <w:t>高空排放；</w:t>
                  </w:r>
                </w:p>
                <w:p w14:paraId="211C987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2、新增颗粒物、非甲烷总烃、苯系物、臭气浓度</w:t>
                  </w:r>
                  <w:r>
                    <w:rPr>
                      <w:rFonts w:hint="eastAsia" w:cs="Times New Roman"/>
                      <w:b w:val="0"/>
                      <w:bCs w:val="0"/>
                      <w:color w:val="auto"/>
                      <w:sz w:val="21"/>
                      <w:szCs w:val="21"/>
                      <w:highlight w:val="none"/>
                      <w:lang w:val="en-US" w:eastAsia="zh-CN"/>
                    </w:rPr>
                    <w:t>、二氧化硫、氮氧化物</w:t>
                  </w:r>
                  <w:r>
                    <w:rPr>
                      <w:rFonts w:hint="eastAsia" w:ascii="Times New Roman" w:hAnsi="Times New Roman" w:eastAsia="宋体" w:cs="Times New Roman"/>
                      <w:b w:val="0"/>
                      <w:bCs w:val="0"/>
                      <w:color w:val="auto"/>
                      <w:sz w:val="21"/>
                      <w:szCs w:val="21"/>
                      <w:highlight w:val="none"/>
                      <w:lang w:val="en-US" w:eastAsia="zh-CN"/>
                    </w:rPr>
                    <w:t>排放</w:t>
                  </w:r>
                </w:p>
              </w:tc>
              <w:tc>
                <w:tcPr>
                  <w:tcW w:w="529" w:type="pct"/>
                  <w:noWrap w:val="0"/>
                  <w:vAlign w:val="center"/>
                </w:tcPr>
                <w:p w14:paraId="4D237B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有变化</w:t>
                  </w:r>
                </w:p>
              </w:tc>
              <w:tc>
                <w:tcPr>
                  <w:tcW w:w="530" w:type="pct"/>
                  <w:noWrap w:val="0"/>
                  <w:vAlign w:val="center"/>
                </w:tcPr>
                <w:p w14:paraId="6BD81B7D">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是</w:t>
                  </w:r>
                </w:p>
              </w:tc>
            </w:tr>
            <w:tr w14:paraId="71C6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B875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w:t>
                  </w:r>
                </w:p>
              </w:tc>
              <w:tc>
                <w:tcPr>
                  <w:tcW w:w="1342" w:type="pct"/>
                  <w:noWrap w:val="0"/>
                  <w:vAlign w:val="center"/>
                </w:tcPr>
                <w:p w14:paraId="29A0C6F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新增废水直接排放口；废水由间接排放改为直接排放；废水直接排放口位置变化，导致不利环境影响加重的</w:t>
                  </w:r>
                </w:p>
              </w:tc>
              <w:tc>
                <w:tcPr>
                  <w:tcW w:w="1204" w:type="pct"/>
                  <w:noWrap w:val="0"/>
                  <w:vAlign w:val="center"/>
                </w:tcPr>
                <w:p w14:paraId="44BD771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w:t>
                  </w:r>
                  <w:r>
                    <w:rPr>
                      <w:rFonts w:hint="default" w:ascii="Times New Roman" w:hAnsi="Times New Roman" w:cs="Times New Roman"/>
                      <w:color w:val="auto"/>
                      <w:kern w:val="2"/>
                      <w:sz w:val="21"/>
                      <w:szCs w:val="21"/>
                      <w:highlight w:val="none"/>
                    </w:rPr>
                    <w:t>生活污水经三级化粪池</w:t>
                  </w:r>
                  <w:r>
                    <w:rPr>
                      <w:rFonts w:hint="default" w:ascii="Times New Roman" w:hAnsi="Times New Roman" w:cs="Times New Roman"/>
                      <w:color w:val="auto"/>
                      <w:kern w:val="2"/>
                      <w:sz w:val="21"/>
                      <w:szCs w:val="21"/>
                      <w:highlight w:val="none"/>
                      <w:lang w:val="en-US" w:eastAsia="zh-CN"/>
                    </w:rPr>
                    <w:t>+隔油隔渣池</w:t>
                  </w:r>
                  <w:r>
                    <w:rPr>
                      <w:rFonts w:hint="default" w:ascii="Times New Roman" w:hAnsi="Times New Roman" w:cs="Times New Roman"/>
                      <w:color w:val="auto"/>
                      <w:kern w:val="2"/>
                      <w:sz w:val="21"/>
                      <w:szCs w:val="21"/>
                      <w:highlight w:val="none"/>
                    </w:rPr>
                    <w:t>处理、生产废水经企业自建污水处理站处理后，经园区污水管网排入园区污水处理厂进一步处理后，排入武江</w:t>
                  </w:r>
                </w:p>
              </w:tc>
              <w:tc>
                <w:tcPr>
                  <w:tcW w:w="1122" w:type="pct"/>
                  <w:noWrap w:val="0"/>
                  <w:vAlign w:val="center"/>
                </w:tcPr>
                <w:p w14:paraId="56462DB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w:t>
                  </w:r>
                  <w:r>
                    <w:rPr>
                      <w:rFonts w:hint="eastAsia" w:ascii="Times New Roman" w:hAnsi="Times New Roman" w:eastAsia="宋体" w:cs="Times New Roman"/>
                      <w:b w:val="0"/>
                      <w:bCs w:val="0"/>
                      <w:color w:val="auto"/>
                      <w:sz w:val="21"/>
                      <w:szCs w:val="21"/>
                      <w:highlight w:val="none"/>
                      <w:lang w:val="en-US" w:eastAsia="zh-CN"/>
                    </w:rPr>
                    <w:t>项目</w:t>
                  </w:r>
                  <w:r>
                    <w:rPr>
                      <w:rFonts w:hint="default" w:ascii="Times New Roman" w:hAnsi="Times New Roman" w:cs="Times New Roman"/>
                      <w:color w:val="auto"/>
                      <w:kern w:val="2"/>
                      <w:sz w:val="21"/>
                      <w:szCs w:val="21"/>
                      <w:highlight w:val="none"/>
                    </w:rPr>
                    <w:t>生活污水经三级化粪池</w:t>
                  </w:r>
                  <w:r>
                    <w:rPr>
                      <w:rFonts w:hint="default" w:ascii="Times New Roman" w:hAnsi="Times New Roman" w:cs="Times New Roman"/>
                      <w:color w:val="auto"/>
                      <w:kern w:val="2"/>
                      <w:sz w:val="21"/>
                      <w:szCs w:val="21"/>
                      <w:highlight w:val="none"/>
                      <w:lang w:val="en-US" w:eastAsia="zh-CN"/>
                    </w:rPr>
                    <w:t>+隔油隔渣池</w:t>
                  </w:r>
                  <w:r>
                    <w:rPr>
                      <w:rFonts w:hint="default" w:ascii="Times New Roman" w:hAnsi="Times New Roman" w:cs="Times New Roman"/>
                      <w:color w:val="auto"/>
                      <w:kern w:val="2"/>
                      <w:sz w:val="21"/>
                      <w:szCs w:val="21"/>
                      <w:highlight w:val="none"/>
                    </w:rPr>
                    <w:t>处理、</w:t>
                  </w:r>
                  <w:r>
                    <w:rPr>
                      <w:rFonts w:hint="eastAsia" w:cs="Times New Roman"/>
                      <w:color w:val="auto"/>
                      <w:kern w:val="2"/>
                      <w:sz w:val="21"/>
                      <w:szCs w:val="21"/>
                      <w:highlight w:val="none"/>
                      <w:lang w:val="en-US" w:eastAsia="zh-CN"/>
                    </w:rPr>
                    <w:t>外排生产废水</w:t>
                  </w:r>
                  <w:r>
                    <w:rPr>
                      <w:rFonts w:hint="default" w:ascii="Times New Roman" w:hAnsi="Times New Roman" w:cs="Times New Roman"/>
                      <w:color w:val="auto"/>
                      <w:kern w:val="2"/>
                      <w:sz w:val="21"/>
                      <w:szCs w:val="21"/>
                      <w:highlight w:val="none"/>
                    </w:rPr>
                    <w:t>经企业自建污水处理站处理后，经园区污水管网排入园区污水处理厂进一步处理后，排入武江</w:t>
                  </w:r>
                </w:p>
              </w:tc>
              <w:tc>
                <w:tcPr>
                  <w:tcW w:w="529" w:type="pct"/>
                  <w:noWrap w:val="0"/>
                  <w:vAlign w:val="center"/>
                </w:tcPr>
                <w:p w14:paraId="6CB208E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7B88A7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6105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7A5C90B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1342" w:type="pct"/>
                  <w:noWrap w:val="0"/>
                  <w:vAlign w:val="center"/>
                </w:tcPr>
                <w:p w14:paraId="15B61A0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新增废气主要排放口（废气无组织排放改为有组织排放的除外）；主要排放口排气筒高度降低10%及以上的</w:t>
                  </w:r>
                </w:p>
              </w:tc>
              <w:tc>
                <w:tcPr>
                  <w:tcW w:w="1204" w:type="pct"/>
                  <w:noWrap w:val="0"/>
                  <w:vAlign w:val="center"/>
                </w:tcPr>
                <w:p w14:paraId="77C1AA0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原项目不涉及废气主要排放口</w:t>
                  </w:r>
                </w:p>
              </w:tc>
              <w:tc>
                <w:tcPr>
                  <w:tcW w:w="1122" w:type="pct"/>
                  <w:noWrap w:val="0"/>
                  <w:vAlign w:val="center"/>
                </w:tcPr>
                <w:p w14:paraId="2974A68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本项目新增废气主要排放口</w:t>
                  </w:r>
                  <w:r>
                    <w:rPr>
                      <w:rFonts w:hint="eastAsia"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lang w:val="en-US" w:eastAsia="zh-CN"/>
                    </w:rPr>
                    <w:t>个</w:t>
                  </w:r>
                  <w:r>
                    <w:rPr>
                      <w:rFonts w:hint="eastAsia" w:cs="Times New Roman"/>
                      <w:b w:val="0"/>
                      <w:bCs w:val="0"/>
                      <w:color w:val="auto"/>
                      <w:sz w:val="21"/>
                      <w:szCs w:val="21"/>
                      <w:highlight w:val="none"/>
                      <w:lang w:val="en-US" w:eastAsia="zh-CN"/>
                    </w:rPr>
                    <w:t>，分别为喷漆废气排放口DA001和固化废气排放口DA002</w:t>
                  </w:r>
                </w:p>
              </w:tc>
              <w:tc>
                <w:tcPr>
                  <w:tcW w:w="529" w:type="pct"/>
                  <w:noWrap w:val="0"/>
                  <w:vAlign w:val="center"/>
                </w:tcPr>
                <w:p w14:paraId="0407206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变化</w:t>
                  </w:r>
                </w:p>
              </w:tc>
              <w:tc>
                <w:tcPr>
                  <w:tcW w:w="530" w:type="pct"/>
                  <w:noWrap w:val="0"/>
                  <w:vAlign w:val="center"/>
                </w:tcPr>
                <w:p w14:paraId="73BDDA61">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是</w:t>
                  </w:r>
                </w:p>
              </w:tc>
            </w:tr>
            <w:tr w14:paraId="7E9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E35935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w:t>
                  </w:r>
                </w:p>
              </w:tc>
              <w:tc>
                <w:tcPr>
                  <w:tcW w:w="1342" w:type="pct"/>
                  <w:noWrap w:val="0"/>
                  <w:vAlign w:val="center"/>
                </w:tcPr>
                <w:p w14:paraId="6135DBDC">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噪声、土壤或地下水污染防治措施变化，导致不利环境影响加重的</w:t>
                  </w:r>
                </w:p>
              </w:tc>
              <w:tc>
                <w:tcPr>
                  <w:tcW w:w="1204" w:type="pct"/>
                  <w:noWrap w:val="0"/>
                  <w:vAlign w:val="center"/>
                </w:tcPr>
                <w:p w14:paraId="523AFC8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原项目对生产设备采取减振、隔声、吸声、消声等治理措施；厂区地面已全部硬化，危废间、物料仓库地面硬化，并刷环氧树脂漆防渗层、设置围堰，正常情况下可有效阻止地下水污染途径</w:t>
                  </w:r>
                </w:p>
              </w:tc>
              <w:tc>
                <w:tcPr>
                  <w:tcW w:w="1122" w:type="pct"/>
                  <w:noWrap w:val="0"/>
                  <w:vAlign w:val="center"/>
                </w:tcPr>
                <w:p w14:paraId="58566E2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本项目对生产设备采取减振、隔声、吸声、消声等治理措施；厂区地面已全部硬化，危废间、物料仓库地面硬化，并刷环氧树脂漆防渗层、设置围堰，正常情况下可有效阻止地下水污染途径</w:t>
                  </w:r>
                </w:p>
              </w:tc>
              <w:tc>
                <w:tcPr>
                  <w:tcW w:w="529" w:type="pct"/>
                  <w:noWrap w:val="0"/>
                  <w:vAlign w:val="center"/>
                </w:tcPr>
                <w:p w14:paraId="49B950A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29CB5D63">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0676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31B05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w:t>
                  </w:r>
                </w:p>
              </w:tc>
              <w:tc>
                <w:tcPr>
                  <w:tcW w:w="1342" w:type="pct"/>
                  <w:noWrap w:val="0"/>
                  <w:vAlign w:val="center"/>
                </w:tcPr>
                <w:p w14:paraId="075E0E6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固体废物利用处置方式由委托外单位利用处置改为自行利用处置的（自行利用处置设施单独开展环境影响评价的除外）；固体废物自行处置方式变化，导致不利环境影响加重的</w:t>
                  </w:r>
                </w:p>
              </w:tc>
              <w:tc>
                <w:tcPr>
                  <w:tcW w:w="1204" w:type="pct"/>
                  <w:noWrap w:val="0"/>
                  <w:vAlign w:val="center"/>
                </w:tcPr>
                <w:p w14:paraId="768C4BDA">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执行《一般工业固体废物贮存和填埋污染控制标准》（GB18599-2020）控制要求；危险废物贮存过程执行《危险废物贮存污染控制标准》（GB18597-2023）和《危险废物收集贮存运输技术规范》（HJ 2025-2012）。</w:t>
                  </w:r>
                </w:p>
              </w:tc>
              <w:tc>
                <w:tcPr>
                  <w:tcW w:w="1122" w:type="pct"/>
                  <w:noWrap w:val="0"/>
                  <w:vAlign w:val="center"/>
                </w:tcPr>
                <w:p w14:paraId="65E4DA0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22FB9782">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6C9C939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3E8C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14EC0D">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w:t>
                  </w:r>
                </w:p>
              </w:tc>
              <w:tc>
                <w:tcPr>
                  <w:tcW w:w="1342" w:type="pct"/>
                  <w:noWrap w:val="0"/>
                  <w:vAlign w:val="center"/>
                </w:tcPr>
                <w:p w14:paraId="6255A08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事故废水暂存能力或拦截设施变化，导致环境风险防范能力弱化或降低的</w:t>
                  </w:r>
                </w:p>
              </w:tc>
              <w:tc>
                <w:tcPr>
                  <w:tcW w:w="1204" w:type="pct"/>
                  <w:noWrap w:val="0"/>
                  <w:vAlign w:val="center"/>
                </w:tcPr>
                <w:p w14:paraId="682EE648">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原项目1个有效容积为</w:t>
                  </w:r>
                  <w:r>
                    <w:rPr>
                      <w:rFonts w:hint="eastAsia" w:cs="Times New Roman"/>
                      <w:b w:val="0"/>
                      <w:bCs w:val="0"/>
                      <w:color w:val="auto"/>
                      <w:sz w:val="21"/>
                      <w:szCs w:val="21"/>
                      <w:highlight w:val="none"/>
                      <w:lang w:val="en-US" w:eastAsia="zh-CN"/>
                    </w:rPr>
                    <w:t>18</w:t>
                  </w:r>
                  <w:r>
                    <w:rPr>
                      <w:rFonts w:hint="eastAsia" w:ascii="Times New Roman" w:hAnsi="Times New Roman" w:eastAsia="宋体" w:cs="Times New Roman"/>
                      <w:b w:val="0"/>
                      <w:bCs w:val="0"/>
                      <w:color w:val="auto"/>
                      <w:sz w:val="21"/>
                      <w:szCs w:val="21"/>
                      <w:highlight w:val="none"/>
                      <w:lang w:val="en-US" w:eastAsia="zh-CN"/>
                    </w:rPr>
                    <w:t>0m</w:t>
                  </w:r>
                  <w:r>
                    <w:rPr>
                      <w:rFonts w:hint="eastAsia" w:ascii="Times New Roman" w:hAnsi="Times New Roman" w:eastAsia="宋体" w:cs="Times New Roman"/>
                      <w:b w:val="0"/>
                      <w:bCs w:val="0"/>
                      <w:color w:val="auto"/>
                      <w:sz w:val="21"/>
                      <w:szCs w:val="21"/>
                      <w:highlight w:val="none"/>
                      <w:vertAlign w:val="superscript"/>
                      <w:lang w:val="en-US" w:eastAsia="zh-CN"/>
                    </w:rPr>
                    <w:t>3</w:t>
                  </w:r>
                  <w:r>
                    <w:rPr>
                      <w:rFonts w:hint="eastAsia" w:ascii="Times New Roman" w:hAnsi="Times New Roman" w:eastAsia="宋体" w:cs="Times New Roman"/>
                      <w:b w:val="0"/>
                      <w:bCs w:val="0"/>
                      <w:color w:val="auto"/>
                      <w:sz w:val="21"/>
                      <w:szCs w:val="21"/>
                      <w:highlight w:val="none"/>
                      <w:lang w:val="en-US" w:eastAsia="zh-CN"/>
                    </w:rPr>
                    <w:t>的事故应急池，当发生事故时，泄漏物料、消防废水等事故废水均能截留在厂区内</w:t>
                  </w:r>
                </w:p>
              </w:tc>
              <w:tc>
                <w:tcPr>
                  <w:tcW w:w="1122" w:type="pct"/>
                  <w:noWrap w:val="0"/>
                  <w:vAlign w:val="center"/>
                </w:tcPr>
                <w:p w14:paraId="64A8ADF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本项目1个有效容积为</w:t>
                  </w:r>
                  <w:r>
                    <w:rPr>
                      <w:rFonts w:hint="eastAsia" w:cs="Times New Roman"/>
                      <w:b w:val="0"/>
                      <w:bCs w:val="0"/>
                      <w:color w:val="auto"/>
                      <w:sz w:val="21"/>
                      <w:szCs w:val="21"/>
                      <w:highlight w:val="none"/>
                      <w:lang w:val="en-US" w:eastAsia="zh-CN"/>
                    </w:rPr>
                    <w:t>150</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3</w:t>
                  </w:r>
                  <w:r>
                    <w:rPr>
                      <w:rFonts w:hint="eastAsia" w:ascii="Times New Roman" w:hAnsi="Times New Roman" w:eastAsia="宋体" w:cs="Times New Roman"/>
                      <w:b w:val="0"/>
                      <w:bCs w:val="0"/>
                      <w:color w:val="auto"/>
                      <w:sz w:val="21"/>
                      <w:szCs w:val="21"/>
                      <w:highlight w:val="none"/>
                      <w:lang w:val="en-US" w:eastAsia="zh-CN"/>
                    </w:rPr>
                    <w:t>的事故应急池，当发生事故时，泄漏物料、消防废水等事故废水均能截留在厂区内</w:t>
                  </w:r>
                </w:p>
              </w:tc>
              <w:tc>
                <w:tcPr>
                  <w:tcW w:w="529" w:type="pct"/>
                  <w:noWrap w:val="0"/>
                  <w:vAlign w:val="center"/>
                </w:tcPr>
                <w:p w14:paraId="4E0B61C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变化</w:t>
                  </w:r>
                </w:p>
              </w:tc>
              <w:tc>
                <w:tcPr>
                  <w:tcW w:w="530" w:type="pct"/>
                  <w:noWrap w:val="0"/>
                  <w:vAlign w:val="center"/>
                </w:tcPr>
                <w:p w14:paraId="341BE16A">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是</w:t>
                  </w:r>
                </w:p>
              </w:tc>
            </w:tr>
          </w:tbl>
          <w:p w14:paraId="189A6F01">
            <w:pPr>
              <w:widowControl w:val="0"/>
              <w:spacing w:line="360" w:lineRule="auto"/>
              <w:ind w:firstLine="480" w:firstLineChars="200"/>
              <w:jc w:val="both"/>
              <w:rPr>
                <w:rFonts w:hint="eastAsia" w:ascii="Times New Roman" w:hAnsi="Times New Roman" w:eastAsia="宋体" w:cs="Times New Roman"/>
                <w:color w:val="auto"/>
                <w:kern w:val="0"/>
                <w:sz w:val="24"/>
                <w:szCs w:val="24"/>
                <w:highlight w:val="none"/>
                <w:lang w:val="en-US" w:eastAsia="zh-CN" w:bidi="ar-SA"/>
              </w:rPr>
            </w:pPr>
          </w:p>
          <w:p w14:paraId="70BEADBD">
            <w:pPr>
              <w:pStyle w:val="43"/>
              <w:spacing w:after="0" w:line="360" w:lineRule="auto"/>
              <w:ind w:firstLine="480" w:firstLineChars="200"/>
              <w:rPr>
                <w:rFonts w:hint="default" w:ascii="Times New Roman" w:hAnsi="Times New Roman" w:eastAsia="宋体" w:cs="Times New Roman"/>
                <w:color w:val="auto"/>
                <w:sz w:val="24"/>
                <w:highlight w:val="none"/>
              </w:rPr>
            </w:pPr>
            <w:r>
              <w:rPr>
                <w:rFonts w:hint="eastAsia" w:cs="Times New Roman"/>
                <w:color w:val="auto"/>
                <w:kern w:val="0"/>
                <w:sz w:val="24"/>
                <w:szCs w:val="24"/>
                <w:highlight w:val="none"/>
                <w:lang w:val="en-US" w:eastAsia="zh-CN" w:bidi="ar-SA"/>
              </w:rPr>
              <w:t>由于发生上述重大变动</w:t>
            </w:r>
            <w:r>
              <w:rPr>
                <w:rFonts w:hint="default" w:ascii="Times New Roman" w:hAnsi="Times New Roman" w:cs="Times New Roman"/>
                <w:color w:val="auto"/>
                <w:kern w:val="0"/>
                <w:sz w:val="24"/>
                <w:szCs w:val="24"/>
                <w:highlight w:val="none"/>
                <w:lang w:val="en-US" w:eastAsia="zh-CN" w:bidi="ar-SA"/>
              </w:rPr>
              <w:t>，</w:t>
            </w:r>
            <w:r>
              <w:rPr>
                <w:rFonts w:hint="default" w:ascii="Times New Roman" w:hAnsi="Times New Roman" w:eastAsia="宋体" w:cs="Times New Roman"/>
                <w:color w:val="auto"/>
                <w:sz w:val="24"/>
                <w:szCs w:val="24"/>
              </w:rPr>
              <w:t>根据《中华人民共和国生态环境法典》（2026 年 8 月 15 日起施行）第一百零六条规定</w:t>
            </w:r>
            <w:r>
              <w:rPr>
                <w:rFonts w:ascii="宋体" w:hAnsi="宋体" w:eastAsia="宋体" w:cs="宋体"/>
                <w:color w:val="auto"/>
                <w:sz w:val="24"/>
                <w:szCs w:val="24"/>
              </w:rPr>
              <w:t>，建设项目生态环境影响报告书（表）获批后，项目性质、规模、地点、生产工艺或者污染防治、生态保护措施发生重大变动的，建设单位应当重新报批生态环境影响报告书（表）。</w:t>
            </w:r>
            <w:r>
              <w:rPr>
                <w:rFonts w:hint="default" w:ascii="Times New Roman" w:hAnsi="Times New Roman" w:eastAsia="宋体" w:cs="Times New Roman"/>
                <w:color w:val="auto"/>
                <w:kern w:val="0"/>
                <w:sz w:val="24"/>
                <w:szCs w:val="24"/>
                <w:highlight w:val="none"/>
                <w:lang w:val="en-US" w:eastAsia="zh-CN" w:bidi="ar-SA"/>
              </w:rPr>
              <w:t>为此，</w:t>
            </w:r>
            <w:r>
              <w:rPr>
                <w:rFonts w:hint="eastAsia" w:ascii="Times New Roman" w:hAnsi="Times New Roman" w:eastAsia="宋体" w:cs="Times New Roman"/>
                <w:color w:val="auto"/>
                <w:kern w:val="0"/>
                <w:sz w:val="24"/>
                <w:szCs w:val="24"/>
                <w:highlight w:val="none"/>
                <w:lang w:val="en-US" w:eastAsia="zh-CN" w:bidi="ar-SA"/>
              </w:rPr>
              <w:t>建设单位根</w:t>
            </w:r>
            <w:r>
              <w:rPr>
                <w:rFonts w:hint="default" w:ascii="Times New Roman" w:hAnsi="Times New Roman" w:eastAsia="宋体" w:cs="Times New Roman"/>
                <w:color w:val="auto"/>
                <w:kern w:val="0"/>
                <w:sz w:val="24"/>
                <w:szCs w:val="24"/>
                <w:highlight w:val="none"/>
                <w:lang w:val="en-US" w:eastAsia="zh-CN" w:bidi="ar-SA"/>
              </w:rPr>
              <w:t>据相关管理部门的建议，重新报批</w:t>
            </w:r>
            <w:r>
              <w:rPr>
                <w:rFonts w:hint="eastAsia" w:cs="Times New Roman"/>
                <w:color w:val="auto"/>
                <w:kern w:val="0"/>
                <w:sz w:val="24"/>
                <w:szCs w:val="24"/>
                <w:highlight w:val="none"/>
                <w:lang w:val="en-US" w:eastAsia="zh-CN" w:bidi="ar-SA"/>
              </w:rPr>
              <w:t>生态</w:t>
            </w:r>
            <w:r>
              <w:rPr>
                <w:rFonts w:hint="default" w:ascii="Times New Roman" w:hAnsi="Times New Roman" w:eastAsia="宋体" w:cs="Times New Roman"/>
                <w:color w:val="auto"/>
                <w:kern w:val="0"/>
                <w:sz w:val="24"/>
                <w:szCs w:val="24"/>
                <w:highlight w:val="none"/>
                <w:lang w:val="en-US" w:eastAsia="zh-CN" w:bidi="ar-SA"/>
              </w:rPr>
              <w:t>环境影响评价文件。</w:t>
            </w:r>
          </w:p>
          <w:p w14:paraId="03A4175B">
            <w:pPr>
              <w:pStyle w:val="43"/>
              <w:spacing w:after="0" w:line="360" w:lineRule="auto"/>
              <w:ind w:firstLine="480" w:firstLineChars="200"/>
              <w:rPr>
                <w:rFonts w:hint="default" w:ascii="Times New Roman" w:hAnsi="Times New Roman" w:eastAsia="宋体" w:cs="Times New Roman"/>
                <w:b/>
                <w:color w:val="auto"/>
                <w:sz w:val="18"/>
                <w:szCs w:val="18"/>
                <w:highlight w:val="none"/>
                <w:lang w:eastAsia="zh-CN"/>
              </w:rPr>
            </w:pPr>
            <w:r>
              <w:rPr>
                <w:rFonts w:hint="default" w:ascii="Times New Roman" w:hAnsi="Times New Roman" w:eastAsia="宋体" w:cs="Times New Roman"/>
                <w:color w:val="auto"/>
                <w:sz w:val="24"/>
                <w:highlight w:val="none"/>
              </w:rPr>
              <w:t>因此，受</w:t>
            </w:r>
            <w:r>
              <w:rPr>
                <w:rFonts w:hint="eastAsia" w:ascii="Times New Roman" w:hAnsi="Times New Roman" w:eastAsia="宋体" w:cs="Times New Roman"/>
                <w:color w:val="auto"/>
                <w:sz w:val="24"/>
                <w:highlight w:val="none"/>
                <w:lang w:eastAsia="zh-CN"/>
              </w:rPr>
              <w:t>广东三筑金属制品有限公司</w:t>
            </w:r>
            <w:r>
              <w:rPr>
                <w:rFonts w:hint="default" w:ascii="Times New Roman" w:hAnsi="Times New Roman" w:eastAsia="宋体" w:cs="Times New Roman"/>
                <w:color w:val="auto"/>
                <w:sz w:val="24"/>
                <w:highlight w:val="none"/>
              </w:rPr>
              <w:t>委托</w:t>
            </w:r>
            <w:r>
              <w:rPr>
                <w:rFonts w:hint="default" w:ascii="Times New Roman" w:hAnsi="Times New Roman" w:eastAsia="宋体" w:cs="Times New Roman"/>
                <w:color w:val="auto"/>
                <w:sz w:val="24"/>
                <w:highlight w:val="none"/>
                <w:lang w:val="en-US" w:eastAsia="zh-CN"/>
              </w:rPr>
              <w:t>，我公司承担了该项目的</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lang w:val="en-US" w:eastAsia="zh-CN"/>
              </w:rPr>
              <w:t>环境影响评价工作。接受委托后，在现场踏勘和资料收集等的基础上，根据环境影响评价技术导则</w:t>
            </w:r>
            <w:r>
              <w:rPr>
                <w:rFonts w:hint="eastAsia" w:ascii="Times New Roman" w:hAnsi="Times New Roman" w:eastAsia="宋体" w:cs="Times New Roman"/>
                <w:color w:val="auto"/>
                <w:sz w:val="24"/>
                <w:highlight w:val="none"/>
                <w:lang w:val="en-US" w:eastAsia="zh-CN"/>
              </w:rPr>
              <w:t>及其他有关</w:t>
            </w:r>
            <w:r>
              <w:rPr>
                <w:rFonts w:hint="default" w:ascii="Times New Roman" w:hAnsi="Times New Roman" w:eastAsia="宋体" w:cs="Times New Roman"/>
                <w:color w:val="auto"/>
                <w:sz w:val="24"/>
                <w:highlight w:val="none"/>
                <w:lang w:val="en-US" w:eastAsia="zh-CN"/>
              </w:rPr>
              <w:t>文件，编制了《</w:t>
            </w:r>
            <w:r>
              <w:rPr>
                <w:rFonts w:hint="eastAsia" w:ascii="Times New Roman" w:hAnsi="Times New Roman" w:eastAsia="宋体" w:cs="Times New Roman"/>
                <w:color w:val="auto"/>
                <w:sz w:val="24"/>
                <w:highlight w:val="none"/>
                <w:lang w:eastAsia="zh-CN"/>
              </w:rPr>
              <w:t>乐昌市三筑金属材料智造项目</w:t>
            </w:r>
            <w:r>
              <w:rPr>
                <w:rFonts w:hint="eastAsia" w:ascii="Times New Roman" w:hAnsi="Times New Roman" w:eastAsia="宋体" w:cs="Times New Roman"/>
                <w:color w:val="auto"/>
                <w:sz w:val="24"/>
                <w:highlight w:val="none"/>
                <w:lang w:val="en-US" w:eastAsia="zh-CN"/>
              </w:rPr>
              <w:t>（重新报批）</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lang w:val="en-US" w:eastAsia="zh-CN"/>
              </w:rPr>
              <w:t>环境影响报告表》</w:t>
            </w:r>
            <w:r>
              <w:rPr>
                <w:rFonts w:hint="default" w:ascii="Times New Roman" w:hAnsi="Times New Roman" w:eastAsia="宋体" w:cs="Times New Roman"/>
                <w:color w:val="auto"/>
                <w:sz w:val="24"/>
                <w:highlight w:val="none"/>
              </w:rPr>
              <w:t>。</w:t>
            </w:r>
          </w:p>
          <w:p w14:paraId="27224293">
            <w:pPr>
              <w:pStyle w:val="43"/>
              <w:spacing w:after="0"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二、</w:t>
            </w:r>
            <w:r>
              <w:rPr>
                <w:rFonts w:hint="default" w:ascii="Times New Roman" w:hAnsi="Times New Roman" w:eastAsia="宋体" w:cs="Times New Roman"/>
                <w:b/>
                <w:bCs/>
                <w:color w:val="auto"/>
                <w:sz w:val="24"/>
                <w:highlight w:val="none"/>
              </w:rPr>
              <w:t>项目内容及规模</w:t>
            </w:r>
          </w:p>
          <w:p w14:paraId="6B494F19">
            <w:pPr>
              <w:pStyle w:val="20"/>
              <w:numPr>
                <w:ilvl w:val="3"/>
                <w:numId w:val="0"/>
              </w:numPr>
              <w:suppressLineNumbers w:val="0"/>
              <w:tabs>
                <w:tab w:val="left" w:pos="420"/>
              </w:tabs>
              <w:spacing w:before="0" w:beforeAutospacing="0" w:after="0" w:afterAutospacing="0" w:line="360" w:lineRule="auto"/>
              <w:ind w:left="-960" w:right="0" w:firstLine="144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1、工程规模</w:t>
            </w:r>
          </w:p>
          <w:p w14:paraId="72E6E5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zh-CN"/>
              </w:rPr>
            </w:pPr>
            <w:r>
              <w:rPr>
                <w:rFonts w:hint="eastAsia" w:cs="Times New Roman"/>
                <w:color w:val="auto"/>
                <w:sz w:val="24"/>
                <w:szCs w:val="24"/>
                <w:highlight w:val="none"/>
                <w:lang w:val="en-US" w:eastAsia="zh-CN"/>
              </w:rPr>
              <w:t>本项目位于</w:t>
            </w:r>
            <w:r>
              <w:rPr>
                <w:rFonts w:hint="eastAsia" w:cs="Times New Roman"/>
                <w:color w:val="auto"/>
                <w:sz w:val="24"/>
                <w:szCs w:val="24"/>
                <w:highlight w:val="none"/>
                <w:lang w:eastAsia="zh-CN"/>
              </w:rPr>
              <w:t>韶关市乐昌市乐昌产业转移工业园GL-02-02-01地块</w:t>
            </w:r>
            <w:r>
              <w:rPr>
                <w:rFonts w:hint="default" w:ascii="Times New Roman" w:hAnsi="Times New Roman" w:cs="Times New Roman"/>
                <w:color w:val="auto"/>
                <w:sz w:val="24"/>
                <w:szCs w:val="24"/>
                <w:highlight w:val="none"/>
              </w:rPr>
              <w:t>，建</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栋单层厂房</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1栋</w:t>
            </w:r>
            <w:r>
              <w:rPr>
                <w:rFonts w:hint="eastAsia" w:cs="Times New Roman"/>
                <w:color w:val="auto"/>
                <w:sz w:val="24"/>
                <w:szCs w:val="24"/>
                <w:highlight w:val="none"/>
                <w:lang w:val="en-US" w:eastAsia="zh-CN"/>
              </w:rPr>
              <w:t>5层</w:t>
            </w:r>
            <w:r>
              <w:rPr>
                <w:rFonts w:hint="default" w:ascii="Times New Roman" w:hAnsi="Times New Roman" w:cs="Times New Roman"/>
                <w:color w:val="auto"/>
                <w:sz w:val="24"/>
                <w:szCs w:val="24"/>
                <w:highlight w:val="none"/>
              </w:rPr>
              <w:t>宿舍楼</w:t>
            </w:r>
            <w:r>
              <w:rPr>
                <w:rFonts w:hint="default" w:ascii="Times New Roman" w:hAnsi="Times New Roman" w:cs="Times New Roman"/>
                <w:color w:val="auto"/>
                <w:sz w:val="24"/>
                <w:szCs w:val="24"/>
                <w:highlight w:val="none"/>
                <w:lang w:val="en-US" w:eastAsia="zh-CN"/>
              </w:rPr>
              <w:t>和1栋</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lang w:val="en-US" w:eastAsia="zh-CN"/>
              </w:rPr>
              <w:t>层综合楼</w:t>
            </w:r>
            <w:r>
              <w:rPr>
                <w:rFonts w:hint="default" w:ascii="Times New Roman" w:hAnsi="Times New Roman" w:cs="Times New Roman"/>
                <w:color w:val="auto"/>
                <w:sz w:val="24"/>
                <w:szCs w:val="24"/>
                <w:highlight w:val="none"/>
              </w:rPr>
              <w:t>，本项目总占地面积</w:t>
            </w:r>
            <w:r>
              <w:rPr>
                <w:rFonts w:hint="eastAsia" w:ascii="Times New Roman" w:hAnsi="Times New Roman" w:cs="Times New Roman"/>
                <w:color w:val="auto"/>
                <w:sz w:val="24"/>
                <w:szCs w:val="24"/>
                <w:highlight w:val="none"/>
                <w:lang w:val="en-US" w:eastAsia="zh-CN"/>
              </w:rPr>
              <w:t>54139.29</w:t>
            </w:r>
            <w:r>
              <w:rPr>
                <w:rFonts w:hint="default" w:ascii="Times New Roman" w:hAnsi="Times New Roman" w:cs="Times New Roman"/>
                <w:color w:val="auto"/>
                <w:sz w:val="24"/>
                <w:szCs w:val="24"/>
                <w:highlight w:val="none"/>
              </w:rPr>
              <w:t>m²，总建筑面积</w:t>
            </w:r>
            <w:r>
              <w:rPr>
                <w:rFonts w:hint="eastAsia" w:ascii="Times New Roman" w:hAnsi="Times New Roman" w:cs="Times New Roman"/>
                <w:color w:val="auto"/>
                <w:sz w:val="24"/>
                <w:szCs w:val="24"/>
                <w:highlight w:val="none"/>
                <w:lang w:val="en-US" w:eastAsia="zh-CN"/>
              </w:rPr>
              <w:t>43886.37</w:t>
            </w:r>
            <w:r>
              <w:rPr>
                <w:rFonts w:hint="default" w:ascii="Times New Roman" w:hAnsi="Times New Roman" w:cs="Times New Roman"/>
                <w:color w:val="auto"/>
                <w:sz w:val="24"/>
                <w:szCs w:val="24"/>
                <w:highlight w:val="none"/>
              </w:rPr>
              <w:t>m²。项目</w:t>
            </w:r>
            <w:r>
              <w:rPr>
                <w:rFonts w:hint="default" w:ascii="Times New Roman" w:hAnsi="Times New Roman" w:cs="Times New Roman"/>
                <w:color w:val="auto"/>
                <w:sz w:val="24"/>
                <w:szCs w:val="24"/>
                <w:highlight w:val="none"/>
                <w:lang w:val="en-US" w:eastAsia="zh-CN"/>
              </w:rPr>
              <w:t>主要</w:t>
            </w:r>
            <w:r>
              <w:rPr>
                <w:rFonts w:hint="default" w:ascii="Times New Roman" w:hAnsi="Times New Roman" w:cs="Times New Roman"/>
                <w:color w:val="auto"/>
                <w:sz w:val="24"/>
                <w:szCs w:val="24"/>
                <w:highlight w:val="none"/>
              </w:rPr>
              <w:t>经济技术指标</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bCs/>
                <w:color w:val="auto"/>
                <w:kern w:val="0"/>
                <w:sz w:val="24"/>
                <w:szCs w:val="24"/>
                <w:highlight w:val="none"/>
              </w:rPr>
              <w:t>建筑物情况</w:t>
            </w:r>
            <w:r>
              <w:rPr>
                <w:rFonts w:hint="eastAsia" w:ascii="Times New Roman" w:hAnsi="Times New Roman" w:cs="Times New Roman"/>
                <w:bCs/>
                <w:color w:val="auto"/>
                <w:kern w:val="0"/>
                <w:sz w:val="24"/>
                <w:szCs w:val="24"/>
                <w:highlight w:val="none"/>
                <w:lang w:val="en-US" w:eastAsia="zh-CN"/>
              </w:rPr>
              <w:t>及</w:t>
            </w:r>
            <w:r>
              <w:rPr>
                <w:rFonts w:hint="default" w:ascii="Times New Roman" w:hAnsi="Times New Roman" w:cs="Times New Roman"/>
                <w:color w:val="auto"/>
                <w:sz w:val="24"/>
                <w:szCs w:val="24"/>
                <w:highlight w:val="none"/>
              </w:rPr>
              <w:t>工程组成</w:t>
            </w:r>
            <w:r>
              <w:rPr>
                <w:rFonts w:hint="eastAsia"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内容见</w:t>
            </w:r>
            <w:r>
              <w:rPr>
                <w:rFonts w:hint="eastAsia" w:ascii="Times New Roman" w:hAnsi="Times New Roman" w:cs="Times New Roman"/>
                <w:color w:val="auto"/>
                <w:sz w:val="24"/>
                <w:szCs w:val="24"/>
                <w:highlight w:val="none"/>
                <w:lang w:val="en-US" w:eastAsia="zh-CN"/>
              </w:rPr>
              <w:t>下表</w:t>
            </w:r>
            <w:r>
              <w:rPr>
                <w:rFonts w:hint="default" w:ascii="Times New Roman" w:hAnsi="Times New Roman" w:cs="Times New Roman"/>
                <w:color w:val="auto"/>
                <w:sz w:val="24"/>
                <w:szCs w:val="24"/>
                <w:highlight w:val="none"/>
                <w:lang w:val="zh-CN"/>
              </w:rPr>
              <w:t>。</w:t>
            </w:r>
          </w:p>
          <w:p w14:paraId="4436A3E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r>
              <w:rPr>
                <w:rFonts w:hint="eastAsia" w:ascii="Times New Roman" w:hAnsi="Times New Roman" w:eastAsia="宋体" w:cs="Times New Roman"/>
                <w:b/>
                <w:bCs/>
                <w:color w:val="auto"/>
                <w:sz w:val="21"/>
                <w:szCs w:val="21"/>
                <w:highlight w:val="none"/>
                <w:lang w:val="en-US" w:eastAsia="zh-CN"/>
              </w:rPr>
              <w:t>主要</w:t>
            </w:r>
            <w:r>
              <w:rPr>
                <w:rFonts w:hint="default" w:ascii="Times New Roman" w:hAnsi="Times New Roman" w:eastAsia="宋体" w:cs="Times New Roman"/>
                <w:b/>
                <w:bCs/>
                <w:color w:val="auto"/>
                <w:sz w:val="21"/>
                <w:szCs w:val="21"/>
                <w:highlight w:val="none"/>
              </w:rPr>
              <w:t>经济技术指标一览表</w:t>
            </w:r>
          </w:p>
          <w:tbl>
            <w:tblPr>
              <w:tblStyle w:val="13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468"/>
              <w:gridCol w:w="474"/>
              <w:gridCol w:w="3214"/>
              <w:gridCol w:w="1826"/>
              <w:gridCol w:w="1851"/>
            </w:tblGrid>
            <w:tr w14:paraId="5978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2805" w:type="pct"/>
                  <w:gridSpan w:val="4"/>
                  <w:noWrap w:val="0"/>
                  <w:vAlign w:val="center"/>
                </w:tcPr>
                <w:p w14:paraId="61CB39E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名称</w:t>
                  </w:r>
                </w:p>
              </w:tc>
              <w:tc>
                <w:tcPr>
                  <w:tcW w:w="1089" w:type="pct"/>
                  <w:noWrap w:val="0"/>
                  <w:vAlign w:val="center"/>
                </w:tcPr>
                <w:p w14:paraId="590399F6">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单位</w:t>
                  </w:r>
                </w:p>
              </w:tc>
              <w:tc>
                <w:tcPr>
                  <w:tcW w:w="1104" w:type="pct"/>
                  <w:noWrap w:val="0"/>
                  <w:vAlign w:val="center"/>
                </w:tcPr>
                <w:p w14:paraId="40F82B1F">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数值</w:t>
                  </w:r>
                </w:p>
              </w:tc>
            </w:tr>
            <w:tr w14:paraId="293CC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FE830E4">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479" w:type="pct"/>
                  <w:gridSpan w:val="3"/>
                  <w:noWrap w:val="0"/>
                  <w:vAlign w:val="center"/>
                </w:tcPr>
                <w:p w14:paraId="0D596660">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规划总用地面积</w:t>
                  </w:r>
                </w:p>
              </w:tc>
              <w:tc>
                <w:tcPr>
                  <w:tcW w:w="1089" w:type="pct"/>
                  <w:noWrap w:val="0"/>
                  <w:vAlign w:val="center"/>
                </w:tcPr>
                <w:p w14:paraId="05D7BBC6">
                  <w:pPr>
                    <w:spacing w:line="240" w:lineRule="auto"/>
                    <w:jc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DC5CBD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54139.29</w:t>
                  </w:r>
                </w:p>
              </w:tc>
            </w:tr>
            <w:tr w14:paraId="5CE54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71E50D1">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2479" w:type="pct"/>
                  <w:gridSpan w:val="3"/>
                  <w:noWrap w:val="0"/>
                  <w:vAlign w:val="center"/>
                </w:tcPr>
                <w:p w14:paraId="3FBA104C">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规划建设用地面积</w:t>
                  </w:r>
                </w:p>
              </w:tc>
              <w:tc>
                <w:tcPr>
                  <w:tcW w:w="1089" w:type="pct"/>
                  <w:noWrap w:val="0"/>
                  <w:vAlign w:val="center"/>
                </w:tcPr>
                <w:p w14:paraId="57B84916">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727523F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54139.29</w:t>
                  </w:r>
                </w:p>
              </w:tc>
            </w:tr>
            <w:tr w14:paraId="13964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000AC8B">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479" w:type="pct"/>
                  <w:gridSpan w:val="3"/>
                  <w:noWrap w:val="0"/>
                  <w:vAlign w:val="center"/>
                </w:tcPr>
                <w:p w14:paraId="1EEEB765">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总建筑基底面积</w:t>
                  </w:r>
                </w:p>
              </w:tc>
              <w:tc>
                <w:tcPr>
                  <w:tcW w:w="1089" w:type="pct"/>
                  <w:noWrap w:val="0"/>
                  <w:vAlign w:val="center"/>
                </w:tcPr>
                <w:p w14:paraId="32AA9A89">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C61A1F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32340.05</w:t>
                  </w:r>
                </w:p>
              </w:tc>
            </w:tr>
            <w:tr w14:paraId="4B1E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8787ED4">
                  <w:pPr>
                    <w:keepNext w:val="0"/>
                    <w:keepLines w:val="0"/>
                    <w:widowControl/>
                    <w:suppressLineNumbers w:val="0"/>
                    <w:jc w:val="center"/>
                    <w:textAlignment w:val="center"/>
                    <w:rPr>
                      <w:rFonts w:hint="default"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479" w:type="pct"/>
                  <w:gridSpan w:val="3"/>
                  <w:noWrap w:val="0"/>
                  <w:vAlign w:val="center"/>
                </w:tcPr>
                <w:p w14:paraId="1D2A39B8">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总建筑面积</w:t>
                  </w:r>
                </w:p>
              </w:tc>
              <w:tc>
                <w:tcPr>
                  <w:tcW w:w="1089" w:type="pct"/>
                  <w:noWrap w:val="0"/>
                  <w:vAlign w:val="center"/>
                </w:tcPr>
                <w:p w14:paraId="01921F45">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A18847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43886.37</w:t>
                  </w:r>
                </w:p>
              </w:tc>
            </w:tr>
            <w:tr w14:paraId="572A8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D494328">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79" w:type="pct"/>
                  <w:vMerge w:val="restart"/>
                  <w:noWrap w:val="0"/>
                  <w:vAlign w:val="center"/>
                </w:tcPr>
                <w:p w14:paraId="7ECBE1B9">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2EFA7C03">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地上总建筑面积</w:t>
                  </w:r>
                </w:p>
              </w:tc>
              <w:tc>
                <w:tcPr>
                  <w:tcW w:w="1089" w:type="pct"/>
                  <w:noWrap w:val="0"/>
                  <w:vAlign w:val="center"/>
                </w:tcPr>
                <w:p w14:paraId="00D41BC6">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71BA8D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43570.27</w:t>
                  </w:r>
                </w:p>
              </w:tc>
            </w:tr>
            <w:tr w14:paraId="7BFA4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1E87A0A">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79" w:type="pct"/>
                  <w:vMerge w:val="continue"/>
                  <w:noWrap w:val="0"/>
                  <w:vAlign w:val="center"/>
                </w:tcPr>
                <w:p w14:paraId="3782F292">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0579484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综合楼</w:t>
                  </w:r>
                </w:p>
              </w:tc>
              <w:tc>
                <w:tcPr>
                  <w:tcW w:w="1089" w:type="pct"/>
                  <w:noWrap w:val="0"/>
                  <w:vAlign w:val="center"/>
                </w:tcPr>
                <w:p w14:paraId="44AB1B4B">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8412BD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9376.38</w:t>
                  </w:r>
                </w:p>
              </w:tc>
            </w:tr>
            <w:tr w14:paraId="3D688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B6E3FAE">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279" w:type="pct"/>
                  <w:vMerge w:val="continue"/>
                  <w:noWrap w:val="0"/>
                  <w:vAlign w:val="center"/>
                </w:tcPr>
                <w:p w14:paraId="569431C1">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6A0E7417">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宿舍楼</w:t>
                  </w:r>
                </w:p>
              </w:tc>
              <w:tc>
                <w:tcPr>
                  <w:tcW w:w="1089" w:type="pct"/>
                  <w:noWrap w:val="0"/>
                  <w:vAlign w:val="center"/>
                </w:tcPr>
                <w:p w14:paraId="56AF2D8D">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9B317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3734.40</w:t>
                  </w:r>
                </w:p>
              </w:tc>
            </w:tr>
            <w:tr w14:paraId="17F64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B831C26">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279" w:type="pct"/>
                  <w:vMerge w:val="continue"/>
                  <w:noWrap w:val="0"/>
                  <w:vAlign w:val="center"/>
                </w:tcPr>
                <w:p w14:paraId="15F071BC">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FB5AF2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1#厂房</w:t>
                  </w:r>
                </w:p>
              </w:tc>
              <w:tc>
                <w:tcPr>
                  <w:tcW w:w="1089" w:type="pct"/>
                  <w:noWrap w:val="0"/>
                  <w:vAlign w:val="center"/>
                </w:tcPr>
                <w:p w14:paraId="54C97CC2">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A4D60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r>
            <w:tr w14:paraId="4167A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B01DA73">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279" w:type="pct"/>
                  <w:vMerge w:val="continue"/>
                  <w:noWrap w:val="0"/>
                  <w:vAlign w:val="center"/>
                </w:tcPr>
                <w:p w14:paraId="07D020DD">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B20183D">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2#厂房</w:t>
                  </w:r>
                </w:p>
              </w:tc>
              <w:tc>
                <w:tcPr>
                  <w:tcW w:w="1089" w:type="pct"/>
                  <w:noWrap w:val="0"/>
                  <w:vAlign w:val="center"/>
                </w:tcPr>
                <w:p w14:paraId="7C9E83F3">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EC330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r>
            <w:tr w14:paraId="3339D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326" w:type="pct"/>
                  <w:noWrap w:val="0"/>
                  <w:vAlign w:val="center"/>
                </w:tcPr>
                <w:p w14:paraId="23B6608C">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279" w:type="pct"/>
                  <w:vMerge w:val="continue"/>
                  <w:noWrap w:val="0"/>
                  <w:vAlign w:val="center"/>
                </w:tcPr>
                <w:p w14:paraId="141FF55F">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93DAFF4">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3#厂房</w:t>
                  </w:r>
                </w:p>
              </w:tc>
              <w:tc>
                <w:tcPr>
                  <w:tcW w:w="1089" w:type="pct"/>
                  <w:noWrap w:val="0"/>
                  <w:vAlign w:val="center"/>
                </w:tcPr>
                <w:p w14:paraId="4CB3D729">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E0A092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5311.49</w:t>
                  </w:r>
                </w:p>
              </w:tc>
            </w:tr>
            <w:tr w14:paraId="5929A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326" w:type="pct"/>
                  <w:noWrap w:val="0"/>
                  <w:vAlign w:val="center"/>
                </w:tcPr>
                <w:p w14:paraId="54E40932">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279" w:type="pct"/>
                  <w:vMerge w:val="continue"/>
                  <w:noWrap w:val="0"/>
                  <w:vAlign w:val="center"/>
                </w:tcPr>
                <w:p w14:paraId="46F06B92">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F1D485B">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4#厂房</w:t>
                  </w:r>
                </w:p>
              </w:tc>
              <w:tc>
                <w:tcPr>
                  <w:tcW w:w="1089" w:type="pct"/>
                  <w:noWrap w:val="0"/>
                  <w:vAlign w:val="center"/>
                </w:tcPr>
                <w:p w14:paraId="785D1CB0">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0234988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5824.00</w:t>
                  </w:r>
                </w:p>
              </w:tc>
            </w:tr>
            <w:tr w14:paraId="53FD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E4B1A4B">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279" w:type="pct"/>
                  <w:vMerge w:val="continue"/>
                  <w:noWrap w:val="0"/>
                  <w:vAlign w:val="center"/>
                </w:tcPr>
                <w:p w14:paraId="52E4804B">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6E109CA">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5#厂房</w:t>
                  </w:r>
                </w:p>
              </w:tc>
              <w:tc>
                <w:tcPr>
                  <w:tcW w:w="1089" w:type="pct"/>
                  <w:noWrap w:val="0"/>
                  <w:vAlign w:val="center"/>
                </w:tcPr>
                <w:p w14:paraId="61A0E52E">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3DE94B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6780.00</w:t>
                  </w:r>
                </w:p>
              </w:tc>
            </w:tr>
            <w:tr w14:paraId="4362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7773948">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279" w:type="pct"/>
                  <w:vMerge w:val="continue"/>
                  <w:noWrap w:val="0"/>
                  <w:vAlign w:val="center"/>
                </w:tcPr>
                <w:p w14:paraId="12CA14FF">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74BF5B9B">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地下总建筑面积</w:t>
                  </w:r>
                </w:p>
              </w:tc>
              <w:tc>
                <w:tcPr>
                  <w:tcW w:w="1089" w:type="pct"/>
                  <w:noWrap w:val="0"/>
                  <w:vAlign w:val="center"/>
                </w:tcPr>
                <w:p w14:paraId="2BE25742">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E17929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316.10</w:t>
                  </w:r>
                </w:p>
              </w:tc>
            </w:tr>
            <w:tr w14:paraId="4AD1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326" w:type="pct"/>
                  <w:noWrap w:val="0"/>
                  <w:vAlign w:val="center"/>
                </w:tcPr>
                <w:p w14:paraId="5C48DA7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279" w:type="pct"/>
                  <w:vMerge w:val="continue"/>
                  <w:noWrap w:val="0"/>
                  <w:vAlign w:val="center"/>
                </w:tcPr>
                <w:p w14:paraId="741F3098">
                  <w:pPr>
                    <w:adjustRightInd w:val="0"/>
                    <w:snapToGrid w:val="0"/>
                    <w:spacing w:line="240" w:lineRule="auto"/>
                    <w:jc w:val="center"/>
                    <w:rPr>
                      <w:rFonts w:hint="eastAsia" w:cs="Times New Roman"/>
                      <w:color w:val="auto"/>
                      <w:sz w:val="21"/>
                      <w:szCs w:val="21"/>
                      <w:highlight w:val="none"/>
                      <w:lang w:val="en-US" w:eastAsia="zh-CN"/>
                    </w:rPr>
                  </w:pPr>
                </w:p>
              </w:tc>
              <w:tc>
                <w:tcPr>
                  <w:tcW w:w="283" w:type="pct"/>
                  <w:noWrap w:val="0"/>
                  <w:vAlign w:val="center"/>
                </w:tcPr>
                <w:p w14:paraId="57B1694F">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1916" w:type="pct"/>
                  <w:noWrap w:val="0"/>
                  <w:vAlign w:val="center"/>
                </w:tcPr>
                <w:p w14:paraId="6A34C220">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消防水池及泵房</w:t>
                  </w:r>
                </w:p>
              </w:tc>
              <w:tc>
                <w:tcPr>
                  <w:tcW w:w="1089" w:type="pct"/>
                  <w:noWrap w:val="0"/>
                  <w:vAlign w:val="center"/>
                </w:tcPr>
                <w:p w14:paraId="54CE2245">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3D1A049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316.10</w:t>
                  </w:r>
                </w:p>
              </w:tc>
            </w:tr>
            <w:tr w14:paraId="50AFC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349D0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2479" w:type="pct"/>
                  <w:gridSpan w:val="3"/>
                  <w:noWrap w:val="0"/>
                  <w:vAlign w:val="center"/>
                </w:tcPr>
                <w:p w14:paraId="087774ED">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计容建筑面积</w:t>
                  </w:r>
                </w:p>
              </w:tc>
              <w:tc>
                <w:tcPr>
                  <w:tcW w:w="1089" w:type="pct"/>
                  <w:noWrap w:val="0"/>
                  <w:vAlign w:val="center"/>
                </w:tcPr>
                <w:p w14:paraId="0ABE6113">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D3D8F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79225.15</w:t>
                  </w:r>
                </w:p>
              </w:tc>
            </w:tr>
            <w:tr w14:paraId="1AC90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4BA8DA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279" w:type="pct"/>
                  <w:vMerge w:val="restart"/>
                  <w:noWrap w:val="0"/>
                  <w:vAlign w:val="center"/>
                </w:tcPr>
                <w:p w14:paraId="552FB68E">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3B4614F0">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地上计容建筑面积</w:t>
                  </w:r>
                </w:p>
              </w:tc>
              <w:tc>
                <w:tcPr>
                  <w:tcW w:w="1089" w:type="pct"/>
                  <w:noWrap w:val="0"/>
                  <w:vAlign w:val="center"/>
                </w:tcPr>
                <w:p w14:paraId="6CD1E176">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D87AA6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79225.15</w:t>
                  </w:r>
                </w:p>
              </w:tc>
            </w:tr>
            <w:tr w14:paraId="47BFA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8DDDE6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279" w:type="pct"/>
                  <w:vMerge w:val="continue"/>
                  <w:noWrap w:val="0"/>
                  <w:vAlign w:val="center"/>
                </w:tcPr>
                <w:p w14:paraId="5232710E">
                  <w:pPr>
                    <w:adjustRightInd w:val="0"/>
                    <w:snapToGrid w:val="0"/>
                    <w:spacing w:line="240" w:lineRule="auto"/>
                    <w:jc w:val="center"/>
                    <w:rPr>
                      <w:rFonts w:hint="default" w:cs="Times New Roman"/>
                      <w:color w:val="auto"/>
                      <w:sz w:val="21"/>
                      <w:szCs w:val="21"/>
                      <w:highlight w:val="none"/>
                      <w:lang w:val="en-US" w:eastAsia="zh-CN"/>
                    </w:rPr>
                  </w:pPr>
                </w:p>
              </w:tc>
              <w:tc>
                <w:tcPr>
                  <w:tcW w:w="2200" w:type="pct"/>
                  <w:gridSpan w:val="2"/>
                  <w:noWrap w:val="0"/>
                  <w:vAlign w:val="center"/>
                </w:tcPr>
                <w:p w14:paraId="145A3339">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地下计容建筑面积</w:t>
                  </w:r>
                </w:p>
              </w:tc>
              <w:tc>
                <w:tcPr>
                  <w:tcW w:w="1089" w:type="pct"/>
                  <w:noWrap w:val="0"/>
                  <w:vAlign w:val="center"/>
                </w:tcPr>
                <w:p w14:paraId="0EBFB718">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A91259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w:t>
                  </w:r>
                </w:p>
              </w:tc>
            </w:tr>
            <w:tr w14:paraId="48C38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51A8DF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2479" w:type="pct"/>
                  <w:gridSpan w:val="3"/>
                  <w:noWrap w:val="0"/>
                  <w:vAlign w:val="center"/>
                </w:tcPr>
                <w:p w14:paraId="2AF793F2">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不计容建筑面积</w:t>
                  </w:r>
                </w:p>
              </w:tc>
              <w:tc>
                <w:tcPr>
                  <w:tcW w:w="1089" w:type="pct"/>
                  <w:noWrap w:val="0"/>
                  <w:vAlign w:val="center"/>
                </w:tcPr>
                <w:p w14:paraId="1175D17C">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0D1396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372.20</w:t>
                  </w:r>
                </w:p>
              </w:tc>
            </w:tr>
            <w:tr w14:paraId="78C6A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7D1B06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w:t>
                  </w:r>
                </w:p>
              </w:tc>
              <w:tc>
                <w:tcPr>
                  <w:tcW w:w="279" w:type="pct"/>
                  <w:vMerge w:val="restart"/>
                  <w:noWrap w:val="0"/>
                  <w:vAlign w:val="center"/>
                </w:tcPr>
                <w:p w14:paraId="3EDDBE67">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25C68571">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地上计容建筑面积</w:t>
                  </w:r>
                </w:p>
              </w:tc>
              <w:tc>
                <w:tcPr>
                  <w:tcW w:w="1089" w:type="pct"/>
                  <w:noWrap w:val="0"/>
                  <w:vAlign w:val="center"/>
                </w:tcPr>
                <w:p w14:paraId="2FB394DE">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D50D22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w:t>
                  </w:r>
                </w:p>
              </w:tc>
            </w:tr>
            <w:tr w14:paraId="1DB1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8F3A38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279" w:type="pct"/>
                  <w:vMerge w:val="continue"/>
                  <w:noWrap w:val="0"/>
                  <w:vAlign w:val="center"/>
                </w:tcPr>
                <w:p w14:paraId="425D4854">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607085B">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地下计容建筑面积</w:t>
                  </w:r>
                </w:p>
              </w:tc>
              <w:tc>
                <w:tcPr>
                  <w:tcW w:w="1089" w:type="pct"/>
                  <w:noWrap w:val="0"/>
                  <w:vAlign w:val="center"/>
                </w:tcPr>
                <w:p w14:paraId="139C8409">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3798C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372.20</w:t>
                  </w:r>
                </w:p>
              </w:tc>
            </w:tr>
            <w:tr w14:paraId="7D60F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01869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21</w:t>
                  </w:r>
                </w:p>
              </w:tc>
              <w:tc>
                <w:tcPr>
                  <w:tcW w:w="2479" w:type="pct"/>
                  <w:gridSpan w:val="3"/>
                  <w:noWrap w:val="0"/>
                  <w:vAlign w:val="center"/>
                </w:tcPr>
                <w:p w14:paraId="6864EBB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绿地面积</w:t>
                  </w:r>
                </w:p>
              </w:tc>
              <w:tc>
                <w:tcPr>
                  <w:tcW w:w="1089" w:type="pct"/>
                  <w:noWrap w:val="0"/>
                  <w:vAlign w:val="center"/>
                </w:tcPr>
                <w:p w14:paraId="20F9C857">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0924CC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8130.90</w:t>
                  </w:r>
                </w:p>
              </w:tc>
            </w:tr>
            <w:tr w14:paraId="5EF7A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85945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22</w:t>
                  </w:r>
                </w:p>
              </w:tc>
              <w:tc>
                <w:tcPr>
                  <w:tcW w:w="2479" w:type="pct"/>
                  <w:gridSpan w:val="3"/>
                  <w:noWrap w:val="0"/>
                  <w:vAlign w:val="center"/>
                </w:tcPr>
                <w:p w14:paraId="37EAE506">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绿地率</w:t>
                  </w:r>
                </w:p>
              </w:tc>
              <w:tc>
                <w:tcPr>
                  <w:tcW w:w="1089" w:type="pct"/>
                  <w:noWrap w:val="0"/>
                  <w:vAlign w:val="center"/>
                </w:tcPr>
                <w:p w14:paraId="687D99B8">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04" w:type="pct"/>
                  <w:noWrap w:val="0"/>
                  <w:vAlign w:val="center"/>
                </w:tcPr>
                <w:p w14:paraId="1AF0054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15.02</w:t>
                  </w:r>
                </w:p>
              </w:tc>
            </w:tr>
            <w:tr w14:paraId="08BD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EC6B5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2479" w:type="pct"/>
                  <w:gridSpan w:val="3"/>
                  <w:noWrap w:val="0"/>
                  <w:vAlign w:val="center"/>
                </w:tcPr>
                <w:p w14:paraId="6741ACE5">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容积率</w:t>
                  </w:r>
                </w:p>
              </w:tc>
              <w:tc>
                <w:tcPr>
                  <w:tcW w:w="1089" w:type="pct"/>
                  <w:noWrap w:val="0"/>
                  <w:vAlign w:val="center"/>
                </w:tcPr>
                <w:p w14:paraId="3A45F6B8">
                  <w:pPr>
                    <w:spacing w:line="240" w:lineRule="auto"/>
                    <w:jc w:val="center"/>
                    <w:rPr>
                      <w:rFonts w:hint="default" w:ascii="Times New Roman" w:hAnsi="Times New Roman" w:eastAsia="宋体" w:cs="Times New Roman"/>
                      <w:color w:val="auto"/>
                      <w:sz w:val="21"/>
                      <w:szCs w:val="21"/>
                      <w:highlight w:val="none"/>
                    </w:rPr>
                  </w:pPr>
                  <w:r>
                    <w:rPr>
                      <w:rFonts w:hint="eastAsia" w:cs="Times New Roman"/>
                      <w:snapToGrid/>
                      <w:color w:val="auto"/>
                      <w:kern w:val="2"/>
                      <w:sz w:val="21"/>
                      <w:szCs w:val="21"/>
                      <w:highlight w:val="none"/>
                      <w:lang w:val="en-US" w:eastAsia="zh-CN" w:bidi="ar-SA"/>
                    </w:rPr>
                    <w:t>/</w:t>
                  </w:r>
                </w:p>
              </w:tc>
              <w:tc>
                <w:tcPr>
                  <w:tcW w:w="1104" w:type="pct"/>
                  <w:noWrap w:val="0"/>
                  <w:vAlign w:val="center"/>
                </w:tcPr>
                <w:p w14:paraId="1F97243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1.46</w:t>
                  </w:r>
                </w:p>
              </w:tc>
            </w:tr>
            <w:tr w14:paraId="718FC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1DBF2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24</w:t>
                  </w:r>
                </w:p>
              </w:tc>
              <w:tc>
                <w:tcPr>
                  <w:tcW w:w="2479" w:type="pct"/>
                  <w:gridSpan w:val="3"/>
                  <w:noWrap w:val="0"/>
                  <w:vAlign w:val="center"/>
                </w:tcPr>
                <w:p w14:paraId="389BB3E8">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建筑密度</w:t>
                  </w:r>
                </w:p>
              </w:tc>
              <w:tc>
                <w:tcPr>
                  <w:tcW w:w="1089" w:type="pct"/>
                  <w:noWrap w:val="0"/>
                  <w:vAlign w:val="center"/>
                </w:tcPr>
                <w:p w14:paraId="465AABE2">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1104" w:type="pct"/>
                  <w:noWrap w:val="0"/>
                  <w:vAlign w:val="center"/>
                </w:tcPr>
                <w:p w14:paraId="56DD720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59.73</w:t>
                  </w:r>
                </w:p>
              </w:tc>
            </w:tr>
            <w:tr w14:paraId="3227E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194B8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w:t>
                  </w:r>
                </w:p>
              </w:tc>
              <w:tc>
                <w:tcPr>
                  <w:tcW w:w="2479" w:type="pct"/>
                  <w:gridSpan w:val="3"/>
                  <w:noWrap w:val="0"/>
                  <w:vAlign w:val="center"/>
                </w:tcPr>
                <w:p w14:paraId="180872D0">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机动车停车位(小型汽车为标准当量)</w:t>
                  </w:r>
                </w:p>
              </w:tc>
              <w:tc>
                <w:tcPr>
                  <w:tcW w:w="1089" w:type="pct"/>
                  <w:noWrap w:val="0"/>
                  <w:vAlign w:val="center"/>
                </w:tcPr>
                <w:p w14:paraId="4A80E1FF">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个</w:t>
                  </w:r>
                </w:p>
              </w:tc>
              <w:tc>
                <w:tcPr>
                  <w:tcW w:w="1104" w:type="pct"/>
                  <w:noWrap w:val="0"/>
                  <w:vAlign w:val="center"/>
                </w:tcPr>
                <w:p w14:paraId="7FAD78B2">
                  <w:pPr>
                    <w:widowControl w:val="0"/>
                    <w:kinsoku/>
                    <w:autoSpaceDE/>
                    <w:autoSpaceDN/>
                    <w:adjustRightInd/>
                    <w:snapToGrid/>
                    <w:spacing w:line="240" w:lineRule="auto"/>
                    <w:jc w:val="center"/>
                    <w:textAlignment w:val="auto"/>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132</w:t>
                  </w:r>
                </w:p>
              </w:tc>
            </w:tr>
          </w:tbl>
          <w:p w14:paraId="6E19ECFC">
            <w:pPr>
              <w:keepNext w:val="0"/>
              <w:keepLines w:val="0"/>
              <w:pageBreakBefore w:val="0"/>
              <w:widowControl w:val="0"/>
              <w:kinsoku/>
              <w:wordWrap/>
              <w:overflowPunct/>
              <w:topLinePunct w:val="0"/>
              <w:autoSpaceDE/>
              <w:autoSpaceDN/>
              <w:bidi w:val="0"/>
              <w:adjustRightInd/>
              <w:snapToGrid/>
              <w:spacing w:line="120" w:lineRule="auto"/>
              <w:ind w:firstLine="361" w:firstLineChars="200"/>
              <w:textAlignment w:val="auto"/>
              <w:rPr>
                <w:rFonts w:hint="default" w:ascii="Times New Roman" w:hAnsi="Times New Roman" w:cs="Times New Roman"/>
                <w:b/>
                <w:color w:val="auto"/>
                <w:sz w:val="18"/>
                <w:szCs w:val="18"/>
                <w:highlight w:val="none"/>
              </w:rPr>
            </w:pPr>
          </w:p>
          <w:p w14:paraId="3BD816D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r>
              <w:rPr>
                <w:rFonts w:hint="eastAsia" w:ascii="Times New Roman" w:hAnsi="Times New Roman" w:eastAsia="宋体" w:cs="Times New Roman"/>
                <w:b/>
                <w:bCs/>
                <w:color w:val="auto"/>
                <w:sz w:val="21"/>
                <w:szCs w:val="21"/>
                <w:highlight w:val="none"/>
                <w:lang w:val="en-US" w:eastAsia="zh-CN"/>
              </w:rPr>
              <w:t>建筑物</w:t>
            </w:r>
            <w:r>
              <w:rPr>
                <w:rFonts w:hint="default" w:ascii="Times New Roman" w:hAnsi="Times New Roman" w:eastAsia="宋体" w:cs="Times New Roman"/>
                <w:b/>
                <w:bCs/>
                <w:color w:val="auto"/>
                <w:sz w:val="21"/>
                <w:szCs w:val="21"/>
                <w:highlight w:val="none"/>
              </w:rPr>
              <w:t>一览表</w:t>
            </w:r>
          </w:p>
          <w:tbl>
            <w:tblPr>
              <w:tblStyle w:val="48"/>
              <w:tblW w:w="84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7"/>
              <w:gridCol w:w="1275"/>
              <w:gridCol w:w="1909"/>
              <w:gridCol w:w="1350"/>
              <w:gridCol w:w="2756"/>
            </w:tblGrid>
            <w:tr w14:paraId="6D97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E1C0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建筑名称</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B84A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建筑层数</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586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总</w:t>
                  </w:r>
                  <w:r>
                    <w:rPr>
                      <w:rFonts w:hint="default" w:ascii="Times New Roman" w:hAnsi="Times New Roman" w:eastAsia="宋体" w:cs="Times New Roman"/>
                      <w:b/>
                      <w:bCs/>
                      <w:i w:val="0"/>
                      <w:iCs w:val="0"/>
                      <w:color w:val="auto"/>
                      <w:sz w:val="21"/>
                      <w:szCs w:val="21"/>
                      <w:highlight w:val="none"/>
                      <w:u w:val="none"/>
                      <w:lang w:val="en-US" w:eastAsia="zh-CN"/>
                    </w:rPr>
                    <w:t>建筑面积（m</w:t>
                  </w:r>
                  <w:r>
                    <w:rPr>
                      <w:rFonts w:hint="default" w:ascii="Times New Roman" w:hAnsi="Times New Roman" w:eastAsia="宋体" w:cs="Times New Roman"/>
                      <w:b/>
                      <w:bCs/>
                      <w:i w:val="0"/>
                      <w:iCs w:val="0"/>
                      <w:color w:val="auto"/>
                      <w:sz w:val="21"/>
                      <w:szCs w:val="21"/>
                      <w:highlight w:val="none"/>
                      <w:u w:val="none"/>
                      <w:vertAlign w:val="superscript"/>
                      <w:lang w:val="en-US" w:eastAsia="zh-CN"/>
                    </w:rPr>
                    <w:t>2</w:t>
                  </w:r>
                  <w:r>
                    <w:rPr>
                      <w:rFonts w:hint="default" w:ascii="Times New Roman" w:hAnsi="Times New Roman" w:eastAsia="宋体" w:cs="Times New Roman"/>
                      <w:b/>
                      <w:bCs/>
                      <w:i w:val="0"/>
                      <w:iCs w:val="0"/>
                      <w:color w:val="auto"/>
                      <w:sz w:val="21"/>
                      <w:szCs w:val="21"/>
                      <w:highlight w:val="none"/>
                      <w:u w:val="none"/>
                      <w:lang w:val="en-US" w:eastAsia="zh-CN"/>
                    </w:rPr>
                    <w:t>）</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09C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sz w:val="21"/>
                      <w:szCs w:val="21"/>
                      <w:highlight w:val="none"/>
                      <w:u w:val="none"/>
                      <w:lang w:val="en-US" w:eastAsia="zh-CN"/>
                    </w:rPr>
                    <w:t>高（m）</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7A280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建筑功能</w:t>
                  </w:r>
                </w:p>
              </w:tc>
            </w:tr>
            <w:tr w14:paraId="36159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79EB8692">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综合楼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49B2C8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2"/>
                      <w:sz w:val="21"/>
                      <w:szCs w:val="21"/>
                      <w:highlight w:val="none"/>
                      <w:u w:val="none"/>
                      <w:lang w:val="en-US" w:eastAsia="zh-CN" w:bidi="ar-SA"/>
                    </w:rPr>
                    <w:t>9F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08E0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9376.38</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CDCB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bidi="ar-SA"/>
                    </w:rPr>
                    <w:t>39.60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1D91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一至六层为研发车间，七至九层为办公室</w:t>
                  </w:r>
                </w:p>
              </w:tc>
            </w:tr>
            <w:tr w14:paraId="6781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2BCB6FBC">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宿舍楼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9333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5</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66DA004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3734.40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8F6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20.10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65D6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宿舍</w:t>
                  </w:r>
                </w:p>
              </w:tc>
            </w:tr>
            <w:tr w14:paraId="2FFC9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468F9E4">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519DA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7C0535D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5420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16C64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开料、冲压车间</w:t>
                  </w:r>
                </w:p>
              </w:tc>
            </w:tr>
            <w:tr w14:paraId="0D9A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052D86B3">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EB5F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8010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6A9FB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2F1C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折弯车间</w:t>
                  </w:r>
                </w:p>
              </w:tc>
            </w:tr>
            <w:tr w14:paraId="5447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A806284">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7A2C7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80B4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5311.49</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9963C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B543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焊接、抛光打磨车间</w:t>
                  </w:r>
                </w:p>
              </w:tc>
            </w:tr>
            <w:tr w14:paraId="5F5B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3EE9241">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9682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32968F1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5824.00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77E58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29C12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喷漆、喷粉、固化</w:t>
                  </w:r>
                  <w:r>
                    <w:rPr>
                      <w:rFonts w:hint="eastAsia" w:ascii="Times New Roman" w:hAnsi="Times New Roman" w:eastAsia="宋体" w:cs="Times New Roman"/>
                      <w:i w:val="0"/>
                      <w:iCs w:val="0"/>
                      <w:color w:val="auto"/>
                      <w:kern w:val="0"/>
                      <w:sz w:val="21"/>
                      <w:szCs w:val="21"/>
                      <w:highlight w:val="none"/>
                      <w:u w:val="none"/>
                      <w:lang w:val="en-US" w:eastAsia="zh-CN" w:bidi="ar"/>
                    </w:rPr>
                    <w:t>组装车间</w:t>
                  </w:r>
                </w:p>
              </w:tc>
            </w:tr>
            <w:tr w14:paraId="33B7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B0BBB18">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32CB9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15E06B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6780.00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993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45B9F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车间</w:t>
                  </w:r>
                </w:p>
              </w:tc>
            </w:tr>
          </w:tbl>
          <w:p w14:paraId="33B20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zh-CN"/>
              </w:rPr>
            </w:pPr>
          </w:p>
          <w:p w14:paraId="19F8B4A2">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工程组成一览表</w:t>
            </w:r>
          </w:p>
          <w:tbl>
            <w:tblPr>
              <w:tblStyle w:val="48"/>
              <w:tblW w:w="503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1"/>
              <w:gridCol w:w="1074"/>
              <w:gridCol w:w="1228"/>
              <w:gridCol w:w="5513"/>
            </w:tblGrid>
            <w:tr w14:paraId="0F4B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7662C7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635CB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项目类别</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007A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建设内容</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52878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位置、用途、占地面积</w:t>
                  </w:r>
                </w:p>
              </w:tc>
            </w:tr>
            <w:tr w14:paraId="2EDC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37DE46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5" w:type="pct"/>
                  <w:vMerge w:val="restart"/>
                  <w:tcBorders>
                    <w:top w:val="single" w:color="000000" w:sz="4" w:space="0"/>
                    <w:left w:val="single" w:color="000000" w:sz="4" w:space="0"/>
                    <w:right w:val="single" w:color="000000" w:sz="4" w:space="0"/>
                  </w:tcBorders>
                  <w:noWrap w:val="0"/>
                  <w:vAlign w:val="center"/>
                </w:tcPr>
                <w:p w14:paraId="5A67DC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主体工程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4FAF5ED">
                  <w:pPr>
                    <w:adjustRightInd w:val="0"/>
                    <w:snapToGrid w:val="0"/>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1#厂房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F523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w:t>
                  </w:r>
                  <w:r>
                    <w:rPr>
                      <w:rFonts w:hint="eastAsia"/>
                      <w:color w:val="auto"/>
                      <w:highlight w:val="none"/>
                    </w:rPr>
                    <w:t>6272.00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中心以西南处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w:t>
                  </w:r>
                  <w:r>
                    <w:rPr>
                      <w:rFonts w:hint="eastAsia" w:ascii="Times New Roman" w:hAnsi="Times New Roman" w:eastAsia="宋体" w:cs="Times New Roman"/>
                      <w:i w:val="0"/>
                      <w:iCs w:val="0"/>
                      <w:color w:val="auto"/>
                      <w:kern w:val="0"/>
                      <w:sz w:val="21"/>
                      <w:szCs w:val="21"/>
                      <w:highlight w:val="none"/>
                      <w:u w:val="none"/>
                      <w:lang w:val="en-US" w:eastAsia="zh-CN" w:bidi="ar"/>
                    </w:rPr>
                    <w:t>开料、</w:t>
                  </w:r>
                  <w:r>
                    <w:rPr>
                      <w:rFonts w:hint="default" w:ascii="Times New Roman" w:hAnsi="Times New Roman" w:eastAsia="宋体" w:cs="Times New Roman"/>
                      <w:i w:val="0"/>
                      <w:iCs w:val="0"/>
                      <w:color w:val="auto"/>
                      <w:kern w:val="0"/>
                      <w:sz w:val="21"/>
                      <w:szCs w:val="21"/>
                      <w:highlight w:val="none"/>
                      <w:u w:val="none"/>
                      <w:lang w:val="en-US" w:eastAsia="zh-CN" w:bidi="ar"/>
                    </w:rPr>
                    <w:t>冲压等工序</w:t>
                  </w:r>
                </w:p>
              </w:tc>
            </w:tr>
            <w:tr w14:paraId="70B7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6EA10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6D87D0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DD1B49C">
                  <w:pPr>
                    <w:adjustRightInd w:val="0"/>
                    <w:snapToGrid w:val="0"/>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2#厂房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4828D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#厂房，为1层建筑，建筑面积6272.00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中心以西处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，主要工序为：折弯工序</w:t>
                  </w:r>
                </w:p>
              </w:tc>
            </w:tr>
            <w:tr w14:paraId="6CE1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710BCC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67EA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D4A2B25">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sz w:val="21"/>
                      <w:szCs w:val="21"/>
                      <w:highlight w:val="none"/>
                      <w:lang w:val="en-US" w:eastAsia="zh-CN"/>
                    </w:rPr>
                    <w:t>3#厂房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A82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#厂房，为1层建筑，建筑面积5311.49</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中心以南处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，主要工序为：焊接、抛光打磨工序</w:t>
                  </w:r>
                </w:p>
              </w:tc>
            </w:tr>
            <w:tr w14:paraId="7905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vMerge w:val="continue"/>
                  <w:tcBorders>
                    <w:left w:val="single" w:color="000000" w:sz="4" w:space="0"/>
                    <w:right w:val="single" w:color="000000" w:sz="4" w:space="0"/>
                  </w:tcBorders>
                  <w:noWrap w:val="0"/>
                  <w:vAlign w:val="center"/>
                </w:tcPr>
                <w:p w14:paraId="05540E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C1558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24CBF3">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sz w:val="21"/>
                      <w:szCs w:val="21"/>
                      <w:highlight w:val="none"/>
                      <w:lang w:val="en-US" w:eastAsia="zh-CN"/>
                    </w:rPr>
                    <w:t>4#厂房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374CB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#厂房，为1层建筑，建筑面积5824.00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中心处</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设置1条油粉共线，1条静电喷粉线。</w:t>
                  </w:r>
                  <w:r>
                    <w:rPr>
                      <w:rFonts w:hint="default" w:ascii="Times New Roman" w:hAnsi="Times New Roman" w:eastAsia="宋体" w:cs="Times New Roman"/>
                      <w:i w:val="0"/>
                      <w:iCs w:val="0"/>
                      <w:color w:val="auto"/>
                      <w:kern w:val="0"/>
                      <w:sz w:val="21"/>
                      <w:szCs w:val="21"/>
                      <w:highlight w:val="none"/>
                      <w:u w:val="none"/>
                      <w:lang w:val="en-US" w:eastAsia="zh-CN" w:bidi="ar"/>
                    </w:rPr>
                    <w:t>主要工序为：</w:t>
                  </w:r>
                  <w:r>
                    <w:rPr>
                      <w:rFonts w:hint="eastAsia" w:cs="Times New Roman"/>
                      <w:i w:val="0"/>
                      <w:iCs w:val="0"/>
                      <w:color w:val="auto"/>
                      <w:kern w:val="0"/>
                      <w:sz w:val="21"/>
                      <w:szCs w:val="21"/>
                      <w:highlight w:val="none"/>
                      <w:u w:val="none"/>
                      <w:lang w:val="en-US" w:eastAsia="zh-CN" w:bidi="ar"/>
                    </w:rPr>
                    <w:t>喷漆、喷粉、固化、</w:t>
                  </w:r>
                  <w:r>
                    <w:rPr>
                      <w:rFonts w:hint="eastAsia" w:ascii="Times New Roman" w:hAnsi="Times New Roman" w:eastAsia="宋体" w:cs="Times New Roman"/>
                      <w:i w:val="0"/>
                      <w:iCs w:val="0"/>
                      <w:color w:val="auto"/>
                      <w:kern w:val="0"/>
                      <w:sz w:val="21"/>
                      <w:szCs w:val="21"/>
                      <w:highlight w:val="none"/>
                      <w:u w:val="none"/>
                      <w:lang w:val="en-US" w:eastAsia="zh-CN" w:bidi="ar"/>
                    </w:rPr>
                    <w:t>组装</w:t>
                  </w:r>
                  <w:r>
                    <w:rPr>
                      <w:rFonts w:hint="default" w:ascii="Times New Roman" w:hAnsi="Times New Roman" w:eastAsia="宋体" w:cs="Times New Roman"/>
                      <w:i w:val="0"/>
                      <w:iCs w:val="0"/>
                      <w:color w:val="auto"/>
                      <w:kern w:val="0"/>
                      <w:sz w:val="21"/>
                      <w:szCs w:val="21"/>
                      <w:highlight w:val="none"/>
                      <w:u w:val="none"/>
                      <w:lang w:val="en-US" w:eastAsia="zh-CN" w:bidi="ar"/>
                    </w:rPr>
                    <w:t>工序</w:t>
                  </w:r>
                </w:p>
              </w:tc>
            </w:tr>
            <w:tr w14:paraId="27C65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4C91FF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bottom w:val="single" w:color="000000" w:sz="4" w:space="0"/>
                    <w:right w:val="single" w:color="000000" w:sz="4" w:space="0"/>
                  </w:tcBorders>
                  <w:noWrap w:val="0"/>
                  <w:vAlign w:val="center"/>
                </w:tcPr>
                <w:p w14:paraId="773F8A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EA9E6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5#厂房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ADC16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#厂房，为</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层建筑，建筑面积6780.00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ascii="Times New Roman" w:hAnsi="Times New Roman" w:eastAsia="宋体" w:cs="Times New Roman"/>
                      <w:i w:val="0"/>
                      <w:iCs w:val="0"/>
                      <w:color w:val="auto"/>
                      <w:kern w:val="0"/>
                      <w:sz w:val="21"/>
                      <w:szCs w:val="21"/>
                      <w:highlight w:val="none"/>
                      <w:u w:val="none"/>
                      <w:lang w:val="en-US" w:eastAsia="zh-CN" w:bidi="ar"/>
                    </w:rPr>
                    <w:t>北面</w:t>
                  </w:r>
                  <w:r>
                    <w:rPr>
                      <w:rFonts w:hint="default" w:ascii="Times New Roman" w:hAnsi="Times New Roman" w:eastAsia="宋体" w:cs="Times New Roman"/>
                      <w:i w:val="0"/>
                      <w:iCs w:val="0"/>
                      <w:color w:val="auto"/>
                      <w:kern w:val="0"/>
                      <w:sz w:val="21"/>
                      <w:szCs w:val="21"/>
                      <w:highlight w:val="none"/>
                      <w:u w:val="none"/>
                      <w:lang w:val="en-US" w:eastAsia="zh-CN" w:bidi="ar"/>
                    </w:rPr>
                    <w:t>。项目设有</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条</w:t>
                  </w:r>
                  <w:r>
                    <w:rPr>
                      <w:rFonts w:hint="eastAsia" w:cs="Times New Roman"/>
                      <w:i w:val="0"/>
                      <w:iCs w:val="0"/>
                      <w:color w:val="auto"/>
                      <w:kern w:val="0"/>
                      <w:sz w:val="21"/>
                      <w:szCs w:val="21"/>
                      <w:highlight w:val="none"/>
                      <w:u w:val="none"/>
                      <w:lang w:val="en-US" w:eastAsia="zh-CN" w:bidi="ar"/>
                    </w:rPr>
                    <w:t>工件</w:t>
                  </w:r>
                  <w:r>
                    <w:rPr>
                      <w:rFonts w:hint="default" w:ascii="Times New Roman" w:hAnsi="Times New Roman" w:eastAsia="宋体" w:cs="Times New Roman"/>
                      <w:i w:val="0"/>
                      <w:iCs w:val="0"/>
                      <w:color w:val="auto"/>
                      <w:kern w:val="0"/>
                      <w:sz w:val="21"/>
                      <w:szCs w:val="21"/>
                      <w:highlight w:val="none"/>
                      <w:u w:val="none"/>
                      <w:lang w:val="en-US" w:eastAsia="zh-CN" w:bidi="ar"/>
                    </w:rPr>
                    <w:t>表面预处理生产线，主要工序为：对</w:t>
                  </w:r>
                  <w:r>
                    <w:rPr>
                      <w:rFonts w:hint="eastAsia" w:cs="Times New Roman"/>
                      <w:i w:val="0"/>
                      <w:iCs w:val="0"/>
                      <w:color w:val="auto"/>
                      <w:kern w:val="0"/>
                      <w:sz w:val="21"/>
                      <w:szCs w:val="21"/>
                      <w:highlight w:val="none"/>
                      <w:u w:val="none"/>
                      <w:lang w:val="en-US" w:eastAsia="zh-CN" w:bidi="ar"/>
                    </w:rPr>
                    <w:t>工件</w:t>
                  </w:r>
                  <w:r>
                    <w:rPr>
                      <w:rFonts w:hint="default" w:ascii="Times New Roman" w:hAnsi="Times New Roman" w:eastAsia="宋体" w:cs="Times New Roman"/>
                      <w:i w:val="0"/>
                      <w:iCs w:val="0"/>
                      <w:color w:val="auto"/>
                      <w:kern w:val="0"/>
                      <w:sz w:val="21"/>
                      <w:szCs w:val="21"/>
                      <w:highlight w:val="none"/>
                      <w:u w:val="none"/>
                      <w:lang w:val="en-US" w:eastAsia="zh-CN" w:bidi="ar"/>
                    </w:rPr>
                    <w:t>进行</w:t>
                  </w:r>
                  <w:r>
                    <w:rPr>
                      <w:rFonts w:hint="eastAsia" w:ascii="Times New Roman" w:hAnsi="Times New Roman" w:eastAsia="宋体" w:cs="Times New Roman"/>
                      <w:i w:val="0"/>
                      <w:iCs w:val="0"/>
                      <w:color w:val="auto"/>
                      <w:kern w:val="0"/>
                      <w:sz w:val="21"/>
                      <w:szCs w:val="21"/>
                      <w:highlight w:val="none"/>
                      <w:u w:val="none"/>
                      <w:lang w:val="en-US" w:eastAsia="zh-CN" w:bidi="ar"/>
                    </w:rPr>
                    <w:t>脱脂</w:t>
                  </w:r>
                  <w:r>
                    <w:rPr>
                      <w:rFonts w:hint="default" w:ascii="Times New Roman" w:hAnsi="Times New Roman" w:eastAsia="宋体" w:cs="Times New Roman"/>
                      <w:i w:val="0"/>
                      <w:iCs w:val="0"/>
                      <w:color w:val="auto"/>
                      <w:kern w:val="0"/>
                      <w:sz w:val="21"/>
                      <w:szCs w:val="21"/>
                      <w:highlight w:val="none"/>
                      <w:u w:val="none"/>
                      <w:lang w:val="en-US" w:eastAsia="zh-CN" w:bidi="ar"/>
                    </w:rPr>
                    <w:t>除油、清水喷淋、钝化、烘干</w:t>
                  </w:r>
                  <w:r>
                    <w:rPr>
                      <w:rFonts w:hint="eastAsia" w:ascii="Times New Roman" w:hAnsi="Times New Roman" w:eastAsia="宋体" w:cs="Times New Roman"/>
                      <w:i w:val="0"/>
                      <w:iCs w:val="0"/>
                      <w:color w:val="auto"/>
                      <w:kern w:val="0"/>
                      <w:sz w:val="21"/>
                      <w:szCs w:val="21"/>
                      <w:highlight w:val="none"/>
                      <w:u w:val="none"/>
                      <w:lang w:val="en-US" w:eastAsia="zh-CN" w:bidi="ar"/>
                    </w:rPr>
                    <w:t>；设储存物料、产品</w:t>
                  </w:r>
                  <w:r>
                    <w:rPr>
                      <w:rFonts w:hint="default" w:ascii="Times New Roman" w:hAnsi="Times New Roman" w:eastAsia="宋体" w:cs="Times New Roman"/>
                      <w:i w:val="0"/>
                      <w:iCs w:val="0"/>
                      <w:color w:val="auto"/>
                      <w:kern w:val="0"/>
                      <w:sz w:val="21"/>
                      <w:szCs w:val="21"/>
                      <w:highlight w:val="none"/>
                      <w:u w:val="none"/>
                      <w:lang w:val="en-US" w:eastAsia="zh-CN" w:bidi="ar"/>
                    </w:rPr>
                    <w:t>仓库</w:t>
                  </w:r>
                </w:p>
              </w:tc>
            </w:tr>
            <w:tr w14:paraId="5FDE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379D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066E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辅助工程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55124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宿舍楼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AA7CA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为</w:t>
                  </w:r>
                  <w:r>
                    <w:rPr>
                      <w:rFonts w:hint="eastAsia" w:ascii="Times New Roman" w:hAnsi="Times New Roman" w:eastAsia="宋体"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w:t>
                  </w:r>
                  <w:r>
                    <w:rPr>
                      <w:rFonts w:hint="eastAsia" w:ascii="Times New Roman" w:hAnsi="Times New Roman" w:eastAsia="宋体" w:cs="Times New Roman"/>
                      <w:i w:val="0"/>
                      <w:iCs w:val="0"/>
                      <w:color w:val="auto"/>
                      <w:kern w:val="0"/>
                      <w:sz w:val="21"/>
                      <w:szCs w:val="21"/>
                      <w:highlight w:val="none"/>
                      <w:u w:val="none"/>
                      <w:lang w:val="en-US" w:eastAsia="zh-CN" w:bidi="ar"/>
                    </w:rPr>
                    <w:t>为3734.40m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，设置在项目厂区</w:t>
                  </w:r>
                  <w:r>
                    <w:rPr>
                      <w:rFonts w:hint="eastAsia" w:cs="Times New Roman"/>
                      <w:i w:val="0"/>
                      <w:iCs w:val="0"/>
                      <w:color w:val="auto"/>
                      <w:kern w:val="0"/>
                      <w:sz w:val="21"/>
                      <w:szCs w:val="21"/>
                      <w:highlight w:val="none"/>
                      <w:u w:val="none"/>
                      <w:lang w:val="en-US" w:eastAsia="zh-CN" w:bidi="ar"/>
                    </w:rPr>
                    <w:t>东南面</w:t>
                  </w:r>
                  <w:r>
                    <w:rPr>
                      <w:rFonts w:hint="default" w:ascii="Times New Roman" w:hAnsi="Times New Roman" w:eastAsia="宋体" w:cs="Times New Roman"/>
                      <w:i w:val="0"/>
                      <w:iCs w:val="0"/>
                      <w:color w:val="auto"/>
                      <w:kern w:val="0"/>
                      <w:sz w:val="21"/>
                      <w:szCs w:val="21"/>
                      <w:highlight w:val="none"/>
                      <w:u w:val="none"/>
                      <w:lang w:val="en-US" w:eastAsia="zh-CN" w:bidi="ar"/>
                    </w:rPr>
                    <w:t>，为员工提供</w:t>
                  </w:r>
                  <w:r>
                    <w:rPr>
                      <w:rFonts w:hint="eastAsia" w:ascii="Times New Roman" w:hAnsi="Times New Roman" w:eastAsia="宋体" w:cs="Times New Roman"/>
                      <w:i w:val="0"/>
                      <w:iCs w:val="0"/>
                      <w:color w:val="auto"/>
                      <w:kern w:val="0"/>
                      <w:sz w:val="21"/>
                      <w:szCs w:val="21"/>
                      <w:highlight w:val="none"/>
                      <w:u w:val="none"/>
                      <w:lang w:val="en-US" w:eastAsia="zh-CN" w:bidi="ar"/>
                    </w:rPr>
                    <w:t>食</w:t>
                  </w:r>
                  <w:r>
                    <w:rPr>
                      <w:rFonts w:hint="default" w:ascii="Times New Roman" w:hAnsi="Times New Roman" w:eastAsia="宋体" w:cs="Times New Roman"/>
                      <w:i w:val="0"/>
                      <w:iCs w:val="0"/>
                      <w:color w:val="auto"/>
                      <w:kern w:val="0"/>
                      <w:sz w:val="21"/>
                      <w:szCs w:val="21"/>
                      <w:highlight w:val="none"/>
                      <w:u w:val="none"/>
                      <w:lang w:val="en-US" w:eastAsia="zh-CN" w:bidi="ar"/>
                    </w:rPr>
                    <w:t>宿</w:t>
                  </w:r>
                </w:p>
              </w:tc>
            </w:tr>
            <w:tr w14:paraId="2221C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9F36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E6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CB53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综合楼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E49C4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为</w:t>
                  </w:r>
                  <w:r>
                    <w:rPr>
                      <w:rFonts w:hint="eastAsia" w:cs="Times New Roman"/>
                      <w:i w:val="0"/>
                      <w:iCs w:val="0"/>
                      <w:color w:val="auto"/>
                      <w:kern w:val="0"/>
                      <w:sz w:val="21"/>
                      <w:szCs w:val="21"/>
                      <w:highlight w:val="none"/>
                      <w:u w:val="none"/>
                      <w:lang w:val="en-US" w:eastAsia="zh-CN" w:bidi="ar"/>
                    </w:rPr>
                    <w:t>9</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层建筑，建筑面积为9376.38</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设置在</w:t>
                  </w:r>
                  <w:r>
                    <w:rPr>
                      <w:rFonts w:hint="default" w:ascii="Times New Roman" w:hAnsi="Times New Roman" w:eastAsia="宋体" w:cs="Times New Roman"/>
                      <w:i w:val="0"/>
                      <w:iCs w:val="0"/>
                      <w:color w:val="auto"/>
                      <w:kern w:val="0"/>
                      <w:sz w:val="21"/>
                      <w:szCs w:val="21"/>
                      <w:highlight w:val="none"/>
                      <w:u w:val="none"/>
                      <w:lang w:val="en-US" w:eastAsia="zh-CN" w:bidi="ar"/>
                    </w:rPr>
                    <w:t>项目厂区东</w:t>
                  </w:r>
                  <w:r>
                    <w:rPr>
                      <w:rFonts w:hint="eastAsia" w:ascii="Times New Roman" w:hAnsi="Times New Roman" w:eastAsia="宋体" w:cs="Times New Roman"/>
                      <w:i w:val="0"/>
                      <w:iCs w:val="0"/>
                      <w:color w:val="auto"/>
                      <w:kern w:val="0"/>
                      <w:sz w:val="21"/>
                      <w:szCs w:val="21"/>
                      <w:highlight w:val="none"/>
                      <w:u w:val="none"/>
                      <w:lang w:val="en-US" w:eastAsia="zh-CN" w:bidi="ar"/>
                    </w:rPr>
                    <w:t>北</w:t>
                  </w:r>
                  <w:r>
                    <w:rPr>
                      <w:rFonts w:hint="default" w:ascii="Times New Roman" w:hAnsi="Times New Roman" w:eastAsia="宋体" w:cs="Times New Roman"/>
                      <w:i w:val="0"/>
                      <w:iCs w:val="0"/>
                      <w:color w:val="auto"/>
                      <w:kern w:val="0"/>
                      <w:sz w:val="21"/>
                      <w:szCs w:val="21"/>
                      <w:highlight w:val="none"/>
                      <w:u w:val="none"/>
                      <w:lang w:val="en-US" w:eastAsia="zh-CN" w:bidi="ar"/>
                    </w:rPr>
                    <w:t>侧，主要用于</w:t>
                  </w:r>
                  <w:r>
                    <w:rPr>
                      <w:rFonts w:hint="eastAsia" w:ascii="Times New Roman" w:hAnsi="Times New Roman" w:eastAsia="宋体" w:cs="Times New Roman"/>
                      <w:i w:val="0"/>
                      <w:iCs w:val="0"/>
                      <w:color w:val="auto"/>
                      <w:kern w:val="0"/>
                      <w:sz w:val="21"/>
                      <w:szCs w:val="21"/>
                      <w:highlight w:val="none"/>
                      <w:u w:val="none"/>
                      <w:lang w:val="en-US" w:eastAsia="zh-CN" w:bidi="ar"/>
                    </w:rPr>
                    <w:t>产品研发及</w:t>
                  </w:r>
                  <w:r>
                    <w:rPr>
                      <w:rFonts w:hint="default" w:ascii="Times New Roman" w:hAnsi="Times New Roman" w:eastAsia="宋体" w:cs="Times New Roman"/>
                      <w:i w:val="0"/>
                      <w:iCs w:val="0"/>
                      <w:color w:val="auto"/>
                      <w:kern w:val="0"/>
                      <w:sz w:val="21"/>
                      <w:szCs w:val="21"/>
                      <w:highlight w:val="none"/>
                      <w:u w:val="none"/>
                      <w:lang w:val="en-US" w:eastAsia="zh-CN" w:bidi="ar"/>
                    </w:rPr>
                    <w:t>员工办公</w:t>
                  </w:r>
                </w:p>
              </w:tc>
            </w:tr>
            <w:tr w14:paraId="50F4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10164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3CAFF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储运工程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89B8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仓库</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1D364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依托</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w:t>
                  </w:r>
                  <w:r>
                    <w:rPr>
                      <w:rFonts w:hint="eastAsia" w:ascii="Times New Roman" w:hAnsi="Times New Roman" w:eastAsia="宋体" w:cs="Times New Roman"/>
                      <w:i w:val="0"/>
                      <w:iCs w:val="0"/>
                      <w:color w:val="auto"/>
                      <w:kern w:val="0"/>
                      <w:sz w:val="21"/>
                      <w:szCs w:val="21"/>
                      <w:highlight w:val="none"/>
                      <w:u w:val="none"/>
                      <w:lang w:val="en-US" w:eastAsia="zh-CN" w:bidi="ar"/>
                    </w:rPr>
                    <w:t>位于5#厂房东南面</w:t>
                  </w:r>
                  <w:r>
                    <w:rPr>
                      <w:rFonts w:hint="default" w:ascii="Times New Roman" w:hAnsi="Times New Roman" w:eastAsia="宋体" w:cs="Times New Roman"/>
                      <w:i w:val="0"/>
                      <w:iCs w:val="0"/>
                      <w:color w:val="auto"/>
                      <w:kern w:val="0"/>
                      <w:sz w:val="21"/>
                      <w:szCs w:val="21"/>
                      <w:highlight w:val="none"/>
                      <w:u w:val="none"/>
                      <w:lang w:val="en-US" w:eastAsia="zh-CN" w:bidi="ar"/>
                    </w:rPr>
                    <w:t>，用于储存物料、产品</w:t>
                  </w:r>
                </w:p>
              </w:tc>
            </w:tr>
            <w:tr w14:paraId="0236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216A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0012F8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公用工程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5A49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供电</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A3929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由市政电网供给，不设备用发电机</w:t>
                  </w:r>
                </w:p>
              </w:tc>
            </w:tr>
            <w:tr w14:paraId="47FC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426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722D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D9F03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58C7ED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由当地自来水管网供给</w:t>
                  </w:r>
                </w:p>
              </w:tc>
            </w:tr>
            <w:tr w14:paraId="2634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09E4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D1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A709F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8633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天然气为当地管道天然气供给</w:t>
                  </w:r>
                </w:p>
              </w:tc>
            </w:tr>
            <w:tr w14:paraId="2C75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44FAA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35" w:type="pct"/>
                  <w:vMerge w:val="restart"/>
                  <w:tcBorders>
                    <w:top w:val="single" w:color="000000" w:sz="4" w:space="0"/>
                    <w:left w:val="single" w:color="000000" w:sz="4" w:space="0"/>
                    <w:right w:val="single" w:color="000000" w:sz="4" w:space="0"/>
                  </w:tcBorders>
                  <w:noWrap w:val="0"/>
                  <w:vAlign w:val="center"/>
                </w:tcPr>
                <w:p w14:paraId="36808F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环保工程</w:t>
                  </w:r>
                </w:p>
              </w:tc>
              <w:tc>
                <w:tcPr>
                  <w:tcW w:w="726" w:type="pct"/>
                  <w:vMerge w:val="restart"/>
                  <w:tcBorders>
                    <w:top w:val="single" w:color="000000" w:sz="4" w:space="0"/>
                    <w:left w:val="single" w:color="000000" w:sz="4" w:space="0"/>
                    <w:right w:val="single" w:color="000000" w:sz="4" w:space="0"/>
                  </w:tcBorders>
                  <w:noWrap w:val="0"/>
                  <w:vAlign w:val="center"/>
                </w:tcPr>
                <w:p w14:paraId="5F7871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451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cs="Times New Roman"/>
                      <w:color w:val="auto"/>
                      <w:sz w:val="21"/>
                      <w:szCs w:val="21"/>
                      <w:highlight w:val="none"/>
                      <w:lang w:val="en-US" w:eastAsia="zh-CN"/>
                    </w:rPr>
                    <w:t>切割粉尘、</w:t>
                  </w:r>
                  <w:r>
                    <w:rPr>
                      <w:rFonts w:hint="default" w:ascii="Times New Roman" w:hAnsi="Times New Roman" w:eastAsia="宋体" w:cs="Times New Roman"/>
                      <w:i w:val="0"/>
                      <w:iCs w:val="0"/>
                      <w:color w:val="auto"/>
                      <w:kern w:val="0"/>
                      <w:sz w:val="21"/>
                      <w:szCs w:val="21"/>
                      <w:highlight w:val="none"/>
                      <w:u w:val="none"/>
                      <w:lang w:val="en-US" w:eastAsia="zh-CN" w:bidi="ar"/>
                    </w:rPr>
                    <w:t>焊接烟尘</w:t>
                  </w:r>
                  <w:r>
                    <w:rPr>
                      <w:rFonts w:hint="eastAsia" w:ascii="Times New Roman" w:hAnsi="Times New Roman" w:cs="Times New Roman"/>
                      <w:color w:val="auto"/>
                      <w:sz w:val="21"/>
                      <w:szCs w:val="21"/>
                      <w:highlight w:val="none"/>
                      <w:lang w:val="en-US" w:eastAsia="zh-CN"/>
                    </w:rPr>
                    <w:t>在车间无组织排放，经加强车间通风处理</w:t>
                  </w:r>
                  <w:r>
                    <w:rPr>
                      <w:rFonts w:hint="eastAsia" w:cs="Times New Roman"/>
                      <w:color w:val="auto"/>
                      <w:sz w:val="21"/>
                      <w:szCs w:val="21"/>
                      <w:highlight w:val="none"/>
                      <w:lang w:val="en-US" w:eastAsia="zh-CN"/>
                    </w:rPr>
                    <w:t>；</w:t>
                  </w:r>
                  <w:r>
                    <w:rPr>
                      <w:rFonts w:hint="eastAsia"/>
                      <w:b w:val="0"/>
                      <w:color w:val="auto"/>
                      <w:szCs w:val="24"/>
                      <w:lang w:val="en-US" w:eastAsia="zh-CN"/>
                    </w:rPr>
                    <w:t>喷粉线粉尘经“</w:t>
                  </w:r>
                  <w:r>
                    <w:rPr>
                      <w:b w:val="0"/>
                      <w:color w:val="auto"/>
                      <w:szCs w:val="24"/>
                    </w:rPr>
                    <w:t>密闭车间负压收集+大旋风+滤芯式二级回收系统</w:t>
                  </w:r>
                  <w:r>
                    <w:rPr>
                      <w:rFonts w:hint="eastAsia"/>
                      <w:b w:val="0"/>
                      <w:color w:val="auto"/>
                      <w:szCs w:val="24"/>
                      <w:lang w:eastAsia="zh-CN"/>
                    </w:rPr>
                    <w:t>”</w:t>
                  </w:r>
                  <w:r>
                    <w:rPr>
                      <w:rFonts w:hint="eastAsia"/>
                      <w:b w:val="0"/>
                      <w:color w:val="auto"/>
                      <w:szCs w:val="24"/>
                      <w:lang w:val="en-US" w:eastAsia="zh-CN"/>
                    </w:rPr>
                    <w:t>处理后无组织排放</w:t>
                  </w:r>
                </w:p>
              </w:tc>
            </w:tr>
            <w:tr w14:paraId="34BE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B9121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0B4BDF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right w:val="single" w:color="000000" w:sz="4" w:space="0"/>
                  </w:tcBorders>
                  <w:noWrap w:val="0"/>
                  <w:vAlign w:val="center"/>
                </w:tcPr>
                <w:p w14:paraId="538BC8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BE5ED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抛光</w:t>
                  </w:r>
                  <w:r>
                    <w:rPr>
                      <w:rFonts w:hint="eastAsia" w:ascii="Times New Roman" w:hAnsi="Times New Roman" w:eastAsia="宋体" w:cs="Times New Roman"/>
                      <w:i w:val="0"/>
                      <w:iCs w:val="0"/>
                      <w:color w:val="auto"/>
                      <w:kern w:val="0"/>
                      <w:sz w:val="21"/>
                      <w:szCs w:val="21"/>
                      <w:highlight w:val="none"/>
                      <w:u w:val="none"/>
                      <w:lang w:val="en-US" w:eastAsia="zh-CN" w:bidi="ar"/>
                    </w:rPr>
                    <w:t>打磨</w:t>
                  </w:r>
                  <w:r>
                    <w:rPr>
                      <w:rFonts w:hint="default" w:ascii="Times New Roman" w:hAnsi="Times New Roman" w:eastAsia="宋体" w:cs="Times New Roman"/>
                      <w:i w:val="0"/>
                      <w:iCs w:val="0"/>
                      <w:color w:val="auto"/>
                      <w:kern w:val="0"/>
                      <w:sz w:val="21"/>
                      <w:szCs w:val="21"/>
                      <w:highlight w:val="none"/>
                      <w:u w:val="none"/>
                      <w:lang w:val="en-US" w:eastAsia="zh-CN" w:bidi="ar"/>
                    </w:rPr>
                    <w:t>粉尘</w:t>
                  </w:r>
                  <w:r>
                    <w:rPr>
                      <w:rFonts w:hint="eastAsia" w:cs="Times New Roman"/>
                      <w:i w:val="0"/>
                      <w:iCs w:val="0"/>
                      <w:color w:val="auto"/>
                      <w:kern w:val="0"/>
                      <w:sz w:val="21"/>
                      <w:szCs w:val="21"/>
                      <w:highlight w:val="none"/>
                      <w:u w:val="none"/>
                      <w:lang w:val="en-US" w:eastAsia="zh-CN" w:bidi="ar"/>
                    </w:rPr>
                    <w:t>经自然沉降后无组织排放于车间</w:t>
                  </w:r>
                </w:p>
              </w:tc>
            </w:tr>
            <w:tr w14:paraId="650C0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A42BB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2513BC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5A3DB8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3551AD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喷漆废气通过水帘柜+</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r>
            <w:tr w14:paraId="2617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9DF6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2B964E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2B429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6674F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固化废气</w:t>
                  </w: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val="en-US" w:eastAsia="zh-CN"/>
                    </w:rPr>
                    <w:t>二级</w:t>
                  </w:r>
                  <w:r>
                    <w:rPr>
                      <w:rFonts w:hint="default" w:ascii="Times New Roman" w:hAnsi="Times New Roman" w:eastAsia="宋体" w:cs="Times New Roman"/>
                      <w:color w:val="auto"/>
                      <w:sz w:val="21"/>
                      <w:szCs w:val="21"/>
                      <w:highlight w:val="none"/>
                    </w:rPr>
                    <w:t>活性炭</w:t>
                  </w:r>
                  <w:r>
                    <w:rPr>
                      <w:rFonts w:hint="eastAsia" w:cs="Times New Roman"/>
                      <w:color w:val="auto"/>
                      <w:sz w:val="21"/>
                      <w:szCs w:val="21"/>
                      <w:highlight w:val="none"/>
                      <w:lang w:val="en-US" w:eastAsia="zh-CN"/>
                    </w:rPr>
                    <w:t>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r>
            <w:tr w14:paraId="76FE5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634E87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19DCA4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363F9B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5732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工件表面预处理废气经碱液喷淋处理后，通过15m排气筒DA003排放</w:t>
                  </w:r>
                </w:p>
              </w:tc>
            </w:tr>
            <w:tr w14:paraId="1E19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335875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4C41A7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2D4D87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B094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食堂油烟</w:t>
                  </w:r>
                  <w:r>
                    <w:rPr>
                      <w:rFonts w:hint="eastAsia" w:cs="Times New Roman"/>
                      <w:color w:val="auto"/>
                      <w:sz w:val="21"/>
                      <w:szCs w:val="21"/>
                      <w:highlight w:val="none"/>
                      <w:vertAlign w:val="baseline"/>
                      <w:lang w:val="en-US" w:eastAsia="zh-CN"/>
                    </w:rPr>
                    <w:t>收集后经1套“高效静电油烟净化器”处理后引至宿舍楼一层天面的专用排烟管DA004进行排放</w:t>
                  </w:r>
                </w:p>
              </w:tc>
            </w:tr>
            <w:tr w14:paraId="16E5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0E13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B53D9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1F7F5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7993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外排生产废水经自建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w:t>
                  </w:r>
                  <w:r>
                    <w:rPr>
                      <w:rFonts w:hint="eastAsia" w:cs="Times New Roman"/>
                      <w:i w:val="0"/>
                      <w:iCs w:val="0"/>
                      <w:color w:val="auto"/>
                      <w:kern w:val="0"/>
                      <w:sz w:val="21"/>
                      <w:szCs w:val="21"/>
                      <w:highlight w:val="none"/>
                      <w:u w:val="none"/>
                      <w:lang w:val="en-US" w:eastAsia="zh-CN" w:bidi="ar"/>
                    </w:rPr>
                    <w:t>（处理工艺：中和调节+混凝沉淀+气浮+化学除氟）</w:t>
                  </w:r>
                  <w:r>
                    <w:rPr>
                      <w:rFonts w:hint="default" w:ascii="Times New Roman" w:hAnsi="Times New Roman" w:eastAsia="宋体" w:cs="Times New Roman"/>
                      <w:i w:val="0"/>
                      <w:iCs w:val="0"/>
                      <w:color w:val="auto"/>
                      <w:kern w:val="0"/>
                      <w:sz w:val="21"/>
                      <w:szCs w:val="21"/>
                      <w:highlight w:val="none"/>
                      <w:u w:val="none"/>
                      <w:lang w:val="en-US" w:eastAsia="zh-CN" w:bidi="ar"/>
                    </w:rPr>
                    <w:t>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生活污水</w:t>
                  </w:r>
                  <w:r>
                    <w:rPr>
                      <w:rFonts w:hint="eastAsia" w:cs="Times New Roman"/>
                      <w:i w:val="0"/>
                      <w:iCs w:val="0"/>
                      <w:color w:val="auto"/>
                      <w:kern w:val="0"/>
                      <w:sz w:val="21"/>
                      <w:szCs w:val="21"/>
                      <w:highlight w:val="none"/>
                      <w:u w:val="none"/>
                      <w:lang w:val="en-US" w:eastAsia="zh-CN" w:bidi="ar"/>
                    </w:rPr>
                    <w:t>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bCs/>
                      <w:color w:val="auto"/>
                      <w:sz w:val="21"/>
                      <w:szCs w:val="21"/>
                      <w:highlight w:val="none"/>
                      <w:lang w:val="en-US" w:eastAsia="zh-CN"/>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”预处理后排入园区污水处理厂进一步处理，处理达标后通过出水管道输送尾水，经废水排放口（WS-LC005001）排放至榴村霜降坑河，最终流入武江</w:t>
                  </w:r>
                </w:p>
              </w:tc>
            </w:tr>
            <w:tr w14:paraId="7F01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D77A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74EA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restart"/>
                  <w:tcBorders>
                    <w:top w:val="single" w:color="000000" w:sz="4" w:space="0"/>
                    <w:left w:val="single" w:color="000000" w:sz="4" w:space="0"/>
                    <w:bottom w:val="single" w:color="000000" w:sz="4" w:space="0"/>
                    <w:right w:val="single" w:color="000000" w:sz="4" w:space="0"/>
                  </w:tcBorders>
                  <w:noWrap w:val="0"/>
                  <w:vAlign w:val="center"/>
                </w:tcPr>
                <w:p w14:paraId="03EC84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固废</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206D8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设一个</w:t>
                  </w:r>
                  <w:r>
                    <w:rPr>
                      <w:rFonts w:hint="default" w:ascii="Times New Roman" w:hAnsi="Times New Roman" w:eastAsia="宋体" w:cs="Times New Roman"/>
                      <w:i w:val="0"/>
                      <w:iCs w:val="0"/>
                      <w:color w:val="auto"/>
                      <w:kern w:val="0"/>
                      <w:sz w:val="21"/>
                      <w:szCs w:val="21"/>
                      <w:highlight w:val="none"/>
                      <w:u w:val="none"/>
                      <w:lang w:val="en-US" w:eastAsia="zh-CN" w:bidi="ar"/>
                    </w:rPr>
                    <w:t>一般固体废物暂存间</w:t>
                  </w:r>
                  <w:r>
                    <w:rPr>
                      <w:rFonts w:hint="eastAsia" w:ascii="Times New Roman" w:hAnsi="Times New Roman" w:eastAsia="宋体" w:cs="Times New Roman"/>
                      <w:i w:val="0"/>
                      <w:iCs w:val="0"/>
                      <w:color w:val="auto"/>
                      <w:kern w:val="0"/>
                      <w:sz w:val="21"/>
                      <w:szCs w:val="21"/>
                      <w:highlight w:val="none"/>
                      <w:u w:val="none"/>
                      <w:lang w:val="en-US" w:eastAsia="zh-CN" w:bidi="ar"/>
                    </w:rPr>
                    <w:t>，建筑</w:t>
                  </w:r>
                  <w:r>
                    <w:rPr>
                      <w:rFonts w:hint="default" w:ascii="Times New Roman" w:hAnsi="Times New Roman" w:eastAsia="宋体" w:cs="Times New Roman"/>
                      <w:i w:val="0"/>
                      <w:iCs w:val="0"/>
                      <w:color w:val="auto"/>
                      <w:kern w:val="0"/>
                      <w:sz w:val="21"/>
                      <w:szCs w:val="21"/>
                      <w:highlight w:val="none"/>
                      <w:u w:val="none"/>
                      <w:lang w:val="en-US" w:eastAsia="zh-CN" w:bidi="ar"/>
                    </w:rPr>
                    <w:t>面积20</w:t>
                  </w:r>
                  <w:r>
                    <w:rPr>
                      <w:rFonts w:hint="default" w:ascii="Times New Roman" w:hAnsi="Times New Roman" w:cs="Times New Roman"/>
                      <w:i w:val="0"/>
                      <w:iCs w:val="0"/>
                      <w:color w:val="auto"/>
                      <w:kern w:val="0"/>
                      <w:sz w:val="21"/>
                      <w:szCs w:val="21"/>
                      <w:highlight w:val="none"/>
                      <w:u w:val="none"/>
                      <w:lang w:val="en-US" w:eastAsia="zh-CN" w:bidi="ar"/>
                    </w:rPr>
                    <w:t>平方米</w:t>
                  </w:r>
                  <w:r>
                    <w:rPr>
                      <w:rFonts w:hint="default" w:ascii="Times New Roman" w:hAnsi="Times New Roman" w:eastAsia="宋体" w:cs="Times New Roman"/>
                      <w:i w:val="0"/>
                      <w:iCs w:val="0"/>
                      <w:color w:val="auto"/>
                      <w:kern w:val="0"/>
                      <w:sz w:val="21"/>
                      <w:szCs w:val="21"/>
                      <w:highlight w:val="none"/>
                      <w:u w:val="none"/>
                      <w:lang w:val="en-US" w:eastAsia="zh-CN" w:bidi="ar"/>
                    </w:rPr>
                    <w:t>，设置于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#厂房内部</w:t>
                  </w:r>
                  <w:r>
                    <w:rPr>
                      <w:rFonts w:hint="eastAsia"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侧，用于一般固废暂存</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经收集暂存后交专业单位回收处理</w:t>
                  </w:r>
                </w:p>
              </w:tc>
            </w:tr>
            <w:tr w14:paraId="0141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7AA5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1D12E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9A95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C98B8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设一个</w:t>
                  </w:r>
                  <w:r>
                    <w:rPr>
                      <w:rFonts w:hint="eastAsia" w:cs="Times New Roman"/>
                      <w:i w:val="0"/>
                      <w:iCs w:val="0"/>
                      <w:color w:val="auto"/>
                      <w:kern w:val="0"/>
                      <w:sz w:val="21"/>
                      <w:szCs w:val="21"/>
                      <w:highlight w:val="none"/>
                      <w:u w:val="none"/>
                      <w:lang w:val="en-US" w:eastAsia="zh-CN" w:bidi="ar"/>
                    </w:rPr>
                    <w:t>危险废物贮存间</w:t>
                  </w:r>
                  <w:r>
                    <w:rPr>
                      <w:rFonts w:hint="eastAsia" w:ascii="Times New Roman" w:hAnsi="Times New Roman" w:eastAsia="宋体" w:cs="Times New Roman"/>
                      <w:i w:val="0"/>
                      <w:iCs w:val="0"/>
                      <w:color w:val="auto"/>
                      <w:kern w:val="0"/>
                      <w:sz w:val="21"/>
                      <w:szCs w:val="21"/>
                      <w:highlight w:val="none"/>
                      <w:u w:val="none"/>
                      <w:lang w:val="en-US" w:eastAsia="zh-CN" w:bidi="ar"/>
                    </w:rPr>
                    <w:t>，建筑</w:t>
                  </w:r>
                  <w:r>
                    <w:rPr>
                      <w:rFonts w:hint="default" w:ascii="Times New Roman" w:hAnsi="Times New Roman" w:eastAsia="宋体" w:cs="Times New Roman"/>
                      <w:i w:val="0"/>
                      <w:iCs w:val="0"/>
                      <w:color w:val="auto"/>
                      <w:kern w:val="0"/>
                      <w:sz w:val="21"/>
                      <w:szCs w:val="21"/>
                      <w:highlight w:val="none"/>
                      <w:u w:val="none"/>
                      <w:lang w:val="en-US" w:eastAsia="zh-CN" w:bidi="ar"/>
                    </w:rPr>
                    <w:t>面积</w:t>
                  </w:r>
                  <w:r>
                    <w:rPr>
                      <w:rFonts w:hint="eastAsia" w:cs="Times New Roman"/>
                      <w:i w:val="0"/>
                      <w:iCs w:val="0"/>
                      <w:color w:val="auto"/>
                      <w:kern w:val="0"/>
                      <w:sz w:val="21"/>
                      <w:szCs w:val="21"/>
                      <w:highlight w:val="none"/>
                      <w:u w:val="none"/>
                      <w:lang w:val="en-US" w:eastAsia="zh-CN" w:bidi="ar"/>
                    </w:rPr>
                    <w:t>50</w:t>
                  </w:r>
                  <w:r>
                    <w:rPr>
                      <w:rFonts w:hint="default" w:ascii="Times New Roman" w:hAnsi="Times New Roman" w:cs="Times New Roman"/>
                      <w:i w:val="0"/>
                      <w:iCs w:val="0"/>
                      <w:color w:val="auto"/>
                      <w:kern w:val="0"/>
                      <w:sz w:val="21"/>
                      <w:szCs w:val="21"/>
                      <w:highlight w:val="none"/>
                      <w:u w:val="none"/>
                      <w:lang w:val="en-US" w:eastAsia="zh-CN" w:bidi="ar"/>
                    </w:rPr>
                    <w:t>平方米</w:t>
                  </w:r>
                  <w:r>
                    <w:rPr>
                      <w:rFonts w:hint="default" w:ascii="Times New Roman" w:hAnsi="Times New Roman" w:eastAsia="宋体" w:cs="Times New Roman"/>
                      <w:i w:val="0"/>
                      <w:iCs w:val="0"/>
                      <w:color w:val="auto"/>
                      <w:kern w:val="0"/>
                      <w:sz w:val="21"/>
                      <w:szCs w:val="21"/>
                      <w:highlight w:val="none"/>
                      <w:u w:val="none"/>
                      <w:lang w:val="en-US" w:eastAsia="zh-CN" w:bidi="ar"/>
                    </w:rPr>
                    <w:t>，设置于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#厂房内部</w:t>
                  </w:r>
                  <w:r>
                    <w:rPr>
                      <w:rFonts w:hint="eastAsia"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侧，用于危险废物存放</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危险废物</w:t>
                  </w:r>
                  <w:r>
                    <w:rPr>
                      <w:rFonts w:hint="eastAsia" w:cs="Times New Roman"/>
                      <w:i w:val="0"/>
                      <w:iCs w:val="0"/>
                      <w:color w:val="auto"/>
                      <w:kern w:val="0"/>
                      <w:sz w:val="21"/>
                      <w:szCs w:val="21"/>
                      <w:highlight w:val="none"/>
                      <w:u w:val="none"/>
                      <w:lang w:val="en-US" w:eastAsia="zh-CN" w:bidi="ar"/>
                    </w:rPr>
                    <w:t>经收集暂存后交由有</w:t>
                  </w:r>
                  <w:r>
                    <w:rPr>
                      <w:rFonts w:hint="default" w:ascii="Times New Roman" w:hAnsi="Times New Roman" w:eastAsia="宋体" w:cs="Times New Roman"/>
                      <w:i w:val="0"/>
                      <w:iCs w:val="0"/>
                      <w:color w:val="auto"/>
                      <w:kern w:val="0"/>
                      <w:sz w:val="21"/>
                      <w:szCs w:val="21"/>
                      <w:highlight w:val="none"/>
                      <w:u w:val="none"/>
                      <w:lang w:val="en-US" w:eastAsia="zh-CN" w:bidi="ar"/>
                    </w:rPr>
                    <w:t>危险废物</w:t>
                  </w:r>
                  <w:r>
                    <w:rPr>
                      <w:rFonts w:hint="eastAsia" w:cs="Times New Roman"/>
                      <w:i w:val="0"/>
                      <w:iCs w:val="0"/>
                      <w:color w:val="auto"/>
                      <w:kern w:val="0"/>
                      <w:sz w:val="21"/>
                      <w:szCs w:val="21"/>
                      <w:highlight w:val="none"/>
                      <w:u w:val="none"/>
                      <w:lang w:val="en-US" w:eastAsia="zh-CN" w:bidi="ar"/>
                    </w:rPr>
                    <w:t>处理资质的单位处理</w:t>
                  </w:r>
                </w:p>
              </w:tc>
            </w:tr>
            <w:tr w14:paraId="13039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3FA02A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bottom w:val="single" w:color="000000" w:sz="4" w:space="0"/>
                    <w:right w:val="single" w:color="000000" w:sz="4" w:space="0"/>
                  </w:tcBorders>
                  <w:noWrap w:val="0"/>
                  <w:vAlign w:val="center"/>
                </w:tcPr>
                <w:p w14:paraId="1FCB7D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3FF0A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风险防范措施</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C74A0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本项目设置</w:t>
                  </w:r>
                  <w:r>
                    <w:rPr>
                      <w:rFonts w:hint="default" w:ascii="Times New Roman" w:hAnsi="Times New Roman" w:cs="Times New Roman"/>
                      <w:b w:val="0"/>
                      <w:bCs w:val="0"/>
                      <w:color w:val="auto"/>
                      <w:sz w:val="21"/>
                      <w:szCs w:val="21"/>
                      <w:highlight w:val="none"/>
                    </w:rPr>
                    <w:t>1个有效容积为</w:t>
                  </w:r>
                  <w:r>
                    <w:rPr>
                      <w:rFonts w:hint="eastAsia" w:cs="Times New Roman"/>
                      <w:b w:val="0"/>
                      <w:bCs w:val="0"/>
                      <w:color w:val="auto"/>
                      <w:sz w:val="21"/>
                      <w:szCs w:val="21"/>
                      <w:highlight w:val="none"/>
                      <w:lang w:val="en-US" w:eastAsia="zh-CN"/>
                    </w:rPr>
                    <w:t>15</w:t>
                  </w:r>
                  <w:r>
                    <w:rPr>
                      <w:rFonts w:hint="default" w:ascii="Times New Roman" w:hAnsi="Times New Roman" w:cs="Times New Roman"/>
                      <w:b w:val="0"/>
                      <w:bCs w:val="0"/>
                      <w:color w:val="auto"/>
                      <w:sz w:val="21"/>
                      <w:szCs w:val="21"/>
                      <w:highlight w:val="none"/>
                      <w:lang w:val="en-US" w:eastAsia="zh-CN"/>
                    </w:rPr>
                    <w:t>0</w:t>
                  </w:r>
                  <w:r>
                    <w:rPr>
                      <w:rFonts w:hint="default" w:ascii="Times New Roman" w:hAnsi="Times New Roman" w:cs="Times New Roman"/>
                      <w:b w:val="0"/>
                      <w:bCs w:val="0"/>
                      <w:color w:val="auto"/>
                      <w:sz w:val="21"/>
                      <w:szCs w:val="21"/>
                      <w:highlight w:val="none"/>
                    </w:rPr>
                    <w:t>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b w:val="0"/>
                      <w:bCs w:val="0"/>
                      <w:color w:val="auto"/>
                      <w:sz w:val="21"/>
                      <w:szCs w:val="21"/>
                      <w:highlight w:val="none"/>
                    </w:rPr>
                    <w:t>的事故应急池</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用于满足消防或其他事故时废水收集需要</w:t>
                  </w:r>
                </w:p>
              </w:tc>
            </w:tr>
          </w:tbl>
          <w:p w14:paraId="4A4942F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35C10F21">
            <w:pPr>
              <w:widowControl/>
              <w:kinsoku/>
              <w:autoSpaceDE/>
              <w:autoSpaceDN/>
              <w:adjustRightInd/>
              <w:snapToGrid/>
              <w:spacing w:line="360" w:lineRule="auto"/>
              <w:ind w:firstLine="466" w:firstLineChars="200"/>
              <w:jc w:val="left"/>
              <w:textAlignment w:val="auto"/>
              <w:rPr>
                <w:rFonts w:hint="default" w:ascii="Times New Roman" w:hAnsi="Times New Roman" w:cs="Times New Roman"/>
                <w:color w:val="auto"/>
                <w:sz w:val="24"/>
                <w:szCs w:val="24"/>
                <w:highlight w:val="none"/>
              </w:rPr>
            </w:pPr>
            <w:r>
              <w:rPr>
                <w:rFonts w:hint="eastAsia" w:ascii="Times New Roman" w:hAnsi="Times New Roman" w:eastAsia="宋体" w:cs="Times New Roman"/>
                <w:b/>
                <w:bCs/>
                <w:color w:val="auto"/>
                <w:spacing w:val="-4"/>
                <w:sz w:val="24"/>
                <w:szCs w:val="24"/>
                <w:highlight w:val="none"/>
                <w:lang w:val="en-US" w:eastAsia="zh-CN"/>
              </w:rPr>
              <w:t>2</w:t>
            </w:r>
            <w:r>
              <w:rPr>
                <w:rFonts w:hint="default" w:ascii="Times New Roman" w:hAnsi="Times New Roman" w:cs="Times New Roman"/>
                <w:b/>
                <w:bCs/>
                <w:color w:val="auto"/>
                <w:spacing w:val="-4"/>
                <w:sz w:val="24"/>
                <w:szCs w:val="24"/>
                <w:highlight w:val="none"/>
              </w:rPr>
              <w:t>、产品方案</w:t>
            </w:r>
          </w:p>
          <w:p w14:paraId="21DE8668">
            <w:pPr>
              <w:keepNext w:val="0"/>
              <w:keepLines w:val="0"/>
              <w:suppressLineNumbers w:val="0"/>
              <w:tabs>
                <w:tab w:val="left" w:pos="6960"/>
              </w:tabs>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产品方案</w:t>
            </w:r>
          </w:p>
          <w:p w14:paraId="75B26249">
            <w:pPr>
              <w:keepNext w:val="0"/>
              <w:keepLines w:val="0"/>
              <w:suppressLineNumbers w:val="0"/>
              <w:tabs>
                <w:tab w:val="left" w:pos="6960"/>
              </w:tabs>
              <w:spacing w:before="0" w:beforeAutospacing="0" w:after="0" w:afterAutospacing="0"/>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本项目生产产品见下表。</w:t>
            </w:r>
          </w:p>
          <w:p w14:paraId="524ED81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产品产量一览表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72"/>
              <w:gridCol w:w="894"/>
              <w:gridCol w:w="1054"/>
              <w:gridCol w:w="1015"/>
              <w:gridCol w:w="4844"/>
            </w:tblGrid>
            <w:tr w14:paraId="41C2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15C9F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533" w:type="pct"/>
                  <w:noWrap w:val="0"/>
                  <w:vAlign w:val="center"/>
                </w:tcPr>
                <w:p w14:paraId="26B0D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产品名称</w:t>
                  </w:r>
                </w:p>
              </w:tc>
              <w:tc>
                <w:tcPr>
                  <w:tcW w:w="628" w:type="pct"/>
                  <w:noWrap w:val="0"/>
                  <w:vAlign w:val="center"/>
                </w:tcPr>
                <w:p w14:paraId="4F952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单位</w:t>
                  </w:r>
                </w:p>
              </w:tc>
              <w:tc>
                <w:tcPr>
                  <w:tcW w:w="605" w:type="pct"/>
                  <w:noWrap w:val="0"/>
                  <w:vAlign w:val="center"/>
                </w:tcPr>
                <w:p w14:paraId="472FA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数量</w:t>
                  </w:r>
                </w:p>
              </w:tc>
              <w:tc>
                <w:tcPr>
                  <w:tcW w:w="2890" w:type="pct"/>
                  <w:noWrap w:val="0"/>
                  <w:vAlign w:val="center"/>
                </w:tcPr>
                <w:p w14:paraId="2DF21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备注说明</w:t>
                  </w:r>
                </w:p>
              </w:tc>
            </w:tr>
            <w:tr w14:paraId="22AD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22E7F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533" w:type="pct"/>
                  <w:noWrap w:val="0"/>
                  <w:vAlign w:val="center"/>
                </w:tcPr>
                <w:p w14:paraId="237FD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铝单板</w:t>
                  </w:r>
                </w:p>
              </w:tc>
              <w:tc>
                <w:tcPr>
                  <w:tcW w:w="628" w:type="pct"/>
                  <w:noWrap w:val="0"/>
                  <w:vAlign w:val="center"/>
                </w:tcPr>
                <w:p w14:paraId="3A436033">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万m</w:t>
                  </w:r>
                  <w:r>
                    <w:rPr>
                      <w:rFonts w:hint="default" w:ascii="Times New Roman" w:hAnsi="Times New Roman" w:cs="Times New Roman"/>
                      <w:b w:val="0"/>
                      <w:bCs w:val="0"/>
                      <w:color w:val="auto"/>
                      <w:sz w:val="21"/>
                      <w:szCs w:val="21"/>
                      <w:highlight w:val="none"/>
                      <w:vertAlign w:val="superscript"/>
                      <w:lang w:val="en-US" w:eastAsia="zh-CN"/>
                    </w:rPr>
                    <w:t>2</w:t>
                  </w:r>
                </w:p>
              </w:tc>
              <w:tc>
                <w:tcPr>
                  <w:tcW w:w="605" w:type="pct"/>
                  <w:noWrap w:val="0"/>
                  <w:vAlign w:val="center"/>
                </w:tcPr>
                <w:p w14:paraId="4D4C86C0">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vertAlign w:val="baseline"/>
                    </w:rPr>
                  </w:pPr>
                  <w:r>
                    <w:rPr>
                      <w:rFonts w:hint="eastAsia" w:cs="Times New Roman"/>
                      <w:b w:val="0"/>
                      <w:bCs w:val="0"/>
                      <w:color w:val="auto"/>
                      <w:kern w:val="0"/>
                      <w:sz w:val="21"/>
                      <w:szCs w:val="21"/>
                      <w:highlight w:val="none"/>
                      <w:lang w:val="en-US" w:eastAsia="zh-CN"/>
                    </w:rPr>
                    <w:t>11</w:t>
                  </w:r>
                  <w:r>
                    <w:rPr>
                      <w:rFonts w:hint="default" w:ascii="Times New Roman" w:hAnsi="Times New Roman" w:cs="Times New Roman"/>
                      <w:b w:val="0"/>
                      <w:bCs w:val="0"/>
                      <w:color w:val="auto"/>
                      <w:kern w:val="0"/>
                      <w:sz w:val="21"/>
                      <w:szCs w:val="21"/>
                      <w:highlight w:val="none"/>
                      <w:lang w:val="en-US" w:eastAsia="zh-CN"/>
                    </w:rPr>
                    <w:t>0</w:t>
                  </w:r>
                </w:p>
              </w:tc>
              <w:tc>
                <w:tcPr>
                  <w:tcW w:w="2890" w:type="pct"/>
                  <w:noWrap w:val="0"/>
                  <w:vAlign w:val="center"/>
                </w:tcPr>
                <w:p w14:paraId="26BBBDDE">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rPr>
                    <w:t>外购铝卷经机加工、</w:t>
                  </w:r>
                  <w:r>
                    <w:rPr>
                      <w:rFonts w:hint="default" w:ascii="Times New Roman" w:hAnsi="Times New Roman" w:cs="Times New Roman"/>
                      <w:color w:val="auto"/>
                      <w:kern w:val="0"/>
                      <w:sz w:val="21"/>
                      <w:szCs w:val="21"/>
                      <w:highlight w:val="none"/>
                      <w:lang w:eastAsia="zh-CN"/>
                    </w:rPr>
                    <w:t>表面处理</w:t>
                  </w:r>
                  <w:r>
                    <w:rPr>
                      <w:rFonts w:hint="default" w:ascii="Times New Roman" w:hAnsi="Times New Roman" w:cs="Times New Roman"/>
                      <w:color w:val="auto"/>
                      <w:kern w:val="0"/>
                      <w:sz w:val="21"/>
                      <w:szCs w:val="21"/>
                      <w:highlight w:val="none"/>
                    </w:rPr>
                    <w:t>后为</w:t>
                  </w:r>
                  <w:r>
                    <w:rPr>
                      <w:rFonts w:hint="eastAsia" w:cs="Times New Roman"/>
                      <w:color w:val="auto"/>
                      <w:kern w:val="0"/>
                      <w:sz w:val="21"/>
                      <w:szCs w:val="21"/>
                      <w:highlight w:val="none"/>
                      <w:lang w:val="en-US" w:eastAsia="zh-CN"/>
                    </w:rPr>
                    <w:t>成品</w:t>
                  </w:r>
                  <w:r>
                    <w:rPr>
                      <w:rFonts w:hint="default" w:ascii="Times New Roman" w:hAnsi="Times New Roman" w:cs="Times New Roman"/>
                      <w:color w:val="auto"/>
                      <w:kern w:val="0"/>
                      <w:sz w:val="21"/>
                      <w:szCs w:val="21"/>
                      <w:highlight w:val="none"/>
                    </w:rPr>
                    <w:t>钣金件，厚度控制在3.0mm左右，</w:t>
                  </w:r>
                  <w:r>
                    <w:rPr>
                      <w:rFonts w:hint="default" w:ascii="Times New Roman" w:hAnsi="Times New Roman" w:eastAsia="宋体" w:cs="Times New Roman"/>
                      <w:i w:val="0"/>
                      <w:iCs w:val="0"/>
                      <w:color w:val="auto"/>
                      <w:kern w:val="0"/>
                      <w:sz w:val="21"/>
                      <w:szCs w:val="21"/>
                      <w:highlight w:val="none"/>
                      <w:u w:val="none"/>
                      <w:lang w:val="en-US" w:eastAsia="zh-CN" w:bidi="ar"/>
                    </w:rPr>
                    <w:t>铝</w:t>
                  </w:r>
                  <w:r>
                    <w:rPr>
                      <w:rFonts w:hint="eastAsia" w:cs="Times New Roman"/>
                      <w:i w:val="0"/>
                      <w:iCs w:val="0"/>
                      <w:color w:val="auto"/>
                      <w:kern w:val="0"/>
                      <w:sz w:val="21"/>
                      <w:szCs w:val="21"/>
                      <w:highlight w:val="none"/>
                      <w:u w:val="none"/>
                      <w:lang w:val="en-US" w:eastAsia="zh-CN" w:bidi="ar"/>
                    </w:rPr>
                    <w:t>卷</w:t>
                  </w:r>
                  <w:r>
                    <w:rPr>
                      <w:rFonts w:hint="default" w:ascii="Times New Roman" w:hAnsi="Times New Roman" w:eastAsia="宋体" w:cs="Times New Roman"/>
                      <w:i w:val="0"/>
                      <w:iCs w:val="0"/>
                      <w:color w:val="auto"/>
                      <w:kern w:val="0"/>
                      <w:sz w:val="21"/>
                      <w:szCs w:val="21"/>
                      <w:highlight w:val="none"/>
                      <w:u w:val="none"/>
                      <w:lang w:val="en-US" w:eastAsia="zh-CN" w:bidi="ar"/>
                    </w:rPr>
                    <w:t>的密度为按2.7×10</w:t>
                  </w:r>
                  <w:r>
                    <w:rPr>
                      <w:rFonts w:hint="default" w:ascii="Times New Roman" w:hAnsi="Times New Roman"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千克/m</w:t>
                  </w:r>
                  <w:r>
                    <w:rPr>
                      <w:rFonts w:hint="default" w:ascii="Times New Roman" w:hAnsi="Times New Roman"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计算</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kern w:val="0"/>
                      <w:sz w:val="21"/>
                      <w:szCs w:val="21"/>
                      <w:highlight w:val="none"/>
                    </w:rPr>
                    <w:t>钣金件</w:t>
                  </w:r>
                  <w:r>
                    <w:rPr>
                      <w:rFonts w:hint="eastAsia" w:cs="Times New Roman"/>
                      <w:color w:val="auto"/>
                      <w:kern w:val="0"/>
                      <w:sz w:val="21"/>
                      <w:szCs w:val="21"/>
                      <w:highlight w:val="none"/>
                      <w:lang w:val="en-US" w:eastAsia="zh-CN"/>
                    </w:rPr>
                    <w:t>经喷涂后固化成铝单板</w:t>
                  </w:r>
                  <w:r>
                    <w:rPr>
                      <w:rFonts w:hint="default" w:ascii="Times New Roman" w:hAnsi="Times New Roman"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年设计加工110万m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铝卷（单面计），前处理工序为双面喷淋，则前处理加工面积为220</w:t>
                  </w:r>
                  <w:r>
                    <w:rPr>
                      <w:rFonts w:hint="eastAsia" w:cs="Times New Roman"/>
                      <w:color w:val="auto"/>
                      <w:kern w:val="0"/>
                      <w:sz w:val="21"/>
                      <w:szCs w:val="21"/>
                      <w:highlight w:val="none"/>
                      <w:lang w:val="en-US" w:eastAsia="zh-CN"/>
                    </w:rPr>
                    <w:t>万m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，喷漆、喷粉工序为单面喷涂，分别为6.8万</w:t>
                  </w:r>
                  <w:r>
                    <w:rPr>
                      <w:rFonts w:hint="eastAsia" w:cs="Times New Roman"/>
                      <w:color w:val="auto"/>
                      <w:kern w:val="0"/>
                      <w:sz w:val="21"/>
                      <w:szCs w:val="21"/>
                      <w:highlight w:val="none"/>
                      <w:lang w:val="en-US" w:eastAsia="zh-CN"/>
                    </w:rPr>
                    <w:t>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和</w:t>
                  </w:r>
                  <w:r>
                    <w:rPr>
                      <w:rFonts w:hint="eastAsia" w:cs="Times New Roman"/>
                      <w:color w:val="auto"/>
                      <w:kern w:val="0"/>
                      <w:sz w:val="21"/>
                      <w:szCs w:val="21"/>
                      <w:highlight w:val="none"/>
                      <w:lang w:val="en-US" w:eastAsia="zh-CN"/>
                    </w:rPr>
                    <w:t>103.2万m</w:t>
                  </w:r>
                  <w:r>
                    <w:rPr>
                      <w:rFonts w:hint="eastAsia" w:cs="Times New Roman"/>
                      <w:color w:val="auto"/>
                      <w:kern w:val="0"/>
                      <w:sz w:val="21"/>
                      <w:szCs w:val="21"/>
                      <w:highlight w:val="none"/>
                      <w:vertAlign w:val="superscript"/>
                      <w:lang w:val="en-US" w:eastAsia="zh-CN"/>
                    </w:rPr>
                    <w:t>2</w:t>
                  </w:r>
                </w:p>
              </w:tc>
            </w:tr>
          </w:tbl>
          <w:p w14:paraId="3274240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248D4343">
            <w:pPr>
              <w:pStyle w:val="20"/>
              <w:numPr>
                <w:ilvl w:val="3"/>
                <w:numId w:val="0"/>
              </w:numPr>
              <w:suppressLineNumbers w:val="0"/>
              <w:tabs>
                <w:tab w:val="left" w:pos="420"/>
              </w:tabs>
              <w:spacing w:before="0" w:beforeAutospacing="0" w:after="0" w:afterAutospacing="0" w:line="360" w:lineRule="auto"/>
              <w:ind w:right="0" w:firstLine="482" w:firstLineChars="200"/>
              <w:rPr>
                <w:rFonts w:hint="default" w:ascii="Times New Roman" w:hAnsi="Times New Roman" w:cs="Times New Roman"/>
                <w:color w:val="auto"/>
                <w:szCs w:val="24"/>
                <w:highlight w:val="none"/>
                <w:lang w:val="en-US" w:eastAsia="zh-CN"/>
              </w:rPr>
            </w:pP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项目产品产能匹配性分析</w:t>
            </w:r>
          </w:p>
          <w:p w14:paraId="39F4324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bidi="ar-SA"/>
              </w:rPr>
              <w:t>本项目的</w:t>
            </w:r>
            <w:r>
              <w:rPr>
                <w:rFonts w:hint="default" w:ascii="Times New Roman" w:hAnsi="Times New Roman" w:eastAsia="宋体" w:cs="Times New Roman"/>
                <w:color w:val="auto"/>
                <w:kern w:val="2"/>
                <w:sz w:val="24"/>
                <w:szCs w:val="24"/>
                <w:highlight w:val="none"/>
                <w:lang w:val="en-US" w:eastAsia="zh-CN" w:bidi="ar-SA"/>
              </w:rPr>
              <w:t>产品</w:t>
            </w:r>
            <w:r>
              <w:rPr>
                <w:rFonts w:hint="default" w:ascii="Times New Roman" w:hAnsi="Times New Roman" w:eastAsia="宋体" w:cs="Times New Roman"/>
                <w:color w:val="auto"/>
                <w:kern w:val="2"/>
                <w:sz w:val="24"/>
                <w:szCs w:val="24"/>
                <w:highlight w:val="none"/>
                <w:lang w:bidi="ar-SA"/>
              </w:rPr>
              <w:t>生产主要受制于</w:t>
            </w:r>
            <w:r>
              <w:rPr>
                <w:rFonts w:hint="eastAsia" w:cs="Times New Roman"/>
                <w:color w:val="auto"/>
                <w:kern w:val="2"/>
                <w:sz w:val="24"/>
                <w:szCs w:val="24"/>
                <w:highlight w:val="none"/>
                <w:lang w:eastAsia="zh-CN" w:bidi="ar-SA"/>
              </w:rPr>
              <w:t>工件表面预处理</w:t>
            </w:r>
            <w:r>
              <w:rPr>
                <w:rFonts w:hint="default" w:ascii="Times New Roman" w:hAnsi="Times New Roman" w:eastAsia="宋体" w:cs="Times New Roman"/>
                <w:color w:val="auto"/>
                <w:kern w:val="2"/>
                <w:sz w:val="24"/>
                <w:szCs w:val="24"/>
                <w:highlight w:val="none"/>
                <w:lang w:bidi="ar-SA"/>
              </w:rPr>
              <w:t>生产线（以下简称“预处理线”）的产能。预处理线采用隧道式挂具输送系统，并</w:t>
            </w:r>
            <w:r>
              <w:rPr>
                <w:rFonts w:hint="default" w:ascii="Times New Roman" w:hAnsi="Times New Roman" w:eastAsia="宋体" w:cs="Times New Roman"/>
                <w:color w:val="auto"/>
                <w:kern w:val="2"/>
                <w:sz w:val="24"/>
                <w:szCs w:val="24"/>
                <w:highlight w:val="none"/>
                <w:lang w:val="en-US" w:eastAsia="zh-CN" w:bidi="ar-SA"/>
              </w:rPr>
              <w:t>全程</w:t>
            </w:r>
            <w:r>
              <w:rPr>
                <w:rFonts w:hint="default" w:ascii="Times New Roman" w:hAnsi="Times New Roman" w:eastAsia="宋体" w:cs="Times New Roman"/>
                <w:color w:val="auto"/>
                <w:kern w:val="2"/>
                <w:sz w:val="24"/>
                <w:szCs w:val="24"/>
                <w:highlight w:val="none"/>
                <w:lang w:bidi="ar-SA"/>
              </w:rPr>
              <w:t>通过喷淋方式进行预处理作业。预处理线的长度为</w:t>
            </w:r>
            <w:r>
              <w:rPr>
                <w:rFonts w:hint="default" w:ascii="Times New Roman" w:hAnsi="Times New Roman" w:cs="Times New Roman"/>
                <w:color w:val="auto"/>
                <w:kern w:val="2"/>
                <w:sz w:val="24"/>
                <w:szCs w:val="24"/>
                <w:highlight w:val="none"/>
                <w:lang w:val="en-US" w:eastAsia="zh-CN" w:bidi="ar-SA"/>
              </w:rPr>
              <w:t>7</w:t>
            </w:r>
            <w:r>
              <w:rPr>
                <w:rFonts w:hint="eastAsia" w:ascii="Times New Roman" w:hAnsi="Times New Roman" w:cs="Times New Roman"/>
                <w:color w:val="auto"/>
                <w:kern w:val="2"/>
                <w:sz w:val="24"/>
                <w:szCs w:val="24"/>
                <w:highlight w:val="none"/>
                <w:lang w:val="en-US" w:eastAsia="zh-CN" w:bidi="ar-SA"/>
              </w:rPr>
              <w:t>9.5</w:t>
            </w:r>
            <w:r>
              <w:rPr>
                <w:rFonts w:hint="default" w:ascii="Times New Roman" w:hAnsi="Times New Roman" w:eastAsia="宋体" w:cs="Times New Roman"/>
                <w:color w:val="auto"/>
                <w:kern w:val="2"/>
                <w:sz w:val="24"/>
                <w:szCs w:val="24"/>
                <w:highlight w:val="none"/>
                <w:lang w:bidi="ar-SA"/>
              </w:rPr>
              <w:t>米。</w:t>
            </w:r>
            <w:r>
              <w:rPr>
                <w:rFonts w:hint="default" w:ascii="Times New Roman" w:hAnsi="Times New Roman" w:eastAsia="宋体" w:cs="Times New Roman"/>
                <w:color w:val="auto"/>
                <w:kern w:val="2"/>
                <w:sz w:val="24"/>
                <w:szCs w:val="24"/>
                <w:highlight w:val="none"/>
                <w:lang w:val="en-US" w:eastAsia="zh-CN" w:bidi="ar-SA"/>
              </w:rPr>
              <w:t>本项目预处理线设计参数如下表所示。</w:t>
            </w:r>
          </w:p>
          <w:p w14:paraId="2AB7BA5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预处理线设计参数</w:t>
            </w:r>
          </w:p>
          <w:tbl>
            <w:tblPr>
              <w:tblStyle w:val="48"/>
              <w:tblW w:w="83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5"/>
              <w:gridCol w:w="1031"/>
              <w:gridCol w:w="1025"/>
              <w:gridCol w:w="1086"/>
              <w:gridCol w:w="926"/>
              <w:gridCol w:w="1086"/>
              <w:gridCol w:w="1045"/>
              <w:gridCol w:w="1053"/>
            </w:tblGrid>
            <w:tr w14:paraId="7026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7" w:hRule="atLeast"/>
              </w:trPr>
              <w:tc>
                <w:tcPr>
                  <w:tcW w:w="661" w:type="pct"/>
                  <w:tcBorders>
                    <w:top w:val="single" w:color="000000" w:sz="4" w:space="0"/>
                    <w:left w:val="single" w:color="000000" w:sz="4" w:space="0"/>
                    <w:bottom w:val="single" w:color="000000" w:sz="4" w:space="0"/>
                    <w:right w:val="single" w:color="000000" w:sz="4" w:space="0"/>
                  </w:tcBorders>
                  <w:noWrap w:val="0"/>
                  <w:vAlign w:val="center"/>
                </w:tcPr>
                <w:p w14:paraId="7E226D8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color w:val="auto"/>
                      <w:sz w:val="21"/>
                      <w:szCs w:val="21"/>
                      <w:highlight w:val="none"/>
                      <w:lang w:val="en-US" w:eastAsia="zh-CN"/>
                    </w:rPr>
                    <w:t>处理</w:t>
                  </w:r>
                  <w:r>
                    <w:rPr>
                      <w:rFonts w:hint="default" w:ascii="Times New Roman" w:hAnsi="Times New Roman" w:eastAsia="宋体" w:cs="Times New Roman"/>
                      <w:b/>
                      <w:bCs/>
                      <w:i w:val="0"/>
                      <w:iCs w:val="0"/>
                      <w:color w:val="auto"/>
                      <w:kern w:val="0"/>
                      <w:sz w:val="21"/>
                      <w:szCs w:val="21"/>
                      <w:highlight w:val="none"/>
                      <w:u w:val="none"/>
                      <w:lang w:val="en-US" w:eastAsia="zh-CN" w:bidi="ar"/>
                    </w:rPr>
                    <w:t>线长度（m）</w:t>
                  </w:r>
                </w:p>
              </w:tc>
              <w:tc>
                <w:tcPr>
                  <w:tcW w:w="617" w:type="pct"/>
                  <w:tcBorders>
                    <w:top w:val="single" w:color="000000" w:sz="4" w:space="0"/>
                    <w:left w:val="single" w:color="000000" w:sz="4" w:space="0"/>
                    <w:bottom w:val="single" w:color="000000" w:sz="4" w:space="0"/>
                    <w:right w:val="single" w:color="000000" w:sz="4" w:space="0"/>
                  </w:tcBorders>
                  <w:noWrap w:val="0"/>
                  <w:vAlign w:val="center"/>
                </w:tcPr>
                <w:p w14:paraId="045BABB6">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单个工件长度（m）</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14:paraId="12F323F4">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移动速度（m/min）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7FED263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每个工件间隔（mm）</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1FE3AF4">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每批次处理时间（min）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6B6020B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每批次可容纳挂具数（个）</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51D17AF4">
                  <w:pPr>
                    <w:adjustRightInd w:val="0"/>
                    <w:snapToGrid w:val="0"/>
                    <w:spacing w:line="240" w:lineRule="auto"/>
                    <w:jc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每个挂具挂件数（件）</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62970423">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cs="Times New Roman"/>
                      <w:b/>
                      <w:bCs/>
                      <w:i w:val="0"/>
                      <w:iCs w:val="0"/>
                      <w:color w:val="auto"/>
                      <w:sz w:val="21"/>
                      <w:szCs w:val="21"/>
                      <w:highlight w:val="none"/>
                      <w:u w:val="none"/>
                      <w:lang w:val="en-US" w:eastAsia="zh-CN"/>
                    </w:rPr>
                    <w:t>生产线条数</w:t>
                  </w:r>
                </w:p>
              </w:tc>
            </w:tr>
            <w:tr w14:paraId="02FD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61" w:type="pct"/>
                  <w:tcBorders>
                    <w:top w:val="single" w:color="000000" w:sz="4" w:space="0"/>
                    <w:left w:val="single" w:color="000000" w:sz="4" w:space="0"/>
                    <w:bottom w:val="single" w:color="000000" w:sz="4" w:space="0"/>
                    <w:right w:val="single" w:color="000000" w:sz="4" w:space="0"/>
                  </w:tcBorders>
                  <w:noWrap/>
                  <w:vAlign w:val="center"/>
                </w:tcPr>
                <w:p w14:paraId="2EE069F8">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79.5</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E758ABF">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0.6</w:t>
                  </w:r>
                </w:p>
              </w:tc>
              <w:tc>
                <w:tcPr>
                  <w:tcW w:w="613" w:type="pct"/>
                  <w:tcBorders>
                    <w:top w:val="single" w:color="000000" w:sz="4" w:space="0"/>
                    <w:left w:val="single" w:color="000000" w:sz="4" w:space="0"/>
                    <w:bottom w:val="single" w:color="000000" w:sz="4" w:space="0"/>
                    <w:right w:val="single" w:color="000000" w:sz="4" w:space="0"/>
                  </w:tcBorders>
                  <w:noWrap/>
                  <w:vAlign w:val="center"/>
                </w:tcPr>
                <w:p w14:paraId="0BEA5695">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6D1006A1">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D1FADF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7CDC02CE">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F72FCDE">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91EFDA9">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r>
            <w:tr w14:paraId="50395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563B1355">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p w14:paraId="6BF7E7FD">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①本环评取项目产量最大、最为常见的产品尺寸作为本项目产量核算，单个</w:t>
                  </w:r>
                  <w:r>
                    <w:rPr>
                      <w:rFonts w:hint="eastAsia" w:cs="Times New Roman"/>
                      <w:color w:val="auto"/>
                      <w:sz w:val="21"/>
                      <w:szCs w:val="21"/>
                      <w:highlight w:val="none"/>
                      <w:lang w:val="en-US" w:eastAsia="zh-CN"/>
                    </w:rPr>
                    <w:t>工件</w:t>
                  </w:r>
                  <w:r>
                    <w:rPr>
                      <w:rFonts w:hint="default" w:ascii="Times New Roman" w:hAnsi="Times New Roman" w:eastAsia="宋体" w:cs="Times New Roman"/>
                      <w:color w:val="auto"/>
                      <w:sz w:val="21"/>
                      <w:szCs w:val="21"/>
                      <w:highlight w:val="none"/>
                      <w:lang w:val="en-US" w:eastAsia="zh-CN"/>
                    </w:rPr>
                    <w:t>尺寸为</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00mm×</w:t>
                  </w: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00mm，厚度为3mm；</w:t>
                  </w:r>
                </w:p>
                <w:p w14:paraId="26FA03BE">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②每批次处理时间=处理线长度÷移动速度；</w:t>
                  </w:r>
                </w:p>
                <w:p w14:paraId="696B609A">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③每批次可容纳挂具数=处理线长度÷（单个工件长度+每个工件间隔）</w:t>
                  </w:r>
                </w:p>
              </w:tc>
            </w:tr>
          </w:tbl>
          <w:p w14:paraId="07D6601F">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5A7D652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本项目设置</w:t>
            </w:r>
            <w:r>
              <w:rPr>
                <w:rFonts w:hint="eastAsia" w:cs="Times New Roman"/>
                <w:color w:val="auto"/>
                <w:kern w:val="2"/>
                <w:sz w:val="24"/>
                <w:szCs w:val="24"/>
                <w:highlight w:val="none"/>
                <w:lang w:val="en-US" w:eastAsia="zh-CN" w:bidi="ar-SA"/>
              </w:rPr>
              <w:t>2</w:t>
            </w:r>
            <w:r>
              <w:rPr>
                <w:rFonts w:hint="default" w:ascii="Times New Roman" w:hAnsi="Times New Roman" w:cs="Times New Roman"/>
                <w:color w:val="auto"/>
                <w:kern w:val="2"/>
                <w:sz w:val="24"/>
                <w:szCs w:val="24"/>
                <w:highlight w:val="none"/>
                <w:lang w:val="en-US" w:eastAsia="zh-CN" w:bidi="ar-SA"/>
              </w:rPr>
              <w:t>条预处理线，年工作</w:t>
            </w:r>
            <w:r>
              <w:rPr>
                <w:rFonts w:hint="eastAsia" w:cs="Times New Roman"/>
                <w:color w:val="auto"/>
                <w:kern w:val="2"/>
                <w:sz w:val="24"/>
                <w:szCs w:val="24"/>
                <w:highlight w:val="none"/>
                <w:lang w:val="en-US" w:eastAsia="zh-CN" w:bidi="ar-SA"/>
              </w:rPr>
              <w:t>1928</w:t>
            </w:r>
            <w:r>
              <w:rPr>
                <w:rFonts w:hint="default" w:ascii="Times New Roman" w:hAnsi="Times New Roman" w:cs="Times New Roman"/>
                <w:color w:val="auto"/>
                <w:kern w:val="2"/>
                <w:sz w:val="24"/>
                <w:szCs w:val="24"/>
                <w:highlight w:val="none"/>
                <w:lang w:val="en-US" w:eastAsia="zh-CN" w:bidi="ar-SA"/>
              </w:rPr>
              <w:t>小时。本项目年铝卷最大可处理面积计算如下表所示。</w:t>
            </w:r>
          </w:p>
          <w:p w14:paraId="5A0A8047">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本项目预处理线产能核算表</w:t>
            </w:r>
          </w:p>
          <w:tbl>
            <w:tblPr>
              <w:tblStyle w:val="48"/>
              <w:tblW w:w="83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7"/>
              <w:gridCol w:w="1225"/>
              <w:gridCol w:w="1490"/>
              <w:gridCol w:w="1130"/>
              <w:gridCol w:w="1590"/>
              <w:gridCol w:w="1777"/>
            </w:tblGrid>
            <w:tr w14:paraId="5CDC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2" w:type="pct"/>
                  <w:tcBorders>
                    <w:top w:val="single" w:color="000000" w:sz="4" w:space="0"/>
                    <w:left w:val="single" w:color="000000" w:sz="4" w:space="0"/>
                    <w:bottom w:val="single" w:color="000000" w:sz="4" w:space="0"/>
                    <w:right w:val="single" w:color="000000" w:sz="4" w:space="0"/>
                  </w:tcBorders>
                  <w:noWrap w:val="0"/>
                  <w:vAlign w:val="center"/>
                </w:tcPr>
                <w:p w14:paraId="627EE0B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年工作时间（h）</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5A265BE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年处理批次（次）</w:t>
                  </w:r>
                </w:p>
              </w:tc>
              <w:tc>
                <w:tcPr>
                  <w:tcW w:w="888" w:type="pct"/>
                  <w:tcBorders>
                    <w:top w:val="single" w:color="000000" w:sz="4" w:space="0"/>
                    <w:left w:val="single" w:color="000000" w:sz="4" w:space="0"/>
                    <w:bottom w:val="single" w:color="000000" w:sz="4" w:space="0"/>
                    <w:right w:val="single" w:color="000000" w:sz="4" w:space="0"/>
                  </w:tcBorders>
                  <w:noWrap w:val="0"/>
                  <w:vAlign w:val="center"/>
                </w:tcPr>
                <w:p w14:paraId="75D23EB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年处理工件数（件）</w:t>
                  </w:r>
                </w:p>
              </w:tc>
              <w:tc>
                <w:tcPr>
                  <w:tcW w:w="673" w:type="pct"/>
                  <w:tcBorders>
                    <w:top w:val="single" w:color="000000" w:sz="4" w:space="0"/>
                    <w:left w:val="single" w:color="000000" w:sz="4" w:space="0"/>
                    <w:bottom w:val="single" w:color="000000" w:sz="4" w:space="0"/>
                    <w:right w:val="single" w:color="000000" w:sz="4" w:space="0"/>
                  </w:tcBorders>
                  <w:noWrap w:val="0"/>
                  <w:vAlign w:val="center"/>
                </w:tcPr>
                <w:p w14:paraId="1944445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color w:val="auto"/>
                      <w:sz w:val="21"/>
                      <w:szCs w:val="21"/>
                      <w:highlight w:val="none"/>
                      <w:lang w:val="en-US" w:eastAsia="zh-CN"/>
                    </w:rPr>
                    <w:t>单件</w:t>
                  </w:r>
                  <w:r>
                    <w:rPr>
                      <w:rFonts w:hint="default" w:ascii="Times New Roman" w:hAnsi="Times New Roman" w:eastAsia="宋体" w:cs="Times New Roman"/>
                      <w:b/>
                      <w:bCs/>
                      <w:i w:val="0"/>
                      <w:iCs w:val="0"/>
                      <w:color w:val="auto"/>
                      <w:kern w:val="0"/>
                      <w:sz w:val="21"/>
                      <w:szCs w:val="21"/>
                      <w:highlight w:val="none"/>
                      <w:u w:val="none"/>
                      <w:lang w:val="en-US" w:eastAsia="zh-CN" w:bidi="ar"/>
                    </w:rPr>
                    <w:t>工件面积（m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947" w:type="pct"/>
                  <w:tcBorders>
                    <w:top w:val="single" w:color="000000" w:sz="4" w:space="0"/>
                    <w:left w:val="single" w:color="auto" w:sz="4" w:space="0"/>
                    <w:bottom w:val="single" w:color="000000" w:sz="4" w:space="0"/>
                    <w:right w:val="single" w:color="000000" w:sz="4" w:space="0"/>
                  </w:tcBorders>
                  <w:noWrap w:val="0"/>
                  <w:vAlign w:val="center"/>
                </w:tcPr>
                <w:p w14:paraId="410689C1">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年最大处理</w:t>
                  </w:r>
                  <w:r>
                    <w:rPr>
                      <w:rFonts w:hint="eastAsia" w:cs="Times New Roman"/>
                      <w:b/>
                      <w:bCs/>
                      <w:i w:val="0"/>
                      <w:iCs w:val="0"/>
                      <w:color w:val="auto"/>
                      <w:kern w:val="0"/>
                      <w:sz w:val="21"/>
                      <w:szCs w:val="21"/>
                      <w:highlight w:val="none"/>
                      <w:u w:val="none"/>
                      <w:lang w:val="en-US" w:eastAsia="zh-CN" w:bidi="ar"/>
                    </w:rPr>
                    <w:t>工件</w:t>
                  </w:r>
                  <w:r>
                    <w:rPr>
                      <w:rFonts w:hint="eastAsia" w:ascii="Times New Roman" w:hAnsi="Times New Roman" w:cs="Times New Roman"/>
                      <w:b/>
                      <w:bCs/>
                      <w:i w:val="0"/>
                      <w:iCs w:val="0"/>
                      <w:color w:val="auto"/>
                      <w:kern w:val="0"/>
                      <w:sz w:val="21"/>
                      <w:szCs w:val="21"/>
                      <w:highlight w:val="none"/>
                      <w:u w:val="none"/>
                      <w:lang w:val="en-US" w:eastAsia="zh-CN" w:bidi="ar"/>
                    </w:rPr>
                    <w:t>面积</w:t>
                  </w:r>
                  <w:r>
                    <w:rPr>
                      <w:rFonts w:hint="default" w:ascii="Times New Roman" w:hAnsi="Times New Roman" w:eastAsia="宋体" w:cs="Times New Roman"/>
                      <w:b/>
                      <w:bCs/>
                      <w:i w:val="0"/>
                      <w:iCs w:val="0"/>
                      <w:color w:val="auto"/>
                      <w:kern w:val="0"/>
                      <w:sz w:val="21"/>
                      <w:szCs w:val="21"/>
                      <w:highlight w:val="none"/>
                      <w:u w:val="none"/>
                      <w:lang w:val="en-US" w:eastAsia="zh-CN" w:bidi="ar"/>
                    </w:rPr>
                    <w:t>（万m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1056" w:type="pct"/>
                  <w:tcBorders>
                    <w:top w:val="single" w:color="000000" w:sz="4" w:space="0"/>
                    <w:left w:val="single" w:color="000000" w:sz="4" w:space="0"/>
                    <w:bottom w:val="single" w:color="000000" w:sz="4" w:space="0"/>
                    <w:right w:val="single" w:color="000000" w:sz="4" w:space="0"/>
                  </w:tcBorders>
                  <w:noWrap w:val="0"/>
                  <w:vAlign w:val="center"/>
                </w:tcPr>
                <w:p w14:paraId="2A9261CB">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本项目设计处理</w:t>
                  </w:r>
                  <w:r>
                    <w:rPr>
                      <w:rFonts w:hint="eastAsia" w:cs="Times New Roman"/>
                      <w:b/>
                      <w:bCs/>
                      <w:i w:val="0"/>
                      <w:iCs w:val="0"/>
                      <w:color w:val="auto"/>
                      <w:kern w:val="0"/>
                      <w:sz w:val="21"/>
                      <w:szCs w:val="21"/>
                      <w:highlight w:val="none"/>
                      <w:u w:val="none"/>
                      <w:lang w:val="en-US" w:eastAsia="zh-CN" w:bidi="ar"/>
                    </w:rPr>
                    <w:t>工件</w:t>
                  </w:r>
                  <w:r>
                    <w:rPr>
                      <w:rFonts w:hint="eastAsia" w:ascii="Times New Roman" w:hAnsi="Times New Roman" w:cs="Times New Roman"/>
                      <w:b/>
                      <w:bCs/>
                      <w:i w:val="0"/>
                      <w:iCs w:val="0"/>
                      <w:color w:val="auto"/>
                      <w:kern w:val="0"/>
                      <w:sz w:val="21"/>
                      <w:szCs w:val="21"/>
                      <w:highlight w:val="none"/>
                      <w:u w:val="none"/>
                      <w:lang w:val="en-US" w:eastAsia="zh-CN" w:bidi="ar"/>
                    </w:rPr>
                    <w:t>面积</w:t>
                  </w:r>
                  <w:r>
                    <w:rPr>
                      <w:rFonts w:hint="default" w:ascii="Times New Roman" w:hAnsi="Times New Roman" w:eastAsia="宋体" w:cs="Times New Roman"/>
                      <w:b/>
                      <w:bCs/>
                      <w:i w:val="0"/>
                      <w:iCs w:val="0"/>
                      <w:color w:val="auto"/>
                      <w:kern w:val="0"/>
                      <w:sz w:val="21"/>
                      <w:szCs w:val="21"/>
                      <w:highlight w:val="none"/>
                      <w:u w:val="none"/>
                      <w:lang w:val="en-US" w:eastAsia="zh-CN" w:bidi="ar"/>
                    </w:rPr>
                    <w:t>（万m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r>
            <w:tr w14:paraId="25DE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286CC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BB6D4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7712</w:t>
                  </w:r>
                </w:p>
              </w:tc>
              <w:tc>
                <w:tcPr>
                  <w:tcW w:w="1490" w:type="dxa"/>
                  <w:tcBorders>
                    <w:top w:val="single" w:color="000000" w:sz="4" w:space="0"/>
                    <w:left w:val="single" w:color="000000" w:sz="4" w:space="0"/>
                    <w:bottom w:val="single" w:color="000000" w:sz="4" w:space="0"/>
                    <w:right w:val="single" w:color="000000" w:sz="4" w:space="0"/>
                  </w:tcBorders>
                  <w:noWrap/>
                  <w:vAlign w:val="center"/>
                </w:tcPr>
                <w:p w14:paraId="1D848A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9809664</w:t>
                  </w:r>
                </w:p>
              </w:tc>
              <w:tc>
                <w:tcPr>
                  <w:tcW w:w="1130" w:type="dxa"/>
                  <w:tcBorders>
                    <w:top w:val="single" w:color="000000" w:sz="4" w:space="0"/>
                    <w:left w:val="single" w:color="000000" w:sz="4" w:space="0"/>
                    <w:bottom w:val="single" w:color="000000" w:sz="4" w:space="0"/>
                    <w:right w:val="single" w:color="auto" w:sz="4" w:space="0"/>
                  </w:tcBorders>
                  <w:noWrap/>
                  <w:vAlign w:val="center"/>
                </w:tcPr>
                <w:p w14:paraId="2BD4E3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0.24</w:t>
                  </w:r>
                </w:p>
              </w:tc>
              <w:tc>
                <w:tcPr>
                  <w:tcW w:w="1590" w:type="dxa"/>
                  <w:tcBorders>
                    <w:top w:val="single" w:color="000000" w:sz="4" w:space="0"/>
                    <w:left w:val="single" w:color="auto" w:sz="4" w:space="0"/>
                    <w:bottom w:val="single" w:color="000000" w:sz="4" w:space="0"/>
                    <w:right w:val="single" w:color="000000" w:sz="4" w:space="0"/>
                  </w:tcBorders>
                  <w:noWrap/>
                  <w:vAlign w:val="center"/>
                </w:tcPr>
                <w:p w14:paraId="53C923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235.4 </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10E2D1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220</w:t>
                  </w:r>
                </w:p>
              </w:tc>
            </w:tr>
            <w:tr w14:paraId="02E0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2F4EF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w:t>
                  </w:r>
                </w:p>
                <w:p w14:paraId="1DD1E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①</w:t>
                  </w:r>
                  <w:bookmarkStart w:id="9" w:name="OLE_LINK38"/>
                  <w:r>
                    <w:rPr>
                      <w:rFonts w:hint="default" w:ascii="Times New Roman" w:hAnsi="Times New Roman" w:eastAsia="宋体" w:cs="Times New Roman"/>
                      <w:i w:val="0"/>
                      <w:iCs w:val="0"/>
                      <w:color w:val="auto"/>
                      <w:kern w:val="0"/>
                      <w:sz w:val="21"/>
                      <w:szCs w:val="21"/>
                      <w:highlight w:val="none"/>
                      <w:u w:val="none"/>
                      <w:lang w:val="en-US" w:eastAsia="zh-CN" w:bidi="ar"/>
                    </w:rPr>
                    <w:t>单个工件尺寸为</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00mm×</w:t>
                  </w:r>
                  <w:r>
                    <w:rPr>
                      <w:rFonts w:hint="eastAsia"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00mm</w:t>
                  </w:r>
                  <w:bookmarkEnd w:id="9"/>
                  <w:r>
                    <w:rPr>
                      <w:rFonts w:hint="default" w:ascii="Times New Roman" w:hAnsi="Times New Roman" w:cs="Times New Roman"/>
                      <w:i w:val="0"/>
                      <w:iCs w:val="0"/>
                      <w:color w:val="auto"/>
                      <w:kern w:val="0"/>
                      <w:sz w:val="21"/>
                      <w:szCs w:val="21"/>
                      <w:highlight w:val="none"/>
                      <w:u w:val="none"/>
                      <w:lang w:val="en-US" w:eastAsia="zh-CN" w:bidi="ar"/>
                    </w:rPr>
                    <w:t>，计得面积为</w:t>
                  </w:r>
                  <w:r>
                    <w:rPr>
                      <w:rFonts w:hint="eastAsia" w:ascii="Times New Roman" w:hAnsi="Times New Roman" w:cs="Times New Roman"/>
                      <w:i w:val="0"/>
                      <w:iCs w:val="0"/>
                      <w:color w:val="auto"/>
                      <w:kern w:val="0"/>
                      <w:sz w:val="21"/>
                      <w:szCs w:val="21"/>
                      <w:highlight w:val="none"/>
                      <w:u w:val="none"/>
                      <w:lang w:val="en-US" w:eastAsia="zh-CN" w:bidi="ar"/>
                    </w:rPr>
                    <w:t>0.24</w:t>
                  </w:r>
                  <w:r>
                    <w:rPr>
                      <w:rFonts w:hint="default" w:ascii="Times New Roman" w:hAnsi="Times New Roman" w:cs="Times New Roman"/>
                      <w:i w:val="0"/>
                      <w:iCs w:val="0"/>
                      <w:color w:val="auto"/>
                      <w:kern w:val="0"/>
                      <w:sz w:val="21"/>
                      <w:szCs w:val="21"/>
                      <w:highlight w:val="none"/>
                      <w:u w:val="none"/>
                      <w:lang w:val="en-US" w:eastAsia="zh-CN" w:bidi="ar"/>
                    </w:rPr>
                    <w:t>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r>
                    <w:rPr>
                      <w:rFonts w:hint="default" w:ascii="Times New Roman" w:hAnsi="Times New Roman" w:cs="Times New Roman"/>
                      <w:i w:val="0"/>
                      <w:iCs w:val="0"/>
                      <w:color w:val="auto"/>
                      <w:kern w:val="0"/>
                      <w:sz w:val="21"/>
                      <w:szCs w:val="21"/>
                      <w:highlight w:val="none"/>
                      <w:u w:val="none"/>
                      <w:vertAlign w:val="baseline"/>
                      <w:lang w:val="en-US" w:eastAsia="zh-CN" w:bidi="ar"/>
                    </w:rPr>
                    <w:t>；</w:t>
                  </w:r>
                </w:p>
                <w:p w14:paraId="0E8CD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②年处理批次=年工作时间÷每批次处理时间；</w:t>
                  </w:r>
                </w:p>
                <w:p w14:paraId="3C913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③年处理工件数=年处理批次×每批次可容纳挂具数×每个挂具挂件数</w:t>
                  </w:r>
                  <w:r>
                    <w:rPr>
                      <w:rFonts w:hint="eastAsia" w:cs="Times New Roman"/>
                      <w:i w:val="0"/>
                      <w:iCs w:val="0"/>
                      <w:color w:val="auto"/>
                      <w:kern w:val="0"/>
                      <w:sz w:val="21"/>
                      <w:szCs w:val="21"/>
                      <w:highlight w:val="none"/>
                      <w:u w:val="none"/>
                      <w:vertAlign w:val="baseline"/>
                      <w:lang w:val="en-US" w:eastAsia="zh-CN" w:bidi="ar"/>
                    </w:rPr>
                    <w:t>×</w:t>
                  </w: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生产线条数；</w:t>
                  </w:r>
                </w:p>
                <w:p w14:paraId="17A61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④年最大处理铝卷</w:t>
                  </w:r>
                  <w:r>
                    <w:rPr>
                      <w:rFonts w:hint="default" w:ascii="Times New Roman" w:hAnsi="Times New Roman" w:cs="Times New Roman"/>
                      <w:i w:val="0"/>
                      <w:iCs w:val="0"/>
                      <w:color w:val="auto"/>
                      <w:kern w:val="0"/>
                      <w:sz w:val="21"/>
                      <w:szCs w:val="21"/>
                      <w:highlight w:val="none"/>
                      <w:u w:val="none"/>
                      <w:vertAlign w:val="baseline"/>
                      <w:lang w:val="en-US" w:eastAsia="zh-CN" w:bidi="ar"/>
                    </w:rPr>
                    <w:t>面积</w:t>
                  </w: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=单件工件面积×年处理工件数</w:t>
                  </w:r>
                  <w:r>
                    <w:rPr>
                      <w:rFonts w:hint="eastAsia" w:ascii="Times New Roman" w:hAnsi="Times New Roman" w:cs="Times New Roman"/>
                      <w:i w:val="0"/>
                      <w:iCs w:val="0"/>
                      <w:color w:val="auto"/>
                      <w:kern w:val="0"/>
                      <w:sz w:val="21"/>
                      <w:szCs w:val="21"/>
                      <w:highlight w:val="none"/>
                      <w:u w:val="none"/>
                      <w:vertAlign w:val="baseline"/>
                      <w:lang w:val="en-US" w:eastAsia="zh-CN" w:bidi="ar"/>
                    </w:rPr>
                    <w:t>；</w:t>
                  </w:r>
                </w:p>
                <w:p w14:paraId="3CF9E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cs="Times New Roman"/>
                      <w:i w:val="0"/>
                      <w:iCs w:val="0"/>
                      <w:color w:val="auto"/>
                      <w:kern w:val="0"/>
                      <w:sz w:val="21"/>
                      <w:szCs w:val="21"/>
                      <w:highlight w:val="none"/>
                      <w:u w:val="none"/>
                      <w:vertAlign w:val="baseline"/>
                      <w:lang w:val="en-US" w:eastAsia="zh-CN" w:bidi="ar"/>
                    </w:rPr>
                    <w:t>⑤铝卷进入预处理线喷淋处理正反两面均可进行表面处理，表面处理面积按铝卷正反两面面积计算（忽略厚度面积），计算得</w:t>
                  </w:r>
                  <w:r>
                    <w:rPr>
                      <w:rFonts w:hint="eastAsia" w:cs="Times New Roman"/>
                      <w:i w:val="0"/>
                      <w:iCs w:val="0"/>
                      <w:color w:val="auto"/>
                      <w:kern w:val="0"/>
                      <w:sz w:val="21"/>
                      <w:szCs w:val="21"/>
                      <w:highlight w:val="none"/>
                      <w:u w:val="none"/>
                      <w:vertAlign w:val="baseline"/>
                      <w:lang w:val="en-US" w:eastAsia="zh-CN" w:bidi="ar"/>
                    </w:rPr>
                    <w:t>本</w:t>
                  </w:r>
                  <w:r>
                    <w:rPr>
                      <w:rFonts w:hint="default" w:ascii="Times New Roman" w:hAnsi="Times New Roman" w:cs="Times New Roman"/>
                      <w:i w:val="0"/>
                      <w:iCs w:val="0"/>
                      <w:color w:val="auto"/>
                      <w:kern w:val="0"/>
                      <w:sz w:val="21"/>
                      <w:szCs w:val="21"/>
                      <w:highlight w:val="none"/>
                      <w:u w:val="none"/>
                      <w:vertAlign w:val="baseline"/>
                      <w:lang w:val="en-US" w:eastAsia="zh-CN" w:bidi="ar"/>
                    </w:rPr>
                    <w:t>项目表面处理面积为</w:t>
                  </w:r>
                  <w:r>
                    <w:rPr>
                      <w:rFonts w:hint="eastAsia" w:ascii="Times New Roman" w:hAnsi="Times New Roman" w:cs="Times New Roman"/>
                      <w:i w:val="0"/>
                      <w:iCs w:val="0"/>
                      <w:color w:val="auto"/>
                      <w:kern w:val="0"/>
                      <w:sz w:val="21"/>
                      <w:szCs w:val="21"/>
                      <w:highlight w:val="none"/>
                      <w:u w:val="none"/>
                      <w:vertAlign w:val="baseline"/>
                      <w:lang w:val="en-US" w:eastAsia="zh-CN" w:bidi="ar"/>
                    </w:rPr>
                    <w:t>11</w:t>
                  </w:r>
                  <w:r>
                    <w:rPr>
                      <w:rFonts w:hint="default" w:ascii="Times New Roman" w:hAnsi="Times New Roman" w:cs="Times New Roman"/>
                      <w:i w:val="0"/>
                      <w:iCs w:val="0"/>
                      <w:color w:val="auto"/>
                      <w:kern w:val="0"/>
                      <w:sz w:val="21"/>
                      <w:szCs w:val="21"/>
                      <w:highlight w:val="none"/>
                      <w:u w:val="none"/>
                      <w:vertAlign w:val="baseline"/>
                      <w:lang w:val="en-US" w:eastAsia="zh-CN" w:bidi="ar"/>
                    </w:rPr>
                    <w:t>0万m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r>
                    <w:rPr>
                      <w:rFonts w:hint="default" w:ascii="Times New Roman" w:hAnsi="Times New Roman" w:cs="Times New Roman"/>
                      <w:i w:val="0"/>
                      <w:iCs w:val="0"/>
                      <w:color w:val="auto"/>
                      <w:kern w:val="0"/>
                      <w:sz w:val="21"/>
                      <w:szCs w:val="21"/>
                      <w:highlight w:val="none"/>
                      <w:u w:val="none"/>
                      <w:vertAlign w:val="baseline"/>
                      <w:lang w:val="en-US" w:eastAsia="zh-CN" w:bidi="ar"/>
                    </w:rPr>
                    <w:t>×2=</w:t>
                  </w:r>
                  <w:r>
                    <w:rPr>
                      <w:rFonts w:hint="eastAsia" w:ascii="Times New Roman" w:hAnsi="Times New Roman" w:cs="Times New Roman"/>
                      <w:i w:val="0"/>
                      <w:iCs w:val="0"/>
                      <w:color w:val="auto"/>
                      <w:kern w:val="0"/>
                      <w:sz w:val="21"/>
                      <w:szCs w:val="21"/>
                      <w:highlight w:val="none"/>
                      <w:u w:val="none"/>
                      <w:vertAlign w:val="baseline"/>
                      <w:lang w:val="en-US" w:eastAsia="zh-CN" w:bidi="ar"/>
                    </w:rPr>
                    <w:t>22</w:t>
                  </w:r>
                  <w:r>
                    <w:rPr>
                      <w:rFonts w:hint="default" w:ascii="Times New Roman" w:hAnsi="Times New Roman" w:cs="Times New Roman"/>
                      <w:i w:val="0"/>
                      <w:iCs w:val="0"/>
                      <w:color w:val="auto"/>
                      <w:kern w:val="0"/>
                      <w:sz w:val="21"/>
                      <w:szCs w:val="21"/>
                      <w:highlight w:val="none"/>
                      <w:u w:val="none"/>
                      <w:vertAlign w:val="baseline"/>
                      <w:lang w:val="en-US" w:eastAsia="zh-CN" w:bidi="ar"/>
                    </w:rPr>
                    <w:t>0万m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p>
              </w:tc>
            </w:tr>
          </w:tbl>
          <w:p w14:paraId="6BAF000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01E4D3D0">
            <w:pPr>
              <w:widowControl/>
              <w:kinsoku/>
              <w:autoSpaceDE/>
              <w:autoSpaceDN/>
              <w:adjustRightInd/>
              <w:snapToGrid/>
              <w:spacing w:line="360" w:lineRule="auto"/>
              <w:ind w:firstLine="480" w:firstLineChars="200"/>
              <w:jc w:val="left"/>
              <w:textAlignment w:val="auto"/>
              <w:rPr>
                <w:rFonts w:hint="default" w:ascii="Times New Roman" w:hAnsi="Times New Roman" w:cs="Times New Roman"/>
                <w:color w:val="auto"/>
                <w:kern w:val="2"/>
                <w:sz w:val="24"/>
                <w:szCs w:val="24"/>
                <w:highlight w:val="none"/>
                <w:vertAlign w:val="baseline"/>
                <w:lang w:val="en-US" w:eastAsia="zh-CN" w:bidi="ar-SA"/>
              </w:rPr>
            </w:pPr>
            <w:r>
              <w:rPr>
                <w:rFonts w:hint="default" w:ascii="Times New Roman" w:hAnsi="Times New Roman" w:cs="Times New Roman"/>
                <w:color w:val="auto"/>
                <w:kern w:val="2"/>
                <w:sz w:val="24"/>
                <w:szCs w:val="24"/>
                <w:highlight w:val="none"/>
                <w:lang w:val="en-US" w:eastAsia="zh-CN" w:bidi="ar-SA"/>
              </w:rPr>
              <w:t>根据上表计算，本项目</w:t>
            </w:r>
            <w:r>
              <w:rPr>
                <w:rFonts w:hint="eastAsia" w:ascii="Times New Roman" w:hAnsi="Times New Roman" w:cs="Times New Roman"/>
                <w:color w:val="auto"/>
                <w:kern w:val="2"/>
                <w:sz w:val="24"/>
                <w:szCs w:val="24"/>
                <w:highlight w:val="none"/>
                <w:lang w:val="en-US" w:eastAsia="zh-CN" w:bidi="ar-SA"/>
              </w:rPr>
              <w:t>预</w:t>
            </w:r>
            <w:r>
              <w:rPr>
                <w:rFonts w:hint="default" w:ascii="Times New Roman" w:hAnsi="Times New Roman" w:cs="Times New Roman"/>
                <w:color w:val="auto"/>
                <w:kern w:val="2"/>
                <w:sz w:val="24"/>
                <w:szCs w:val="24"/>
                <w:highlight w:val="none"/>
                <w:lang w:val="en-US" w:eastAsia="zh-CN" w:bidi="ar-SA"/>
              </w:rPr>
              <w:t>处理线年最大可处理</w:t>
            </w:r>
            <w:r>
              <w:rPr>
                <w:rFonts w:hint="eastAsia" w:cs="Times New Roman"/>
                <w:color w:val="auto"/>
                <w:kern w:val="2"/>
                <w:sz w:val="24"/>
                <w:szCs w:val="24"/>
                <w:highlight w:val="none"/>
                <w:lang w:val="en-US" w:eastAsia="zh-CN" w:bidi="ar-SA"/>
              </w:rPr>
              <w:t>工件面积</w:t>
            </w:r>
            <w:r>
              <w:rPr>
                <w:rFonts w:hint="default" w:ascii="Times New Roman" w:hAnsi="Times New Roman" w:cs="Times New Roman"/>
                <w:color w:val="auto"/>
                <w:kern w:val="2"/>
                <w:sz w:val="24"/>
                <w:szCs w:val="24"/>
                <w:highlight w:val="none"/>
                <w:lang w:val="en-US" w:eastAsia="zh-CN" w:bidi="ar-SA"/>
              </w:rPr>
              <w:t>为</w:t>
            </w:r>
            <w:r>
              <w:rPr>
                <w:rFonts w:hint="eastAsia" w:cs="Times New Roman"/>
                <w:color w:val="auto"/>
                <w:kern w:val="2"/>
                <w:sz w:val="24"/>
                <w:szCs w:val="24"/>
                <w:highlight w:val="none"/>
                <w:lang w:val="en-US" w:eastAsia="zh-CN" w:bidi="ar-SA"/>
              </w:rPr>
              <w:t>235.4</w:t>
            </w:r>
            <w:r>
              <w:rPr>
                <w:rFonts w:hint="default" w:ascii="Times New Roman" w:hAnsi="Times New Roman" w:cs="Times New Roman"/>
                <w:color w:val="auto"/>
                <w:kern w:val="2"/>
                <w:sz w:val="24"/>
                <w:szCs w:val="24"/>
                <w:highlight w:val="none"/>
                <w:vertAlign w:val="baseline"/>
                <w:lang w:val="en-US" w:eastAsia="zh-CN" w:bidi="ar-SA"/>
              </w:rPr>
              <w:t>万</w:t>
            </w:r>
            <w:r>
              <w:rPr>
                <w:rFonts w:hint="default" w:ascii="Times New Roman" w:hAnsi="Times New Roman" w:cs="Times New Roman"/>
                <w:color w:val="auto"/>
                <w:kern w:val="2"/>
                <w:sz w:val="24"/>
                <w:szCs w:val="24"/>
                <w:highlight w:val="none"/>
                <w:lang w:val="en-US" w:eastAsia="zh-CN" w:bidi="ar-SA"/>
              </w:rPr>
              <w:t>m</w:t>
            </w:r>
            <w:r>
              <w:rPr>
                <w:rFonts w:hint="default" w:ascii="Times New Roman" w:hAnsi="Times New Roman" w:cs="Times New Roman"/>
                <w:color w:val="auto"/>
                <w:kern w:val="2"/>
                <w:sz w:val="24"/>
                <w:szCs w:val="24"/>
                <w:highlight w:val="none"/>
                <w:vertAlign w:val="superscript"/>
                <w:lang w:val="en-US" w:eastAsia="zh-CN" w:bidi="ar-SA"/>
              </w:rPr>
              <w:t>2</w:t>
            </w:r>
            <w:r>
              <w:rPr>
                <w:rFonts w:hint="default" w:ascii="Times New Roman" w:hAnsi="Times New Roman" w:cs="Times New Roman"/>
                <w:color w:val="auto"/>
                <w:kern w:val="2"/>
                <w:sz w:val="24"/>
                <w:szCs w:val="24"/>
                <w:highlight w:val="none"/>
                <w:vertAlign w:val="baseline"/>
                <w:lang w:val="en-US" w:eastAsia="zh-CN" w:bidi="ar-SA"/>
              </w:rPr>
              <w:t>，可满足本项目设计</w:t>
            </w:r>
            <w:r>
              <w:rPr>
                <w:rFonts w:hint="eastAsia" w:cs="Times New Roman"/>
                <w:color w:val="auto"/>
                <w:kern w:val="2"/>
                <w:sz w:val="24"/>
                <w:szCs w:val="24"/>
                <w:highlight w:val="none"/>
                <w:vertAlign w:val="baseline"/>
                <w:lang w:val="en-US" w:eastAsia="zh-CN" w:bidi="ar-SA"/>
              </w:rPr>
              <w:t>工件22</w:t>
            </w:r>
            <w:r>
              <w:rPr>
                <w:rFonts w:hint="default" w:ascii="Times New Roman" w:hAnsi="Times New Roman" w:cs="Times New Roman"/>
                <w:color w:val="auto"/>
                <w:kern w:val="2"/>
                <w:sz w:val="24"/>
                <w:szCs w:val="24"/>
                <w:highlight w:val="none"/>
                <w:vertAlign w:val="baseline"/>
                <w:lang w:val="en-US" w:eastAsia="zh-CN" w:bidi="ar-SA"/>
              </w:rPr>
              <w:t>0万m</w:t>
            </w:r>
            <w:r>
              <w:rPr>
                <w:rFonts w:hint="default" w:ascii="Times New Roman" w:hAnsi="Times New Roman" w:cs="Times New Roman"/>
                <w:color w:val="auto"/>
                <w:kern w:val="2"/>
                <w:sz w:val="24"/>
                <w:szCs w:val="24"/>
                <w:highlight w:val="none"/>
                <w:vertAlign w:val="superscript"/>
                <w:lang w:val="en-US" w:eastAsia="zh-CN" w:bidi="ar-SA"/>
              </w:rPr>
              <w:t>2</w:t>
            </w:r>
            <w:r>
              <w:rPr>
                <w:rFonts w:hint="default" w:ascii="Times New Roman" w:hAnsi="Times New Roman" w:cs="Times New Roman"/>
                <w:color w:val="auto"/>
                <w:kern w:val="2"/>
                <w:sz w:val="24"/>
                <w:szCs w:val="24"/>
                <w:highlight w:val="none"/>
                <w:vertAlign w:val="baseline"/>
                <w:lang w:val="en-US" w:eastAsia="zh-CN" w:bidi="ar-SA"/>
              </w:rPr>
              <w:t>的产能需求，设备产能与设计产能匹配。</w:t>
            </w:r>
          </w:p>
          <w:p w14:paraId="067B1724">
            <w:pPr>
              <w:widowControl/>
              <w:kinsoku/>
              <w:autoSpaceDE/>
              <w:autoSpaceDN/>
              <w:adjustRightInd/>
              <w:snapToGrid/>
              <w:spacing w:line="360" w:lineRule="auto"/>
              <w:ind w:firstLine="482" w:firstLineChars="200"/>
              <w:jc w:val="left"/>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rPr>
              <w:t>原辅材料用量及</w:t>
            </w:r>
            <w:r>
              <w:rPr>
                <w:rFonts w:hint="eastAsia" w:ascii="Times New Roman" w:hAnsi="Times New Roman" w:cs="Times New Roman"/>
                <w:b/>
                <w:bCs/>
                <w:color w:val="auto"/>
                <w:sz w:val="24"/>
                <w:szCs w:val="24"/>
                <w:highlight w:val="none"/>
                <w:lang w:val="en-US" w:eastAsia="zh-CN"/>
              </w:rPr>
              <w:t>理化特性</w:t>
            </w:r>
          </w:p>
          <w:p w14:paraId="4816244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（1）原辅材料用量</w:t>
            </w:r>
          </w:p>
          <w:p w14:paraId="2439B5F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本项目原辅材料种类及年用量见下表。</w:t>
            </w:r>
          </w:p>
          <w:p w14:paraId="441CFCD0">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原辅材料一览表</w:t>
            </w:r>
          </w:p>
          <w:tbl>
            <w:tblPr>
              <w:tblStyle w:val="48"/>
              <w:tblW w:w="49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4"/>
              <w:gridCol w:w="1324"/>
              <w:gridCol w:w="982"/>
              <w:gridCol w:w="871"/>
              <w:gridCol w:w="457"/>
              <w:gridCol w:w="694"/>
              <w:gridCol w:w="1374"/>
              <w:gridCol w:w="1050"/>
              <w:gridCol w:w="1161"/>
            </w:tblGrid>
            <w:tr w14:paraId="3C9D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A03240C">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118740E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1D69386">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年用量</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AD2ABC9">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最大贮存量</w:t>
                  </w:r>
                </w:p>
              </w:tc>
              <w:tc>
                <w:tcPr>
                  <w:tcW w:w="274" w:type="pct"/>
                  <w:tcBorders>
                    <w:top w:val="single" w:color="000000" w:sz="4" w:space="0"/>
                    <w:left w:val="single" w:color="000000" w:sz="4" w:space="0"/>
                    <w:bottom w:val="single" w:color="000000" w:sz="4" w:space="0"/>
                    <w:right w:val="single" w:color="000000" w:sz="4" w:space="0"/>
                  </w:tcBorders>
                  <w:noWrap w:val="0"/>
                  <w:vAlign w:val="center"/>
                </w:tcPr>
                <w:p w14:paraId="663E36A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AEAB96A">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形态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E9028B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型号/规格</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7ACBCB1">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使用环节</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0C2A81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贮存位置</w:t>
                  </w:r>
                </w:p>
              </w:tc>
            </w:tr>
            <w:tr w14:paraId="3FE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9081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D451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铝卷</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99D7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8910</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8BAE7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1350</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D4D60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0FF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8FE508B">
                  <w:pPr>
                    <w:keepNext w:val="0"/>
                    <w:keepLines w:val="0"/>
                    <w:pageBreakBefore w:val="0"/>
                    <w:widowControl/>
                    <w:suppressLineNumbers w:val="0"/>
                    <w:kinsoku/>
                    <w:wordWrap w:val="0"/>
                    <w:overflowPunct/>
                    <w:topLinePunct/>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1001</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3003型3mm（厚）×1</w:t>
                  </w:r>
                  <w:r>
                    <w:rPr>
                      <w:rFonts w:hint="eastAsia"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00mm（宽）</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8C87F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机加工</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444DC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物料仓库（</w:t>
                  </w:r>
                  <w:r>
                    <w:rPr>
                      <w:rFonts w:hint="eastAsia" w:ascii="Times New Roman" w:hAnsi="Times New Roman" w:eastAsia="宋体"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w:t>
                  </w:r>
                </w:p>
              </w:tc>
            </w:tr>
            <w:tr w14:paraId="3FB8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9C68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57B64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09AB26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18.2248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1D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0.00032t</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2B6D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万</w:t>
                  </w: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3F5C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气态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F097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0.7174kg/m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57FF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烘干、</w:t>
                  </w:r>
                  <w:r>
                    <w:rPr>
                      <w:rFonts w:hint="eastAsia" w:ascii="Times New Roman" w:hAnsi="Times New Roman" w:eastAsia="宋体" w:cs="Times New Roman"/>
                      <w:i w:val="0"/>
                      <w:iCs w:val="0"/>
                      <w:color w:val="auto"/>
                      <w:kern w:val="0"/>
                      <w:sz w:val="21"/>
                      <w:szCs w:val="21"/>
                      <w:highlight w:val="none"/>
                      <w:u w:val="none"/>
                      <w:lang w:val="en-US" w:eastAsia="zh-CN" w:bidi="ar"/>
                    </w:rPr>
                    <w:t>固化</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8054A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管道内</w:t>
                  </w:r>
                </w:p>
              </w:tc>
            </w:tr>
            <w:tr w14:paraId="7AD2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BD5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CF882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3C3F8B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27.746</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9035E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BC7E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6A1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03A97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078343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p>
              </w:tc>
              <w:tc>
                <w:tcPr>
                  <w:tcW w:w="690" w:type="pct"/>
                  <w:vMerge w:val="restart"/>
                  <w:tcBorders>
                    <w:top w:val="single" w:color="000000" w:sz="4" w:space="0"/>
                    <w:left w:val="single" w:color="000000" w:sz="4" w:space="0"/>
                    <w:right w:val="single" w:color="000000" w:sz="4" w:space="0"/>
                  </w:tcBorders>
                  <w:noWrap w:val="0"/>
                  <w:vAlign w:val="center"/>
                </w:tcPr>
                <w:p w14:paraId="62D86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3BAB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6F0F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A79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无铬钝化剂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E19773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3.750</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E42949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A5CF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D95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0118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bottom w:val="single" w:color="000000" w:sz="4" w:space="0"/>
                    <w:right w:val="single" w:color="000000" w:sz="4" w:space="0"/>
                  </w:tcBorders>
                  <w:noWrap w:val="0"/>
                  <w:vAlign w:val="center"/>
                </w:tcPr>
                <w:p w14:paraId="327BA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5B10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0F9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8AD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7132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稀释剂</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25CF4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57B06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0.11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CE7CD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9EE5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C67DE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53C43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喷涂、固化</w:t>
                  </w:r>
                </w:p>
              </w:tc>
              <w:tc>
                <w:tcPr>
                  <w:tcW w:w="690" w:type="pct"/>
                  <w:vMerge w:val="continue"/>
                  <w:tcBorders>
                    <w:left w:val="single" w:color="000000" w:sz="4" w:space="0"/>
                    <w:right w:val="single" w:color="000000" w:sz="4" w:space="0"/>
                  </w:tcBorders>
                  <w:noWrap w:val="0"/>
                  <w:vAlign w:val="center"/>
                </w:tcPr>
                <w:p w14:paraId="775C7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A3B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26C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5A87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底漆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2FC08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19073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0.18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A879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CDD2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8F18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4C9E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72CD1B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C9A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45B9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D3D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面漆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7FD4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039A7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0.35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9C97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683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63897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0494F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5298E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906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492A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8</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F1D7E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清漆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5073AF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32C58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6D2B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B204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2F5DC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2D3E61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19DD9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583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1E2D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9</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A930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粉末涂料</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78431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023A1B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7.79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0C4D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EEE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D60A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w:t>
                  </w:r>
                  <w:r>
                    <w:rPr>
                      <w:rFonts w:hint="eastAsia" w:ascii="Times New Roman" w:hAnsi="Times New Roman" w:eastAsia="宋体" w:cs="Times New Roman"/>
                      <w:i w:val="0"/>
                      <w:iCs w:val="0"/>
                      <w:color w:val="auto"/>
                      <w:kern w:val="0"/>
                      <w:sz w:val="21"/>
                      <w:szCs w:val="21"/>
                      <w:highlight w:val="none"/>
                      <w:u w:val="none"/>
                      <w:lang w:val="en-US" w:eastAsia="zh-CN" w:bidi="ar"/>
                    </w:rPr>
                    <w:t>箱</w:t>
                  </w:r>
                </w:p>
              </w:tc>
              <w:tc>
                <w:tcPr>
                  <w:tcW w:w="629" w:type="pct"/>
                  <w:vMerge w:val="continue"/>
                  <w:tcBorders>
                    <w:left w:val="single" w:color="000000" w:sz="4" w:space="0"/>
                    <w:right w:val="single" w:color="000000" w:sz="4" w:space="0"/>
                  </w:tcBorders>
                  <w:noWrap w:val="0"/>
                  <w:vAlign w:val="center"/>
                </w:tcPr>
                <w:p w14:paraId="525580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1A78A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573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30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323241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u w:val="none"/>
                      <w:lang w:val="en-US" w:eastAsia="zh-CN" w:bidi="ar"/>
                    </w:rPr>
                    <w:t>清洗剂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9BD6D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12092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280E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3687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D810E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w:t>
                  </w:r>
                  <w:r>
                    <w:rPr>
                      <w:rFonts w:hint="eastAsia" w:cs="Times New Roman"/>
                      <w:i w:val="0"/>
                      <w:iCs w:val="0"/>
                      <w:color w:val="auto"/>
                      <w:kern w:val="0"/>
                      <w:sz w:val="21"/>
                      <w:szCs w:val="21"/>
                      <w:u w:val="none"/>
                      <w:lang w:val="en-US" w:eastAsia="zh-CN" w:bidi="ar"/>
                    </w:rPr>
                    <w:t>k</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桶</w:t>
                  </w:r>
                </w:p>
              </w:tc>
              <w:tc>
                <w:tcPr>
                  <w:tcW w:w="629" w:type="pct"/>
                  <w:vMerge w:val="continue"/>
                  <w:tcBorders>
                    <w:left w:val="single" w:color="000000" w:sz="4" w:space="0"/>
                    <w:right w:val="single" w:color="000000" w:sz="4" w:space="0"/>
                  </w:tcBorders>
                  <w:noWrap w:val="0"/>
                  <w:vAlign w:val="center"/>
                </w:tcPr>
                <w:p w14:paraId="35742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02463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7D8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D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11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02F00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焊丝</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F7C51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18.563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3288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42E5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BC8A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C2B2F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w:t>
                  </w:r>
                  <w:r>
                    <w:rPr>
                      <w:rFonts w:hint="eastAsia" w:ascii="Times New Roman" w:hAnsi="Times New Roman" w:eastAsia="宋体" w:cs="Times New Roman"/>
                      <w:i w:val="0"/>
                      <w:iCs w:val="0"/>
                      <w:color w:val="auto"/>
                      <w:kern w:val="0"/>
                      <w:sz w:val="21"/>
                      <w:szCs w:val="21"/>
                      <w:highlight w:val="none"/>
                      <w:u w:val="none"/>
                      <w:lang w:val="en-US" w:eastAsia="zh-CN" w:bidi="ar"/>
                    </w:rPr>
                    <w:t>箱</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E558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焊接</w:t>
                  </w:r>
                </w:p>
              </w:tc>
              <w:tc>
                <w:tcPr>
                  <w:tcW w:w="690" w:type="pct"/>
                  <w:vMerge w:val="continue"/>
                  <w:tcBorders>
                    <w:left w:val="single" w:color="000000" w:sz="4" w:space="0"/>
                    <w:bottom w:val="single" w:color="000000" w:sz="4" w:space="0"/>
                    <w:right w:val="single" w:color="000000" w:sz="4" w:space="0"/>
                  </w:tcBorders>
                  <w:noWrap w:val="0"/>
                  <w:vAlign w:val="center"/>
                </w:tcPr>
                <w:p w14:paraId="1405B3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156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9F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12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42E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pH调整剂（硫酸70%）</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43638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DC5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C058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007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739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6FA79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自建污水处理站</w:t>
                  </w:r>
                </w:p>
              </w:tc>
              <w:tc>
                <w:tcPr>
                  <w:tcW w:w="690" w:type="pct"/>
                  <w:vMerge w:val="restart"/>
                  <w:tcBorders>
                    <w:top w:val="single" w:color="000000" w:sz="4" w:space="0"/>
                    <w:left w:val="single" w:color="000000" w:sz="4" w:space="0"/>
                    <w:right w:val="single" w:color="000000" w:sz="4" w:space="0"/>
                  </w:tcBorders>
                  <w:noWrap w:val="0"/>
                  <w:vAlign w:val="center"/>
                </w:tcPr>
                <w:p w14:paraId="4899C6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2EDC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BF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2"/>
                      <w:sz w:val="21"/>
                      <w:szCs w:val="21"/>
                      <w:highlight w:val="none"/>
                      <w:u w:val="none"/>
                      <w:lang w:val="en-US" w:eastAsia="zh-CN" w:bidi="ar-SA"/>
                    </w:rPr>
                    <w:t>13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7C79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PAC</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62D51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89E8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5FD46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B5F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540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2FFC5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797E3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012D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C9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2"/>
                      <w:sz w:val="21"/>
                      <w:szCs w:val="21"/>
                      <w:highlight w:val="none"/>
                      <w:u w:val="none"/>
                      <w:lang w:val="en-US" w:eastAsia="zh-CN" w:bidi="ar-SA"/>
                    </w:rPr>
                    <w:t>14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1C85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PAM</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81A73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D0C6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5FC5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851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6BABB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46C36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6B8E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794D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0C2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15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82DB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氢氧化钠</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D9DFE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DDE1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2CC0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542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A26AD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07D90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90" w:type="pct"/>
                  <w:vMerge w:val="continue"/>
                  <w:tcBorders>
                    <w:left w:val="single" w:color="000000" w:sz="4" w:space="0"/>
                    <w:right w:val="single" w:color="000000" w:sz="4" w:space="0"/>
                  </w:tcBorders>
                  <w:noWrap w:val="0"/>
                  <w:vAlign w:val="center"/>
                </w:tcPr>
                <w:p w14:paraId="51F4DE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p>
              </w:tc>
            </w:tr>
            <w:tr w14:paraId="166C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72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16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3B55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氯化钙</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6BCC6B">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6B30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5264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A9FB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18E0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bottom w:val="single" w:color="000000" w:sz="4" w:space="0"/>
                    <w:right w:val="single" w:color="000000" w:sz="4" w:space="0"/>
                  </w:tcBorders>
                  <w:noWrap w:val="0"/>
                  <w:vAlign w:val="center"/>
                </w:tcPr>
                <w:p w14:paraId="25C26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90" w:type="pct"/>
                  <w:vMerge w:val="continue"/>
                  <w:tcBorders>
                    <w:left w:val="single" w:color="000000" w:sz="4" w:space="0"/>
                    <w:bottom w:val="single" w:color="000000" w:sz="4" w:space="0"/>
                    <w:right w:val="single" w:color="000000" w:sz="4" w:space="0"/>
                  </w:tcBorders>
                  <w:noWrap w:val="0"/>
                  <w:vAlign w:val="center"/>
                </w:tcPr>
                <w:p w14:paraId="768A7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p>
              </w:tc>
            </w:tr>
            <w:tr w14:paraId="39F1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E0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17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0A2A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机油</w:t>
                  </w:r>
                </w:p>
                <w:p w14:paraId="69672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（润滑油）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D23B8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EEFD9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B064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4815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79521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200L/桶</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ACD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设备运行维护</w:t>
                  </w:r>
                </w:p>
              </w:tc>
              <w:tc>
                <w:tcPr>
                  <w:tcW w:w="690" w:type="pct"/>
                  <w:vMerge w:val="restart"/>
                  <w:tcBorders>
                    <w:top w:val="single" w:color="000000" w:sz="4" w:space="0"/>
                    <w:left w:val="single" w:color="000000" w:sz="4" w:space="0"/>
                    <w:bottom w:val="single" w:color="000000" w:sz="4" w:space="0"/>
                    <w:right w:val="single" w:color="000000" w:sz="4" w:space="0"/>
                  </w:tcBorders>
                  <w:noWrap w:val="0"/>
                  <w:vAlign w:val="center"/>
                </w:tcPr>
                <w:p w14:paraId="4603F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sz w:val="21"/>
                      <w:szCs w:val="21"/>
                      <w:highlight w:val="none"/>
                      <w:lang w:val="en-US" w:eastAsia="zh-CN"/>
                    </w:rPr>
                    <w:t>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6E15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FEB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18</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A1A0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液压油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ABF2C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4D3C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DD47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BAE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5CE0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200L/桶</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AC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62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31E6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39958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注：</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①铝的密度为按2.7×10</w:t>
                  </w:r>
                  <w:r>
                    <w:rPr>
                      <w:rFonts w:hint="eastAsia"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千克/m³计算，项目年处理铝卷</w:t>
                  </w: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0万m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，铝卷厚度为3mm，计算铝卷重量为</w:t>
                  </w:r>
                  <w:r>
                    <w:rPr>
                      <w:rFonts w:hint="eastAsia" w:ascii="Times New Roman" w:hAnsi="Times New Roman" w:eastAsia="宋体" w:cs="Times New Roman"/>
                      <w:i w:val="0"/>
                      <w:iCs w:val="0"/>
                      <w:color w:val="auto"/>
                      <w:kern w:val="0"/>
                      <w:sz w:val="21"/>
                      <w:szCs w:val="21"/>
                      <w:highlight w:val="none"/>
                      <w:u w:val="none"/>
                      <w:lang w:val="en-US" w:eastAsia="zh-CN" w:bidi="ar"/>
                    </w:rPr>
                    <w:t>8</w:t>
                  </w:r>
                  <w:r>
                    <w:rPr>
                      <w:rFonts w:hint="eastAsia" w:cs="Times New Roman"/>
                      <w:i w:val="0"/>
                      <w:iCs w:val="0"/>
                      <w:color w:val="auto"/>
                      <w:kern w:val="0"/>
                      <w:sz w:val="21"/>
                      <w:szCs w:val="21"/>
                      <w:highlight w:val="none"/>
                      <w:u w:val="none"/>
                      <w:lang w:val="en-US" w:eastAsia="zh-CN" w:bidi="ar"/>
                    </w:rPr>
                    <w:t>91</w:t>
                  </w:r>
                  <w:r>
                    <w:rPr>
                      <w:rFonts w:hint="default" w:ascii="Times New Roman" w:hAnsi="Times New Roman" w:eastAsia="宋体" w:cs="Times New Roman"/>
                      <w:i w:val="0"/>
                      <w:iCs w:val="0"/>
                      <w:color w:val="auto"/>
                      <w:kern w:val="0"/>
                      <w:sz w:val="21"/>
                      <w:szCs w:val="21"/>
                      <w:highlight w:val="none"/>
                      <w:u w:val="none"/>
                      <w:lang w:val="en-US" w:eastAsia="zh-CN" w:bidi="ar"/>
                    </w:rPr>
                    <w:t>0t/a。</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②</w:t>
                  </w: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生产线：</w:t>
                  </w:r>
                  <w:r>
                    <w:rPr>
                      <w:rFonts w:hint="eastAsia" w:cs="Times New Roman"/>
                      <w:i w:val="0"/>
                      <w:iCs w:val="0"/>
                      <w:color w:val="auto"/>
                      <w:kern w:val="0"/>
                      <w:sz w:val="21"/>
                      <w:szCs w:val="21"/>
                      <w:highlight w:val="none"/>
                      <w:u w:val="none"/>
                      <w:lang w:val="en-US" w:eastAsia="zh-CN" w:bidi="ar"/>
                    </w:rPr>
                    <w:t>根据建设单位提供资料，烘干炉年用气量44752m</w:t>
                  </w:r>
                  <w:r>
                    <w:rPr>
                      <w:rFonts w:hint="eastAsia" w:cs="Times New Roman"/>
                      <w:i w:val="0"/>
                      <w:iCs w:val="0"/>
                      <w:color w:val="auto"/>
                      <w:kern w:val="0"/>
                      <w:sz w:val="21"/>
                      <w:szCs w:val="21"/>
                      <w:highlight w:val="none"/>
                      <w:u w:val="none"/>
                      <w:vertAlign w:val="superscript"/>
                      <w:lang w:val="en-US" w:eastAsia="zh-CN" w:bidi="ar"/>
                    </w:rPr>
                    <w:t>3</w:t>
                  </w:r>
                  <w:r>
                    <w:rPr>
                      <w:rFonts w:hint="eastAsia" w:cs="Times New Roman"/>
                      <w:i w:val="0"/>
                      <w:iCs w:val="0"/>
                      <w:color w:val="auto"/>
                      <w:kern w:val="0"/>
                      <w:sz w:val="21"/>
                      <w:szCs w:val="21"/>
                      <w:highlight w:val="none"/>
                      <w:u w:val="none"/>
                      <w:vertAlign w:val="baseline"/>
                      <w:lang w:val="en-US" w:eastAsia="zh-CN" w:bidi="ar"/>
                    </w:rPr>
                    <w:t>，</w:t>
                  </w:r>
                  <w:r>
                    <w:rPr>
                      <w:rFonts w:hint="eastAsia" w:cs="Times New Roman"/>
                      <w:i w:val="0"/>
                      <w:iCs w:val="0"/>
                      <w:color w:val="auto"/>
                      <w:kern w:val="0"/>
                      <w:sz w:val="21"/>
                      <w:szCs w:val="21"/>
                      <w:highlight w:val="none"/>
                      <w:u w:val="none"/>
                      <w:lang w:val="en-US" w:eastAsia="zh-CN" w:bidi="ar"/>
                    </w:rPr>
                    <w:t>固化炉年用天然气137496 m³，合计天然气年用量约18.2248m</w:t>
                  </w:r>
                  <w:r>
                    <w:rPr>
                      <w:rFonts w:hint="eastAsia" w:cs="Times New Roman"/>
                      <w:i w:val="0"/>
                      <w:iCs w:val="0"/>
                      <w:color w:val="auto"/>
                      <w:kern w:val="0"/>
                      <w:sz w:val="21"/>
                      <w:szCs w:val="21"/>
                      <w:highlight w:val="none"/>
                      <w:u w:val="none"/>
                      <w:vertAlign w:val="superscript"/>
                      <w:lang w:val="en-US" w:eastAsia="zh-CN" w:bidi="ar"/>
                    </w:rPr>
                    <w:t>3</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③厂区内不设天然气储存装置，故本项目按管道中的天然气量计算最大</w:t>
                  </w:r>
                  <w:r>
                    <w:rPr>
                      <w:rFonts w:hint="eastAsia" w:cs="Times New Roman"/>
                      <w:i w:val="0"/>
                      <w:iCs w:val="0"/>
                      <w:color w:val="auto"/>
                      <w:kern w:val="0"/>
                      <w:sz w:val="21"/>
                      <w:szCs w:val="21"/>
                      <w:highlight w:val="none"/>
                      <w:u w:val="none"/>
                      <w:lang w:val="en-US" w:eastAsia="zh-CN" w:bidi="ar"/>
                    </w:rPr>
                    <w:t>存在</w:t>
                  </w:r>
                  <w:r>
                    <w:rPr>
                      <w:rFonts w:hint="default" w:ascii="Times New Roman" w:hAnsi="Times New Roman" w:eastAsia="宋体" w:cs="Times New Roman"/>
                      <w:i w:val="0"/>
                      <w:iCs w:val="0"/>
                      <w:color w:val="auto"/>
                      <w:kern w:val="0"/>
                      <w:sz w:val="21"/>
                      <w:szCs w:val="21"/>
                      <w:highlight w:val="none"/>
                      <w:u w:val="none"/>
                      <w:lang w:val="en-US" w:eastAsia="zh-CN" w:bidi="ar"/>
                    </w:rPr>
                    <w:t>量，厂区内天然气管道长度约</w:t>
                  </w:r>
                  <w:r>
                    <w:rPr>
                      <w:rFonts w:hint="eastAsia" w:ascii="Times New Roman" w:hAnsi="Times New Roman" w:eastAsia="宋体"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0m，管径40mm，密度0.7174kg/m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烘干炉、固化区</w:t>
                  </w:r>
                  <w:r>
                    <w:rPr>
                      <w:rFonts w:hint="default" w:ascii="Times New Roman" w:hAnsi="Times New Roman" w:eastAsia="宋体" w:cs="Times New Roman"/>
                      <w:i w:val="0"/>
                      <w:iCs w:val="0"/>
                      <w:color w:val="auto"/>
                      <w:kern w:val="0"/>
                      <w:sz w:val="21"/>
                      <w:szCs w:val="21"/>
                      <w:highlight w:val="none"/>
                      <w:u w:val="none"/>
                      <w:lang w:val="en-US" w:eastAsia="zh-CN" w:bidi="ar"/>
                    </w:rPr>
                    <w:t>配备</w:t>
                  </w:r>
                  <w:r>
                    <w:rPr>
                      <w:rFonts w:hint="eastAsia" w:cs="Times New Roman"/>
                      <w:i w:val="0"/>
                      <w:iCs w:val="0"/>
                      <w:color w:val="auto"/>
                      <w:kern w:val="0"/>
                      <w:sz w:val="21"/>
                      <w:szCs w:val="21"/>
                      <w:highlight w:val="none"/>
                      <w:u w:val="none"/>
                      <w:lang w:val="en-US" w:eastAsia="zh-CN" w:bidi="ar"/>
                    </w:rPr>
                    <w:t>各2</w:t>
                  </w:r>
                  <w:r>
                    <w:rPr>
                      <w:rFonts w:hint="default" w:ascii="Times New Roman" w:hAnsi="Times New Roman" w:eastAsia="宋体" w:cs="Times New Roman"/>
                      <w:i w:val="0"/>
                      <w:iCs w:val="0"/>
                      <w:color w:val="auto"/>
                      <w:kern w:val="0"/>
                      <w:sz w:val="21"/>
                      <w:szCs w:val="21"/>
                      <w:highlight w:val="none"/>
                      <w:u w:val="none"/>
                      <w:lang w:val="en-US" w:eastAsia="zh-CN" w:bidi="ar"/>
                    </w:rPr>
                    <w:t>根燃气管道。则本项目厂区内最大储存量=天然气管道截面积×厂区内长度×密度×管数，约为</w:t>
                  </w:r>
                  <w:r>
                    <w:rPr>
                      <w:rFonts w:hint="eastAsia" w:cs="Times New Roman"/>
                      <w:i w:val="0"/>
                      <w:iCs w:val="0"/>
                      <w:color w:val="auto"/>
                      <w:kern w:val="0"/>
                      <w:sz w:val="21"/>
                      <w:szCs w:val="21"/>
                      <w:highlight w:val="none"/>
                      <w:u w:val="none"/>
                      <w:lang w:val="en-US" w:eastAsia="zh-CN" w:bidi="ar"/>
                    </w:rPr>
                    <w:t>0.00064</w:t>
                  </w:r>
                  <w:r>
                    <w:rPr>
                      <w:rFonts w:hint="default" w:ascii="Times New Roman" w:hAnsi="Times New Roman" w:eastAsia="宋体" w:cs="Times New Roman"/>
                      <w:i w:val="0"/>
                      <w:iCs w:val="0"/>
                      <w:color w:val="auto"/>
                      <w:kern w:val="0"/>
                      <w:sz w:val="21"/>
                      <w:szCs w:val="21"/>
                      <w:highlight w:val="none"/>
                      <w:u w:val="none"/>
                      <w:lang w:val="en-US" w:eastAsia="zh-CN" w:bidi="ar"/>
                    </w:rPr>
                    <w:t>t。</w:t>
                  </w:r>
                </w:p>
                <w:p w14:paraId="59300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color w:val="auto"/>
                      <w:sz w:val="21"/>
                      <w:szCs w:val="21"/>
                      <w:lang w:val="en-US" w:eastAsia="zh-CN"/>
                    </w:rPr>
                  </w:pPr>
                  <w:r>
                    <w:rPr>
                      <w:rFonts w:hint="eastAsia"/>
                      <w:color w:val="auto"/>
                      <w:sz w:val="21"/>
                      <w:szCs w:val="21"/>
                      <w:lang w:val="en-US" w:eastAsia="zh-CN"/>
                    </w:rPr>
                    <w:t>④除油剂用量：除油</w:t>
                  </w:r>
                  <w:r>
                    <w:rPr>
                      <w:rFonts w:hint="eastAsia"/>
                      <w:color w:val="auto"/>
                      <w:sz w:val="21"/>
                      <w:szCs w:val="21"/>
                    </w:rPr>
                    <w:t>工艺浓度</w:t>
                  </w:r>
                  <w:r>
                    <w:rPr>
                      <w:rFonts w:hint="eastAsia"/>
                      <w:color w:val="auto"/>
                      <w:sz w:val="21"/>
                      <w:szCs w:val="21"/>
                      <w:lang w:val="en-US" w:eastAsia="zh-CN"/>
                    </w:rPr>
                    <w:t>1~3%（本项目取3%，质量分数），</w:t>
                  </w:r>
                  <w:r>
                    <w:rPr>
                      <w:rFonts w:hint="eastAsia" w:cs="Times New Roman"/>
                      <w:b w:val="0"/>
                      <w:bCs w:val="0"/>
                      <w:color w:val="auto"/>
                      <w:sz w:val="21"/>
                      <w:szCs w:val="21"/>
                      <w:vertAlign w:val="baseline"/>
                      <w:lang w:val="en-US" w:eastAsia="zh-CN"/>
                    </w:rPr>
                    <w:t>工作槽液密度约 1.002kg/L（t/m</w:t>
                  </w:r>
                  <w:r>
                    <w:rPr>
                      <w:rFonts w:hint="eastAsia"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w:t>
                  </w:r>
                  <w:r>
                    <w:rPr>
                      <w:rFonts w:hint="eastAsia"/>
                      <w:color w:val="auto"/>
                      <w:sz w:val="21"/>
                      <w:szCs w:val="21"/>
                      <w:lang w:eastAsia="zh-CN"/>
                    </w:rPr>
                    <w:t>；</w:t>
                  </w:r>
                  <w:r>
                    <w:rPr>
                      <w:rFonts w:hint="eastAsia"/>
                      <w:color w:val="auto"/>
                      <w:sz w:val="21"/>
                      <w:szCs w:val="21"/>
                      <w:lang w:val="en-US" w:eastAsia="zh-CN"/>
                    </w:rPr>
                    <w:t>预脱脂池、脱脂</w:t>
                  </w:r>
                  <w:r>
                    <w:rPr>
                      <w:rFonts w:hint="eastAsia"/>
                      <w:color w:val="auto"/>
                      <w:sz w:val="21"/>
                      <w:szCs w:val="21"/>
                    </w:rPr>
                    <w:t>池</w:t>
                  </w:r>
                  <w:r>
                    <w:rPr>
                      <w:rFonts w:hint="eastAsia"/>
                      <w:color w:val="auto"/>
                      <w:sz w:val="21"/>
                      <w:szCs w:val="21"/>
                      <w:lang w:val="en-US" w:eastAsia="zh-CN"/>
                    </w:rPr>
                    <w:t>定期更换槽液量179.2m</w:t>
                  </w:r>
                  <w:r>
                    <w:rPr>
                      <w:rFonts w:hint="eastAsia"/>
                      <w:color w:val="auto"/>
                      <w:sz w:val="21"/>
                      <w:szCs w:val="21"/>
                      <w:vertAlign w:val="superscript"/>
                      <w:lang w:val="en-US" w:eastAsia="zh-CN"/>
                    </w:rPr>
                    <w:t>3</w:t>
                  </w:r>
                  <w:r>
                    <w:rPr>
                      <w:rFonts w:hint="eastAsia"/>
                      <w:color w:val="auto"/>
                      <w:sz w:val="21"/>
                      <w:szCs w:val="21"/>
                      <w:lang w:val="en-US" w:eastAsia="zh-CN"/>
                    </w:rPr>
                    <w:t>，对应除油剂</w:t>
                  </w:r>
                  <w:r>
                    <w:rPr>
                      <w:rFonts w:hint="eastAsia"/>
                      <w:color w:val="auto"/>
                      <w:sz w:val="21"/>
                      <w:szCs w:val="21"/>
                    </w:rPr>
                    <w:t>用量为</w:t>
                  </w:r>
                  <w:r>
                    <w:rPr>
                      <w:rFonts w:hint="eastAsia"/>
                      <w:color w:val="auto"/>
                      <w:sz w:val="21"/>
                      <w:szCs w:val="21"/>
                      <w:lang w:val="en-US" w:eastAsia="zh-CN"/>
                    </w:rPr>
                    <w:t>=槽液</w:t>
                  </w:r>
                  <w:r>
                    <w:rPr>
                      <w:rFonts w:hint="eastAsia"/>
                      <w:color w:val="auto"/>
                      <w:sz w:val="21"/>
                      <w:szCs w:val="21"/>
                    </w:rPr>
                    <w:t>年更换量×工艺浓度=</w:t>
                  </w:r>
                  <w:r>
                    <w:rPr>
                      <w:rFonts w:hint="eastAsia"/>
                      <w:color w:val="auto"/>
                      <w:sz w:val="21"/>
                      <w:szCs w:val="21"/>
                      <w:lang w:val="en-US" w:eastAsia="zh-CN"/>
                    </w:rPr>
                    <w:t>179.2m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a×3%×1.002kg/L</w:t>
                  </w:r>
                  <w:r>
                    <w:rPr>
                      <w:rFonts w:hint="eastAsia"/>
                      <w:color w:val="auto"/>
                      <w:sz w:val="21"/>
                      <w:szCs w:val="21"/>
                    </w:rPr>
                    <w:t>=</w:t>
                  </w:r>
                  <w:r>
                    <w:rPr>
                      <w:rFonts w:hint="eastAsia"/>
                      <w:color w:val="auto"/>
                      <w:sz w:val="21"/>
                      <w:szCs w:val="21"/>
                      <w:lang w:val="en-US" w:eastAsia="zh-CN"/>
                    </w:rPr>
                    <w:t>5.387</w:t>
                  </w:r>
                  <w:r>
                    <w:rPr>
                      <w:rFonts w:hint="eastAsia"/>
                      <w:color w:val="auto"/>
                      <w:sz w:val="21"/>
                      <w:szCs w:val="21"/>
                    </w:rPr>
                    <w:t>t/</w:t>
                  </w:r>
                  <w:r>
                    <w:rPr>
                      <w:rFonts w:hint="eastAsia"/>
                      <w:color w:val="auto"/>
                      <w:sz w:val="21"/>
                      <w:szCs w:val="21"/>
                      <w:lang w:val="en-US" w:eastAsia="zh-CN"/>
                    </w:rPr>
                    <w:t>a。参考《污染源源强核算技术指南 电镀》（HJ984-2018）中附录 D 不同形状镀件镀液带出量参考值一览表中简单镀件形状的自动线挂镀的镀液带出量＜0.1L/m</w:t>
                  </w:r>
                  <w:r>
                    <w:rPr>
                      <w:rFonts w:hint="eastAsia"/>
                      <w:color w:val="auto"/>
                      <w:sz w:val="21"/>
                      <w:szCs w:val="21"/>
                      <w:vertAlign w:val="superscript"/>
                      <w:lang w:val="en-US" w:eastAsia="zh-CN"/>
                    </w:rPr>
                    <w:t>2</w:t>
                  </w:r>
                  <w:r>
                    <w:rPr>
                      <w:rFonts w:hint="eastAsia"/>
                      <w:color w:val="auto"/>
                      <w:sz w:val="21"/>
                      <w:szCs w:val="21"/>
                      <w:lang w:val="en-US" w:eastAsia="zh-CN"/>
                    </w:rPr>
                    <w:t xml:space="preserve"> ， 取 值 0.1L/m</w:t>
                  </w:r>
                  <w:r>
                    <w:rPr>
                      <w:rFonts w:hint="eastAsia"/>
                      <w:color w:val="auto"/>
                      <w:sz w:val="21"/>
                      <w:szCs w:val="21"/>
                      <w:vertAlign w:val="superscript"/>
                      <w:lang w:val="en-US" w:eastAsia="zh-CN"/>
                    </w:rPr>
                    <w:t>2</w:t>
                  </w:r>
                  <w:r>
                    <w:rPr>
                      <w:rFonts w:hint="eastAsia"/>
                      <w:color w:val="auto"/>
                      <w:sz w:val="21"/>
                      <w:szCs w:val="21"/>
                      <w:lang w:val="en-US" w:eastAsia="zh-CN"/>
                    </w:rPr>
                    <w:t xml:space="preserve"> 。脱脂除油工序工件带出量为0.1L/m</w:t>
                  </w:r>
                  <w:r>
                    <w:rPr>
                      <w:rFonts w:hint="eastAsia"/>
                      <w:color w:val="auto"/>
                      <w:sz w:val="21"/>
                      <w:szCs w:val="21"/>
                      <w:vertAlign w:val="superscript"/>
                      <w:lang w:val="en-US" w:eastAsia="zh-CN"/>
                    </w:rPr>
                    <w:t>2</w:t>
                  </w:r>
                  <w:r>
                    <w:rPr>
                      <w:rFonts w:hint="eastAsia"/>
                      <w:color w:val="auto"/>
                      <w:sz w:val="21"/>
                      <w:szCs w:val="21"/>
                      <w:lang w:val="en-US" w:eastAsia="zh-CN"/>
                    </w:rPr>
                    <w:t xml:space="preserve"> × 1100000m</w:t>
                  </w:r>
                  <w:r>
                    <w:rPr>
                      <w:rFonts w:hint="eastAsia"/>
                      <w:color w:val="auto"/>
                      <w:sz w:val="21"/>
                      <w:szCs w:val="21"/>
                      <w:vertAlign w:val="superscript"/>
                      <w:lang w:val="en-US" w:eastAsia="zh-CN"/>
                    </w:rPr>
                    <w:t>2</w:t>
                  </w:r>
                  <w:r>
                    <w:rPr>
                      <w:rFonts w:hint="eastAsia"/>
                      <w:color w:val="auto"/>
                      <w:sz w:val="21"/>
                      <w:szCs w:val="21"/>
                      <w:lang w:val="en-US" w:eastAsia="zh-CN"/>
                    </w:rPr>
                    <w:t xml:space="preserve"> ×2×1.002k</w:t>
                  </w:r>
                  <w:r>
                    <w:rPr>
                      <w:rFonts w:hint="eastAsia" w:cs="Times New Roman"/>
                      <w:b w:val="0"/>
                      <w:bCs w:val="0"/>
                      <w:color w:val="auto"/>
                      <w:sz w:val="21"/>
                      <w:szCs w:val="21"/>
                      <w:vertAlign w:val="baseline"/>
                      <w:lang w:val="en-US" w:eastAsia="zh-CN"/>
                    </w:rPr>
                    <w:t>g/L</w:t>
                  </w:r>
                  <w:r>
                    <w:rPr>
                      <w:rFonts w:hint="eastAsia"/>
                      <w:color w:val="auto"/>
                      <w:sz w:val="21"/>
                      <w:szCs w:val="21"/>
                      <w:vertAlign w:val="baseline"/>
                      <w:lang w:val="en-US" w:eastAsia="zh-CN"/>
                    </w:rPr>
                    <w:t>×3%</w:t>
                  </w:r>
                  <w:r>
                    <w:rPr>
                      <w:rFonts w:hint="eastAsia"/>
                      <w:color w:val="auto"/>
                      <w:sz w:val="21"/>
                      <w:szCs w:val="21"/>
                      <w:lang w:val="en-US" w:eastAsia="zh-CN"/>
                    </w:rPr>
                    <w:t>× 10</w:t>
                  </w:r>
                  <w:r>
                    <w:rPr>
                      <w:rFonts w:hint="eastAsia"/>
                      <w:color w:val="auto"/>
                      <w:sz w:val="21"/>
                      <w:szCs w:val="21"/>
                      <w:vertAlign w:val="superscript"/>
                      <w:lang w:val="en-US" w:eastAsia="zh-CN"/>
                    </w:rPr>
                    <w:t>-3</w:t>
                  </w:r>
                  <w:r>
                    <w:rPr>
                      <w:rFonts w:hint="eastAsia"/>
                      <w:color w:val="auto"/>
                      <w:sz w:val="21"/>
                      <w:szCs w:val="21"/>
                      <w:vertAlign w:val="baseline"/>
                      <w:lang w:val="en-US" w:eastAsia="zh-CN"/>
                    </w:rPr>
                    <w:t>×2</w:t>
                  </w:r>
                  <w:r>
                    <w:rPr>
                      <w:rFonts w:hint="eastAsia"/>
                      <w:color w:val="auto"/>
                      <w:sz w:val="21"/>
                      <w:szCs w:val="21"/>
                      <w:lang w:val="en-US" w:eastAsia="zh-CN"/>
                    </w:rPr>
                    <w:t>=13.234t/a。根据建设单位提供数据，单位面积工件除油剂消耗量为0.0083kg/m</w:t>
                  </w:r>
                  <w:r>
                    <w:rPr>
                      <w:rFonts w:hint="eastAsia"/>
                      <w:color w:val="auto"/>
                      <w:sz w:val="21"/>
                      <w:szCs w:val="21"/>
                      <w:vertAlign w:val="superscript"/>
                      <w:lang w:val="en-US" w:eastAsia="zh-CN"/>
                    </w:rPr>
                    <w:t>2</w:t>
                  </w:r>
                  <w:r>
                    <w:rPr>
                      <w:rFonts w:hint="eastAsia"/>
                      <w:color w:val="auto"/>
                      <w:sz w:val="21"/>
                      <w:szCs w:val="21"/>
                      <w:vertAlign w:val="baseline"/>
                      <w:lang w:val="en-US" w:eastAsia="zh-CN"/>
                    </w:rPr>
                    <w:t>，则</w:t>
                  </w:r>
                  <w:r>
                    <w:rPr>
                      <w:rFonts w:hint="eastAsia"/>
                      <w:color w:val="auto"/>
                      <w:sz w:val="21"/>
                      <w:szCs w:val="21"/>
                      <w:lang w:val="en-US" w:eastAsia="zh-CN"/>
                    </w:rPr>
                    <w:t>生产消耗量为0.0083kg/m</w:t>
                  </w:r>
                  <w:r>
                    <w:rPr>
                      <w:rFonts w:hint="eastAsia"/>
                      <w:color w:val="auto"/>
                      <w:sz w:val="21"/>
                      <w:szCs w:val="21"/>
                      <w:vertAlign w:val="superscript"/>
                      <w:lang w:val="en-US" w:eastAsia="zh-CN"/>
                    </w:rPr>
                    <w:t>2</w:t>
                  </w:r>
                  <w:r>
                    <w:rPr>
                      <w:rFonts w:hint="eastAsia"/>
                      <w:color w:val="auto"/>
                      <w:sz w:val="21"/>
                      <w:szCs w:val="21"/>
                      <w:lang w:val="en-US" w:eastAsia="zh-CN"/>
                    </w:rPr>
                    <w:t>×1100000m</w:t>
                  </w:r>
                  <w:r>
                    <w:rPr>
                      <w:rFonts w:hint="eastAsia"/>
                      <w:color w:val="auto"/>
                      <w:sz w:val="21"/>
                      <w:szCs w:val="21"/>
                      <w:vertAlign w:val="superscript"/>
                      <w:lang w:val="en-US" w:eastAsia="zh-CN"/>
                    </w:rPr>
                    <w:t>2</w:t>
                  </w:r>
                  <w:r>
                    <w:rPr>
                      <w:rFonts w:hint="eastAsia"/>
                      <w:color w:val="auto"/>
                      <w:sz w:val="21"/>
                      <w:szCs w:val="21"/>
                      <w:lang w:val="en-US" w:eastAsia="zh-CN"/>
                    </w:rPr>
                    <w:t xml:space="preserve"> × 10</w:t>
                  </w:r>
                  <w:r>
                    <w:rPr>
                      <w:rFonts w:hint="eastAsia"/>
                      <w:color w:val="auto"/>
                      <w:sz w:val="21"/>
                      <w:szCs w:val="21"/>
                      <w:vertAlign w:val="superscript"/>
                      <w:lang w:val="en-US" w:eastAsia="zh-CN"/>
                    </w:rPr>
                    <w:t>-3</w:t>
                  </w:r>
                  <w:r>
                    <w:rPr>
                      <w:rFonts w:hint="eastAsia"/>
                      <w:color w:val="auto"/>
                      <w:sz w:val="21"/>
                      <w:szCs w:val="21"/>
                      <w:vertAlign w:val="baseline"/>
                      <w:lang w:val="en-US" w:eastAsia="zh-CN"/>
                    </w:rPr>
                    <w:t>=9.13t/a。</w:t>
                  </w:r>
                  <w:r>
                    <w:rPr>
                      <w:rFonts w:hint="eastAsia"/>
                      <w:color w:val="auto"/>
                      <w:sz w:val="21"/>
                      <w:szCs w:val="21"/>
                      <w:lang w:val="en-US" w:eastAsia="zh-CN"/>
                    </w:rPr>
                    <w:t>以上</w:t>
                  </w:r>
                  <w:r>
                    <w:rPr>
                      <w:rFonts w:hint="eastAsia"/>
                      <w:color w:val="auto"/>
                      <w:sz w:val="21"/>
                      <w:szCs w:val="21"/>
                    </w:rPr>
                    <w:t>合计</w:t>
                  </w:r>
                  <w:r>
                    <w:rPr>
                      <w:rFonts w:hint="eastAsia"/>
                      <w:color w:val="auto"/>
                      <w:sz w:val="21"/>
                      <w:szCs w:val="21"/>
                      <w:lang w:val="en-US" w:eastAsia="zh-CN"/>
                    </w:rPr>
                    <w:t>除油剂用量为=5.387+13.234+9.13=27.746</w:t>
                  </w:r>
                  <w:r>
                    <w:rPr>
                      <w:rFonts w:hint="eastAsia"/>
                      <w:color w:val="auto"/>
                      <w:sz w:val="21"/>
                      <w:szCs w:val="21"/>
                    </w:rPr>
                    <w:t>t/a</w:t>
                  </w:r>
                  <w:r>
                    <w:rPr>
                      <w:rFonts w:hint="eastAsia"/>
                      <w:color w:val="auto"/>
                      <w:sz w:val="21"/>
                      <w:szCs w:val="21"/>
                      <w:lang w:eastAsia="zh-CN"/>
                    </w:rPr>
                    <w:t>。</w:t>
                  </w:r>
                </w:p>
                <w:p w14:paraId="5E499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color w:val="auto"/>
                      <w:sz w:val="21"/>
                      <w:szCs w:val="21"/>
                      <w:lang w:eastAsia="zh-CN"/>
                    </w:rPr>
                  </w:pPr>
                  <w:r>
                    <w:rPr>
                      <w:rFonts w:hint="eastAsia"/>
                      <w:color w:val="auto"/>
                      <w:sz w:val="21"/>
                      <w:szCs w:val="21"/>
                      <w:lang w:val="en-US" w:eastAsia="zh-CN"/>
                    </w:rPr>
                    <w:t>⑤无铬钝化剂用量：</w:t>
                  </w:r>
                  <w:r>
                    <w:rPr>
                      <w:rFonts w:hint="eastAsia"/>
                      <w:color w:val="auto"/>
                      <w:sz w:val="21"/>
                      <w:szCs w:val="21"/>
                    </w:rPr>
                    <w:t>钝化工艺浓度</w:t>
                  </w:r>
                  <w:r>
                    <w:rPr>
                      <w:rFonts w:hint="eastAsia"/>
                      <w:color w:val="auto"/>
                      <w:sz w:val="21"/>
                      <w:szCs w:val="21"/>
                      <w:lang w:val="en-US" w:eastAsia="zh-CN"/>
                    </w:rPr>
                    <w:t>为1%</w:t>
                  </w:r>
                  <w:r>
                    <w:rPr>
                      <w:rFonts w:hint="eastAsia"/>
                      <w:color w:val="auto"/>
                      <w:sz w:val="21"/>
                      <w:szCs w:val="21"/>
                    </w:rPr>
                    <w:t>，</w:t>
                  </w:r>
                  <w:r>
                    <w:rPr>
                      <w:rFonts w:hint="eastAsia" w:cs="Times New Roman"/>
                      <w:b w:val="0"/>
                      <w:bCs w:val="0"/>
                      <w:color w:val="auto"/>
                      <w:sz w:val="21"/>
                      <w:szCs w:val="21"/>
                      <w:lang w:val="en-US" w:eastAsia="zh-CN"/>
                    </w:rPr>
                    <w:t>密</w:t>
                  </w:r>
                  <w:r>
                    <w:rPr>
                      <w:rFonts w:hint="default" w:ascii="Times New Roman" w:hAnsi="Times New Roman" w:cs="Times New Roman"/>
                      <w:b w:val="0"/>
                      <w:bCs w:val="0"/>
                      <w:color w:val="auto"/>
                      <w:sz w:val="21"/>
                      <w:szCs w:val="21"/>
                      <w:lang w:val="en-US" w:eastAsia="zh-CN"/>
                    </w:rPr>
                    <w:t>度:1.32~1.43g/cm</w:t>
                  </w:r>
                  <w:r>
                    <w:rPr>
                      <w:rFonts w:hint="default" w:ascii="Times New Roman" w:hAnsi="Times New Roman"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，工作槽液密度约 1.003kg/L。</w:t>
                  </w:r>
                  <w:r>
                    <w:rPr>
                      <w:rFonts w:hint="eastAsia"/>
                      <w:color w:val="auto"/>
                      <w:sz w:val="21"/>
                      <w:szCs w:val="21"/>
                      <w:lang w:val="en-US" w:eastAsia="zh-CN"/>
                    </w:rPr>
                    <w:t>无铬钝化定期更换槽液44.8m</w:t>
                  </w:r>
                  <w:r>
                    <w:rPr>
                      <w:rFonts w:hint="eastAsia"/>
                      <w:color w:val="auto"/>
                      <w:sz w:val="21"/>
                      <w:szCs w:val="21"/>
                      <w:vertAlign w:val="superscript"/>
                      <w:lang w:val="en-US" w:eastAsia="zh-CN"/>
                    </w:rPr>
                    <w:t>3</w:t>
                  </w:r>
                  <w:r>
                    <w:rPr>
                      <w:rFonts w:hint="eastAsia"/>
                      <w:color w:val="auto"/>
                      <w:sz w:val="21"/>
                      <w:szCs w:val="21"/>
                      <w:lang w:val="en-US" w:eastAsia="zh-CN"/>
                    </w:rPr>
                    <w:t>，对应无铬钝化剂</w:t>
                  </w:r>
                  <w:r>
                    <w:rPr>
                      <w:rFonts w:hint="eastAsia"/>
                      <w:color w:val="auto"/>
                      <w:sz w:val="21"/>
                      <w:szCs w:val="21"/>
                    </w:rPr>
                    <w:t>用量为</w:t>
                  </w:r>
                  <w:r>
                    <w:rPr>
                      <w:rFonts w:hint="eastAsia"/>
                      <w:color w:val="auto"/>
                      <w:sz w:val="21"/>
                      <w:szCs w:val="21"/>
                      <w:lang w:val="en-US" w:eastAsia="zh-CN"/>
                    </w:rPr>
                    <w:t>=槽液</w:t>
                  </w:r>
                  <w:r>
                    <w:rPr>
                      <w:rFonts w:hint="eastAsia"/>
                      <w:color w:val="auto"/>
                      <w:sz w:val="21"/>
                      <w:szCs w:val="21"/>
                    </w:rPr>
                    <w:t>年更换量×工艺浓度=</w:t>
                  </w:r>
                  <w:r>
                    <w:rPr>
                      <w:rFonts w:hint="eastAsia"/>
                      <w:color w:val="auto"/>
                      <w:sz w:val="21"/>
                      <w:szCs w:val="21"/>
                      <w:lang w:val="en-US" w:eastAsia="zh-CN"/>
                    </w:rPr>
                    <w:t>44.8m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a×1%×1.003t/m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0.449</w:t>
                  </w:r>
                  <w:r>
                    <w:rPr>
                      <w:rFonts w:hint="eastAsia"/>
                      <w:color w:val="auto"/>
                      <w:sz w:val="21"/>
                      <w:szCs w:val="21"/>
                    </w:rPr>
                    <w:t>t/</w:t>
                  </w:r>
                  <w:r>
                    <w:rPr>
                      <w:rFonts w:hint="eastAsia"/>
                      <w:color w:val="auto"/>
                      <w:sz w:val="21"/>
                      <w:szCs w:val="21"/>
                      <w:lang w:val="en-US" w:eastAsia="zh-CN"/>
                    </w:rPr>
                    <w:t>a。参考《污染源源强核算技术指南 电镀》（HJ984-2018）中附录 D 不同形状镀件镀液带出量参考值一览表中简单镀件形状的自动线挂镀的镀液带出量＜0.1L/m</w:t>
                  </w:r>
                  <w:r>
                    <w:rPr>
                      <w:rFonts w:hint="eastAsia"/>
                      <w:color w:val="auto"/>
                      <w:sz w:val="21"/>
                      <w:szCs w:val="21"/>
                      <w:vertAlign w:val="superscript"/>
                      <w:lang w:val="en-US" w:eastAsia="zh-CN"/>
                    </w:rPr>
                    <w:t>2</w:t>
                  </w:r>
                  <w:r>
                    <w:rPr>
                      <w:rFonts w:hint="eastAsia"/>
                      <w:color w:val="auto"/>
                      <w:sz w:val="21"/>
                      <w:szCs w:val="21"/>
                      <w:lang w:val="en-US" w:eastAsia="zh-CN"/>
                    </w:rPr>
                    <w:t xml:space="preserve"> ， 取 值 0.1L/m</w:t>
                  </w:r>
                  <w:r>
                    <w:rPr>
                      <w:rFonts w:hint="eastAsia"/>
                      <w:color w:val="auto"/>
                      <w:sz w:val="21"/>
                      <w:szCs w:val="21"/>
                      <w:vertAlign w:val="superscript"/>
                      <w:lang w:val="en-US" w:eastAsia="zh-CN"/>
                    </w:rPr>
                    <w:t>2</w:t>
                  </w:r>
                  <w:r>
                    <w:rPr>
                      <w:rFonts w:hint="eastAsia"/>
                      <w:color w:val="auto"/>
                      <w:sz w:val="21"/>
                      <w:szCs w:val="21"/>
                      <w:lang w:val="en-US" w:eastAsia="zh-CN"/>
                    </w:rPr>
                    <w:t xml:space="preserve"> 。根据建设单位提供数据，单位面积工件无铬钝化反应消耗量为0.004kg/m</w:t>
                  </w:r>
                  <w:r>
                    <w:rPr>
                      <w:rFonts w:hint="eastAsia"/>
                      <w:color w:val="auto"/>
                      <w:sz w:val="21"/>
                      <w:szCs w:val="21"/>
                      <w:vertAlign w:val="superscript"/>
                      <w:lang w:val="en-US" w:eastAsia="zh-CN"/>
                    </w:rPr>
                    <w:t>2</w:t>
                  </w:r>
                  <w:r>
                    <w:rPr>
                      <w:rFonts w:hint="eastAsia"/>
                      <w:color w:val="auto"/>
                      <w:sz w:val="21"/>
                      <w:szCs w:val="21"/>
                      <w:vertAlign w:val="baseline"/>
                      <w:lang w:val="en-US" w:eastAsia="zh-CN"/>
                    </w:rPr>
                    <w:t>，需钝化处理的工件面积为550000m</w:t>
                  </w:r>
                  <w:r>
                    <w:rPr>
                      <w:rFonts w:hint="eastAsia"/>
                      <w:color w:val="auto"/>
                      <w:sz w:val="21"/>
                      <w:szCs w:val="21"/>
                      <w:vertAlign w:val="superscript"/>
                      <w:lang w:val="en-US" w:eastAsia="zh-CN"/>
                    </w:rPr>
                    <w:t>2</w:t>
                  </w:r>
                  <w:r>
                    <w:rPr>
                      <w:rFonts w:hint="eastAsia"/>
                      <w:color w:val="auto"/>
                      <w:sz w:val="21"/>
                      <w:szCs w:val="21"/>
                      <w:vertAlign w:val="baseline"/>
                      <w:lang w:val="en-US" w:eastAsia="zh-CN"/>
                    </w:rPr>
                    <w:t>，</w:t>
                  </w:r>
                  <w:r>
                    <w:rPr>
                      <w:rFonts w:hint="eastAsia"/>
                      <w:color w:val="auto"/>
                      <w:sz w:val="21"/>
                      <w:szCs w:val="21"/>
                      <w:lang w:val="en-US" w:eastAsia="zh-CN"/>
                    </w:rPr>
                    <w:t>工件带出量为0.1L/m</w:t>
                  </w:r>
                  <w:r>
                    <w:rPr>
                      <w:rFonts w:hint="eastAsia"/>
                      <w:color w:val="auto"/>
                      <w:sz w:val="21"/>
                      <w:szCs w:val="21"/>
                      <w:vertAlign w:val="superscript"/>
                      <w:lang w:val="en-US" w:eastAsia="zh-CN"/>
                    </w:rPr>
                    <w:t>2</w:t>
                  </w:r>
                  <w:r>
                    <w:rPr>
                      <w:rFonts w:hint="eastAsia"/>
                      <w:color w:val="auto"/>
                      <w:sz w:val="21"/>
                      <w:szCs w:val="21"/>
                      <w:lang w:val="en-US" w:eastAsia="zh-CN"/>
                    </w:rPr>
                    <w:t xml:space="preserve"> × 550000m</w:t>
                  </w:r>
                  <w:r>
                    <w:rPr>
                      <w:rFonts w:hint="eastAsia"/>
                      <w:color w:val="auto"/>
                      <w:sz w:val="21"/>
                      <w:szCs w:val="21"/>
                      <w:vertAlign w:val="superscript"/>
                      <w:lang w:val="en-US" w:eastAsia="zh-CN"/>
                    </w:rPr>
                    <w:t>2</w:t>
                  </w:r>
                  <w:r>
                    <w:rPr>
                      <w:rFonts w:hint="eastAsia"/>
                      <w:color w:val="auto"/>
                      <w:sz w:val="21"/>
                      <w:szCs w:val="21"/>
                      <w:lang w:val="en-US" w:eastAsia="zh-CN"/>
                    </w:rPr>
                    <w:t xml:space="preserve"> ×2×1.003kg/L</w:t>
                  </w:r>
                  <w:r>
                    <w:rPr>
                      <w:rFonts w:hint="eastAsia"/>
                      <w:color w:val="auto"/>
                      <w:sz w:val="21"/>
                      <w:szCs w:val="21"/>
                      <w:vertAlign w:val="baseline"/>
                      <w:lang w:val="en-US" w:eastAsia="zh-CN"/>
                    </w:rPr>
                    <w:t>×1%</w:t>
                  </w:r>
                  <w:r>
                    <w:rPr>
                      <w:rFonts w:hint="eastAsia"/>
                      <w:color w:val="auto"/>
                      <w:sz w:val="21"/>
                      <w:szCs w:val="21"/>
                      <w:lang w:val="en-US" w:eastAsia="zh-CN"/>
                    </w:rPr>
                    <w:t>× 10</w:t>
                  </w:r>
                  <w:r>
                    <w:rPr>
                      <w:rFonts w:hint="eastAsia"/>
                      <w:color w:val="auto"/>
                      <w:sz w:val="21"/>
                      <w:szCs w:val="21"/>
                      <w:vertAlign w:val="superscript"/>
                      <w:lang w:val="en-US" w:eastAsia="zh-CN"/>
                    </w:rPr>
                    <w:t>-3</w:t>
                  </w:r>
                  <w:r>
                    <w:rPr>
                      <w:rFonts w:hint="eastAsia"/>
                      <w:color w:val="auto"/>
                      <w:sz w:val="21"/>
                      <w:szCs w:val="21"/>
                      <w:lang w:val="en-US" w:eastAsia="zh-CN"/>
                    </w:rPr>
                    <w:t>= 1.102t/a。</w:t>
                  </w:r>
                  <w:r>
                    <w:rPr>
                      <w:rFonts w:hint="eastAsia"/>
                      <w:color w:val="auto"/>
                      <w:sz w:val="21"/>
                      <w:szCs w:val="21"/>
                      <w:vertAlign w:val="baseline"/>
                      <w:lang w:val="en-US" w:eastAsia="zh-CN"/>
                    </w:rPr>
                    <w:t>则</w:t>
                  </w:r>
                  <w:r>
                    <w:rPr>
                      <w:rFonts w:hint="eastAsia"/>
                      <w:color w:val="auto"/>
                      <w:sz w:val="21"/>
                      <w:szCs w:val="21"/>
                      <w:lang w:val="en-US" w:eastAsia="zh-CN"/>
                    </w:rPr>
                    <w:t>生产消耗量为0.004kg/m</w:t>
                  </w:r>
                  <w:r>
                    <w:rPr>
                      <w:rFonts w:hint="eastAsia"/>
                      <w:color w:val="auto"/>
                      <w:sz w:val="21"/>
                      <w:szCs w:val="21"/>
                      <w:vertAlign w:val="superscript"/>
                      <w:lang w:val="en-US" w:eastAsia="zh-CN"/>
                    </w:rPr>
                    <w:t>2</w:t>
                  </w:r>
                  <w:r>
                    <w:rPr>
                      <w:rFonts w:hint="eastAsia"/>
                      <w:color w:val="auto"/>
                      <w:sz w:val="21"/>
                      <w:szCs w:val="21"/>
                      <w:lang w:val="en-US" w:eastAsia="zh-CN"/>
                    </w:rPr>
                    <w:t>×550000m</w:t>
                  </w:r>
                  <w:r>
                    <w:rPr>
                      <w:rFonts w:hint="eastAsia"/>
                      <w:color w:val="auto"/>
                      <w:sz w:val="21"/>
                      <w:szCs w:val="21"/>
                      <w:vertAlign w:val="superscript"/>
                      <w:lang w:val="en-US" w:eastAsia="zh-CN"/>
                    </w:rPr>
                    <w:t>2</w:t>
                  </w:r>
                  <w:r>
                    <w:rPr>
                      <w:rFonts w:hint="eastAsia"/>
                      <w:color w:val="auto"/>
                      <w:sz w:val="21"/>
                      <w:szCs w:val="21"/>
                      <w:lang w:val="en-US" w:eastAsia="zh-CN"/>
                    </w:rPr>
                    <w:t xml:space="preserve"> × 10</w:t>
                  </w:r>
                  <w:r>
                    <w:rPr>
                      <w:rFonts w:hint="eastAsia"/>
                      <w:color w:val="auto"/>
                      <w:sz w:val="21"/>
                      <w:szCs w:val="21"/>
                      <w:vertAlign w:val="superscript"/>
                      <w:lang w:val="en-US" w:eastAsia="zh-CN"/>
                    </w:rPr>
                    <w:t>-3</w:t>
                  </w:r>
                  <w:r>
                    <w:rPr>
                      <w:rFonts w:hint="eastAsia"/>
                      <w:color w:val="auto"/>
                      <w:sz w:val="21"/>
                      <w:szCs w:val="21"/>
                      <w:vertAlign w:val="baseline"/>
                      <w:lang w:val="en-US" w:eastAsia="zh-CN"/>
                    </w:rPr>
                    <w:t>=2.2t/a。</w:t>
                  </w:r>
                  <w:r>
                    <w:rPr>
                      <w:rFonts w:hint="eastAsia"/>
                      <w:color w:val="auto"/>
                      <w:sz w:val="21"/>
                      <w:szCs w:val="21"/>
                      <w:lang w:val="en-US" w:eastAsia="zh-CN"/>
                    </w:rPr>
                    <w:t>以上</w:t>
                  </w:r>
                  <w:r>
                    <w:rPr>
                      <w:rFonts w:hint="eastAsia"/>
                      <w:color w:val="auto"/>
                      <w:sz w:val="21"/>
                      <w:szCs w:val="21"/>
                    </w:rPr>
                    <w:t>合计</w:t>
                  </w:r>
                  <w:r>
                    <w:rPr>
                      <w:rFonts w:hint="eastAsia"/>
                      <w:color w:val="auto"/>
                      <w:sz w:val="21"/>
                      <w:szCs w:val="21"/>
                      <w:lang w:val="en-US" w:eastAsia="zh-CN"/>
                    </w:rPr>
                    <w:t>无铬钝化剂用量为=0.449+1.102+2.2=3.750</w:t>
                  </w:r>
                  <w:r>
                    <w:rPr>
                      <w:rFonts w:hint="eastAsia"/>
                      <w:color w:val="auto"/>
                      <w:sz w:val="21"/>
                      <w:szCs w:val="21"/>
                    </w:rPr>
                    <w:t>t/a</w:t>
                  </w:r>
                  <w:r>
                    <w:rPr>
                      <w:rFonts w:hint="eastAsia"/>
                      <w:color w:val="auto"/>
                      <w:sz w:val="21"/>
                      <w:szCs w:val="21"/>
                      <w:lang w:eastAsia="zh-CN"/>
                    </w:rPr>
                    <w:t>。</w:t>
                  </w:r>
                </w:p>
                <w:p w14:paraId="0AD8408C">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color w:val="auto"/>
                      <w:sz w:val="21"/>
                      <w:szCs w:val="21"/>
                      <w:lang w:val="en-US" w:eastAsia="zh-CN"/>
                    </w:rPr>
                    <w:t>⑥</w:t>
                  </w:r>
                  <w:r>
                    <w:rPr>
                      <w:rFonts w:hint="default" w:ascii="Times New Roman" w:hAnsi="Times New Roman" w:cs="Times New Roman"/>
                      <w:bCs/>
                      <w:color w:val="auto"/>
                      <w:sz w:val="21"/>
                      <w:szCs w:val="21"/>
                      <w:highlight w:val="none"/>
                      <w:lang w:val="en-US" w:eastAsia="zh-CN"/>
                    </w:rPr>
                    <w:t>油性漆-底漆</w:t>
                  </w:r>
                  <w:r>
                    <w:rPr>
                      <w:rFonts w:hint="default" w:ascii="Times New Roman" w:hAnsi="Times New Roman" w:cs="Times New Roman"/>
                      <w:bCs/>
                      <w:color w:val="auto"/>
                      <w:sz w:val="21"/>
                      <w:szCs w:val="21"/>
                      <w:highlight w:val="none"/>
                    </w:rPr>
                    <w:t>调配方案为</w:t>
                  </w:r>
                  <w:r>
                    <w:rPr>
                      <w:rFonts w:hint="default" w:ascii="Times New Roman" w:hAnsi="Times New Roman" w:cs="Times New Roman"/>
                      <w:color w:val="auto"/>
                      <w:sz w:val="21"/>
                      <w:szCs w:val="21"/>
                      <w:highlight w:val="none"/>
                      <w:lang w:val="en-US" w:eastAsia="zh-CN"/>
                    </w:rPr>
                    <w:t>底漆:稀释剂=</w:t>
                  </w:r>
                  <w:r>
                    <w:rPr>
                      <w:rFonts w:hint="eastAsia" w:ascii="Times New Roman" w:hAnsi="Times New Roman" w:cs="Times New Roman"/>
                      <w:color w:val="auto"/>
                      <w:sz w:val="21"/>
                      <w:szCs w:val="21"/>
                      <w:highlight w:val="none"/>
                      <w:lang w:val="en-US" w:eastAsia="zh-CN"/>
                    </w:rPr>
                    <w:t>1：0.1</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已知底</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底漆</w:t>
                  </w:r>
                  <w:r>
                    <w:rPr>
                      <w:rFonts w:hint="default" w:ascii="Times New Roman" w:hAnsi="Times New Roman" w:cs="Times New Roman"/>
                      <w:bCs/>
                      <w:color w:val="auto"/>
                      <w:sz w:val="21"/>
                      <w:szCs w:val="21"/>
                      <w:highlight w:val="none"/>
                    </w:rPr>
                    <w:t>密度、固含量的计算过程如下：设</w:t>
                  </w:r>
                  <w:r>
                    <w:rPr>
                      <w:rFonts w:hint="default" w:ascii="Times New Roman" w:hAnsi="Times New Roman" w:cs="Times New Roman"/>
                      <w:bCs/>
                      <w:color w:val="auto"/>
                      <w:sz w:val="21"/>
                      <w:szCs w:val="21"/>
                      <w:highlight w:val="none"/>
                      <w:lang w:val="en-US" w:eastAsia="zh-CN"/>
                    </w:rPr>
                    <w:t>底</w:t>
                  </w:r>
                  <w:r>
                    <w:rPr>
                      <w:rFonts w:hint="default" w:ascii="Times New Roman" w:hAnsi="Times New Roman" w:cs="Times New Roman"/>
                      <w:bCs/>
                      <w:color w:val="auto"/>
                      <w:sz w:val="21"/>
                      <w:szCs w:val="21"/>
                      <w:highlight w:val="none"/>
                    </w:rPr>
                    <w:t>漆的年用量约为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X克，则稀释剂的年用量为</w:t>
                  </w:r>
                  <w:r>
                    <w:rPr>
                      <w:rFonts w:hint="eastAsia"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X克；调配后的</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底漆</w:t>
                  </w:r>
                  <w:r>
                    <w:rPr>
                      <w:rFonts w:hint="default" w:ascii="Times New Roman" w:hAnsi="Times New Roman" w:cs="Times New Roman"/>
                      <w:bCs/>
                      <w:color w:val="auto"/>
                      <w:sz w:val="21"/>
                      <w:szCs w:val="21"/>
                      <w:highlight w:val="none"/>
                    </w:rPr>
                    <w:t>总年用量为：</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w:t>
                  </w:r>
                  <w:r>
                    <w:rPr>
                      <w:rFonts w:hint="eastAsia"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Xg，总体积为：1X/</w:t>
                  </w:r>
                  <w:r>
                    <w:rPr>
                      <w:rFonts w:hint="default"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val="en-US" w:eastAsia="zh-CN"/>
                    </w:rPr>
                    <w:t>≈</w:t>
                  </w:r>
                  <w:r>
                    <w:rPr>
                      <w:rFonts w:hint="eastAsia" w:cs="Times New Roman"/>
                      <w:bCs/>
                      <w:color w:val="auto"/>
                      <w:sz w:val="21"/>
                      <w:szCs w:val="21"/>
                      <w:highlight w:val="none"/>
                      <w:lang w:val="en-US" w:eastAsia="zh-CN"/>
                    </w:rPr>
                    <w:t>0.965</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7FD7AD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auto"/>
                      <w:sz w:val="21"/>
                      <w:szCs w:val="21"/>
                      <w:lang w:val="en-US" w:eastAsia="zh-CN"/>
                    </w:rPr>
                  </w:pPr>
                  <w:r>
                    <w:rPr>
                      <w:rFonts w:hint="default" w:ascii="Times New Roman" w:hAnsi="Times New Roman" w:cs="Times New Roman"/>
                      <w:bCs/>
                      <w:color w:val="auto"/>
                      <w:sz w:val="21"/>
                      <w:szCs w:val="21"/>
                      <w:highlight w:val="none"/>
                    </w:rPr>
                    <w:t>调配后的底漆相对密度为：</w:t>
                  </w:r>
                  <w:r>
                    <w:rPr>
                      <w:rFonts w:hint="default" w:ascii="Times New Roman" w:hAnsi="Times New Roman" w:cs="Times New Roman"/>
                      <w:bCs/>
                      <w:color w:val="auto"/>
                      <w:sz w:val="21"/>
                      <w:szCs w:val="21"/>
                      <w:highlight w:val="none"/>
                      <w:lang w:val="en-US" w:eastAsia="zh-CN"/>
                    </w:rPr>
                    <w:t>1</w:t>
                  </w:r>
                  <w:r>
                    <w:rPr>
                      <w:rFonts w:hint="eastAsia"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0.965</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val="en-US" w:eastAsia="zh-CN"/>
                    </w:rPr>
                    <w:t>≈</w:t>
                  </w:r>
                  <w:r>
                    <w:rPr>
                      <w:rFonts w:hint="eastAsia" w:cs="Times New Roman"/>
                      <w:bCs/>
                      <w:color w:val="auto"/>
                      <w:sz w:val="21"/>
                      <w:szCs w:val="21"/>
                      <w:highlight w:val="none"/>
                      <w:lang w:val="en-US" w:eastAsia="zh-CN"/>
                    </w:rPr>
                    <w:t>1.14</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=油性底漆的固含量/调配后的油性底漆总年用量=（1-279g/L/1.173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）X/1.1Xg×100%=69.29</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p w14:paraId="26D9EF74">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⑦</w:t>
                  </w:r>
                  <w:r>
                    <w:rPr>
                      <w:rFonts w:hint="default" w:ascii="Times New Roman" w:hAnsi="Times New Roman" w:cs="Times New Roman"/>
                      <w:bCs/>
                      <w:color w:val="auto"/>
                      <w:sz w:val="21"/>
                      <w:szCs w:val="21"/>
                      <w:highlight w:val="none"/>
                      <w:lang w:val="en-US" w:eastAsia="zh-CN"/>
                    </w:rPr>
                    <w:t>油性漆-面漆调配方案为：</w:t>
                  </w:r>
                  <w:r>
                    <w:rPr>
                      <w:rFonts w:hint="default" w:ascii="Times New Roman" w:hAnsi="Times New Roman" w:cs="Times New Roman"/>
                      <w:color w:val="auto"/>
                      <w:sz w:val="21"/>
                      <w:szCs w:val="21"/>
                      <w:highlight w:val="none"/>
                      <w:lang w:val="en-US" w:eastAsia="zh-CN"/>
                    </w:rPr>
                    <w:t>面漆:稀释剂=1:0.</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已知面</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.07</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面漆</w:t>
                  </w:r>
                  <w:r>
                    <w:rPr>
                      <w:rFonts w:hint="default" w:ascii="Times New Roman" w:hAnsi="Times New Roman" w:cs="Times New Roman"/>
                      <w:bCs/>
                      <w:color w:val="auto"/>
                      <w:sz w:val="21"/>
                      <w:szCs w:val="21"/>
                      <w:highlight w:val="none"/>
                    </w:rPr>
                    <w:t>密度、固含量的计算过程如下：设</w:t>
                  </w:r>
                  <w:r>
                    <w:rPr>
                      <w:rFonts w:hint="default" w:ascii="Times New Roman" w:hAnsi="Times New Roman" w:cs="Times New Roman"/>
                      <w:color w:val="auto"/>
                      <w:sz w:val="21"/>
                      <w:szCs w:val="21"/>
                      <w:highlight w:val="none"/>
                      <w:lang w:val="en-US" w:eastAsia="zh-CN"/>
                    </w:rPr>
                    <w:t>面漆</w:t>
                  </w:r>
                  <w:r>
                    <w:rPr>
                      <w:rFonts w:hint="default" w:ascii="Times New Roman" w:hAnsi="Times New Roman" w:cs="Times New Roman"/>
                      <w:bCs/>
                      <w:color w:val="auto"/>
                      <w:sz w:val="21"/>
                      <w:szCs w:val="21"/>
                      <w:highlight w:val="none"/>
                    </w:rPr>
                    <w:t>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w:t>
                  </w:r>
                  <w:r>
                    <w:rPr>
                      <w:rFonts w:hint="eastAsia" w:ascii="Times New Roman" w:hAnsi="Times New Roman" w:cs="Times New Roman"/>
                      <w:bCs/>
                      <w:color w:val="auto"/>
                      <w:sz w:val="21"/>
                      <w:szCs w:val="21"/>
                      <w:highlight w:val="none"/>
                      <w:lang w:val="en-US" w:eastAsia="zh-CN"/>
                    </w:rPr>
                    <w:t>则</w:t>
                  </w:r>
                  <w:r>
                    <w:rPr>
                      <w:rFonts w:hint="default" w:ascii="Times New Roman" w:hAnsi="Times New Roman" w:cs="Times New Roman"/>
                      <w:bCs/>
                      <w:color w:val="auto"/>
                      <w:sz w:val="21"/>
                      <w:szCs w:val="21"/>
                      <w:highlight w:val="none"/>
                    </w:rPr>
                    <w:t>稀释剂的年用量为</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X克</w:t>
                  </w:r>
                  <w:r>
                    <w:rPr>
                      <w:rFonts w:hint="eastAsia"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面漆</w:t>
                  </w:r>
                  <w:r>
                    <w:rPr>
                      <w:rFonts w:hint="default" w:ascii="Times New Roman" w:hAnsi="Times New Roman" w:cs="Times New Roman"/>
                      <w:bCs/>
                      <w:color w:val="auto"/>
                      <w:sz w:val="21"/>
                      <w:szCs w:val="21"/>
                      <w:highlight w:val="none"/>
                    </w:rPr>
                    <w:t>总年用量为：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1.2</w:t>
                  </w:r>
                  <w:r>
                    <w:rPr>
                      <w:rFonts w:hint="default" w:ascii="Times New Roman" w:hAnsi="Times New Roman" w:cs="Times New Roman"/>
                      <w:bCs/>
                      <w:color w:val="auto"/>
                      <w:sz w:val="21"/>
                      <w:szCs w:val="21"/>
                      <w:highlight w:val="none"/>
                    </w:rPr>
                    <w:t>Xg，总体积为：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1.07</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≈1.158</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7BC44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auto"/>
                      <w:sz w:val="21"/>
                      <w:szCs w:val="21"/>
                      <w:lang w:val="en-US" w:eastAsia="zh-CN"/>
                    </w:rPr>
                  </w:pP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面</w:t>
                  </w:r>
                  <w:r>
                    <w:rPr>
                      <w:rFonts w:hint="default" w:ascii="Times New Roman" w:hAnsi="Times New Roman" w:cs="Times New Roman"/>
                      <w:bCs/>
                      <w:color w:val="auto"/>
                      <w:sz w:val="21"/>
                      <w:szCs w:val="21"/>
                      <w:highlight w:val="none"/>
                    </w:rPr>
                    <w:t>漆相对密度为：</w:t>
                  </w:r>
                  <w:r>
                    <w:rPr>
                      <w:rFonts w:hint="eastAsia" w:cs="Times New Roman"/>
                      <w:bCs/>
                      <w:color w:val="auto"/>
                      <w:sz w:val="21"/>
                      <w:szCs w:val="21"/>
                      <w:highlight w:val="none"/>
                      <w:lang w:val="en-US" w:eastAsia="zh-CN"/>
                    </w:rPr>
                    <w:t>1.2</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1.158</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≈1.036</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=油性面漆的固含量/调配后的油性面漆总年用量=（1-328g/L/1.036</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）X/1.2Xg×100%=57.81</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p w14:paraId="4C2D10AB">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color w:val="auto"/>
                      <w:sz w:val="21"/>
                      <w:szCs w:val="21"/>
                      <w:lang w:val="en-US" w:eastAsia="zh-CN"/>
                    </w:rPr>
                    <w:t>⑧</w:t>
                  </w:r>
                  <w:r>
                    <w:rPr>
                      <w:rFonts w:hint="default" w:ascii="Times New Roman" w:hAnsi="Times New Roman" w:cs="Times New Roman"/>
                      <w:bCs/>
                      <w:color w:val="auto"/>
                      <w:sz w:val="21"/>
                      <w:szCs w:val="21"/>
                      <w:highlight w:val="none"/>
                      <w:lang w:val="en-US" w:eastAsia="zh-CN"/>
                    </w:rPr>
                    <w:t>油性漆-</w:t>
                  </w:r>
                  <w:r>
                    <w:rPr>
                      <w:rFonts w:hint="eastAsia" w:ascii="Times New Roman" w:hAnsi="Times New Roman" w:cs="Times New Roman"/>
                      <w:bCs/>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漆调配方案为：</w:t>
                  </w:r>
                  <w:r>
                    <w:rPr>
                      <w:rFonts w:hint="default" w:ascii="Times New Roman" w:hAnsi="Times New Roman" w:cs="Times New Roman"/>
                      <w:color w:val="auto"/>
                      <w:sz w:val="21"/>
                      <w:szCs w:val="21"/>
                      <w:highlight w:val="none"/>
                      <w:lang w:val="en-US" w:eastAsia="zh-CN"/>
                    </w:rPr>
                    <w:t>面漆:稀释剂=1:0.</w:t>
                  </w:r>
                  <w:r>
                    <w:rPr>
                      <w:rFonts w:hint="eastAsia" w:cs="Times New Roman"/>
                      <w:color w:val="auto"/>
                      <w:sz w:val="21"/>
                      <w:szCs w:val="21"/>
                      <w:highlight w:val="none"/>
                      <w:lang w:val="en-US" w:eastAsia="zh-CN"/>
                    </w:rPr>
                    <w:t>15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eastAsia" w:ascii="Times New Roman" w:hAnsi="Times New Roman" w:cs="Times New Roman"/>
                      <w:bCs/>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w:t>
                  </w:r>
                  <w:r>
                    <w:rPr>
                      <w:rFonts w:hint="default" w:ascii="Times New Roman" w:hAnsi="Times New Roman" w:cs="Times New Roman"/>
                      <w:bCs/>
                      <w:color w:val="auto"/>
                      <w:sz w:val="21"/>
                      <w:szCs w:val="21"/>
                      <w:highlight w:val="none"/>
                    </w:rPr>
                    <w:t>密度、固含量的计算过程如下：设</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color w:val="auto"/>
                      <w:sz w:val="21"/>
                      <w:szCs w:val="21"/>
                      <w:highlight w:val="none"/>
                      <w:lang w:val="en-US" w:eastAsia="zh-CN"/>
                    </w:rPr>
                    <w:t>漆</w:t>
                  </w:r>
                  <w:r>
                    <w:rPr>
                      <w:rFonts w:hint="default" w:ascii="Times New Roman" w:hAnsi="Times New Roman" w:cs="Times New Roman"/>
                      <w:bCs/>
                      <w:color w:val="auto"/>
                      <w:sz w:val="21"/>
                      <w:szCs w:val="21"/>
                      <w:highlight w:val="none"/>
                    </w:rPr>
                    <w:t>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w:t>
                  </w:r>
                  <w:r>
                    <w:rPr>
                      <w:rFonts w:hint="eastAsia" w:ascii="Times New Roman" w:hAnsi="Times New Roman" w:cs="Times New Roman"/>
                      <w:bCs/>
                      <w:color w:val="auto"/>
                      <w:sz w:val="21"/>
                      <w:szCs w:val="21"/>
                      <w:highlight w:val="none"/>
                      <w:lang w:val="en-US" w:eastAsia="zh-CN"/>
                    </w:rPr>
                    <w:t>则</w:t>
                  </w:r>
                  <w:r>
                    <w:rPr>
                      <w:rFonts w:hint="default" w:ascii="Times New Roman" w:hAnsi="Times New Roman" w:cs="Times New Roman"/>
                      <w:bCs/>
                      <w:color w:val="auto"/>
                      <w:sz w:val="21"/>
                      <w:szCs w:val="21"/>
                      <w:highlight w:val="none"/>
                    </w:rPr>
                    <w:t>稀释剂的年用量为</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X克</w:t>
                  </w:r>
                  <w:r>
                    <w:rPr>
                      <w:rFonts w:hint="eastAsia"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油性</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w:t>
                  </w:r>
                  <w:r>
                    <w:rPr>
                      <w:rFonts w:hint="default" w:ascii="Times New Roman" w:hAnsi="Times New Roman" w:cs="Times New Roman"/>
                      <w:bCs/>
                      <w:color w:val="auto"/>
                      <w:sz w:val="21"/>
                      <w:szCs w:val="21"/>
                      <w:highlight w:val="none"/>
                    </w:rPr>
                    <w:t>总年用量为：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1.15</w:t>
                  </w:r>
                  <w:r>
                    <w:rPr>
                      <w:rFonts w:hint="default" w:ascii="Times New Roman" w:hAnsi="Times New Roman" w:cs="Times New Roman"/>
                      <w:bCs/>
                      <w:color w:val="auto"/>
                      <w:sz w:val="21"/>
                      <w:szCs w:val="21"/>
                      <w:highlight w:val="none"/>
                    </w:rPr>
                    <w:t>Xg，总体积为：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≈1.021</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08E30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auto"/>
                      <w:sz w:val="21"/>
                      <w:szCs w:val="21"/>
                      <w:lang w:val="en-US" w:eastAsia="zh-CN"/>
                    </w:rPr>
                  </w:pP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面</w:t>
                  </w:r>
                  <w:r>
                    <w:rPr>
                      <w:rFonts w:hint="default" w:ascii="Times New Roman" w:hAnsi="Times New Roman" w:cs="Times New Roman"/>
                      <w:bCs/>
                      <w:color w:val="auto"/>
                      <w:sz w:val="21"/>
                      <w:szCs w:val="21"/>
                      <w:highlight w:val="none"/>
                    </w:rPr>
                    <w:t>漆相对密度为：</w:t>
                  </w:r>
                  <w:r>
                    <w:rPr>
                      <w:rFonts w:hint="eastAsia" w:cs="Times New Roman"/>
                      <w:bCs/>
                      <w:color w:val="auto"/>
                      <w:sz w:val="21"/>
                      <w:szCs w:val="21"/>
                      <w:highlight w:val="none"/>
                      <w:lang w:val="en-US" w:eastAsia="zh-CN"/>
                    </w:rPr>
                    <w:t>1.15</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1.021</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≈1.127</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=油性清漆的固含量/调配后的油性清漆总年用量=（1-288g/L/1.173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）X/1.15Xg×100%=65.61</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tc>
            </w:tr>
            <w:tr w14:paraId="76D4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AA96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6094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39C1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412B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63B4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643D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7"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1E4B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bl>
          <w:p w14:paraId="13A3F6C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38557F2D">
            <w:pPr>
              <w:pStyle w:val="21"/>
              <w:widowControl/>
              <w:numPr>
                <w:ilvl w:val="4"/>
                <w:numId w:val="0"/>
              </w:numPr>
              <w:suppressLineNumbers w:val="0"/>
              <w:spacing w:before="0" w:beforeAutospacing="0" w:after="0" w:afterAutospacing="0"/>
              <w:ind w:left="0" w:right="0" w:firstLine="482" w:firstLineChars="200"/>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（2）部分原辅材料理化性质</w:t>
            </w:r>
          </w:p>
          <w:p w14:paraId="23CA56BA">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原辅材料性质一览表</w:t>
            </w:r>
          </w:p>
          <w:tbl>
            <w:tblPr>
              <w:tblStyle w:val="4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
              <w:gridCol w:w="1597"/>
              <w:gridCol w:w="4832"/>
              <w:gridCol w:w="1088"/>
            </w:tblGrid>
            <w:tr w14:paraId="5E49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0028298D">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名称</w:t>
                  </w:r>
                </w:p>
              </w:tc>
              <w:tc>
                <w:tcPr>
                  <w:tcW w:w="953" w:type="pct"/>
                  <w:noWrap w:val="0"/>
                  <w:vAlign w:val="center"/>
                </w:tcPr>
                <w:p w14:paraId="02DC465D">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成分</w:t>
                  </w:r>
                </w:p>
              </w:tc>
              <w:tc>
                <w:tcPr>
                  <w:tcW w:w="2882" w:type="pct"/>
                  <w:noWrap w:val="0"/>
                  <w:vAlign w:val="center"/>
                </w:tcPr>
                <w:p w14:paraId="717FA369">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eastAsia="宋体" w:cs="Times New Roman"/>
                      <w:b/>
                      <w:bCs/>
                      <w:color w:val="auto"/>
                      <w:sz w:val="21"/>
                      <w:szCs w:val="21"/>
                      <w:lang w:val="en-US" w:eastAsia="zh-CN"/>
                    </w:rPr>
                    <w:t>理化</w:t>
                  </w:r>
                  <w:r>
                    <w:rPr>
                      <w:rFonts w:hint="default" w:ascii="Times New Roman" w:hAnsi="Times New Roman" w:cs="Times New Roman"/>
                      <w:b/>
                      <w:bCs/>
                      <w:color w:val="auto"/>
                      <w:kern w:val="2"/>
                      <w:sz w:val="21"/>
                      <w:szCs w:val="21"/>
                      <w:highlight w:val="none"/>
                    </w:rPr>
                    <w:t>性质/简介</w:t>
                  </w:r>
                </w:p>
              </w:tc>
              <w:tc>
                <w:tcPr>
                  <w:tcW w:w="649" w:type="pct"/>
                  <w:noWrap w:val="0"/>
                  <w:vAlign w:val="center"/>
                </w:tcPr>
                <w:p w14:paraId="5740A5F0">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是否危险化学品</w:t>
                  </w:r>
                </w:p>
              </w:tc>
            </w:tr>
            <w:tr w14:paraId="13BA3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7AC9FE10">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天然气</w:t>
                  </w:r>
                </w:p>
              </w:tc>
              <w:tc>
                <w:tcPr>
                  <w:tcW w:w="953" w:type="pct"/>
                  <w:noWrap w:val="0"/>
                  <w:vAlign w:val="center"/>
                </w:tcPr>
                <w:p w14:paraId="337F66EB">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fldChar w:fldCharType="begin"/>
                  </w:r>
                  <w:r>
                    <w:rPr>
                      <w:rFonts w:hint="default" w:ascii="Times New Roman" w:hAnsi="Times New Roman" w:cs="Times New Roman"/>
                      <w:color w:val="auto"/>
                      <w:kern w:val="2"/>
                      <w:sz w:val="21"/>
                      <w:szCs w:val="21"/>
                      <w:highlight w:val="none"/>
                    </w:rPr>
                    <w:instrText xml:space="preserve"> HYPERLINK "https://baike.baidu.com/item/%E7%83%B7%E7%83%83/1138261?fromModule=lemma_inlink" \t "https://baike.baidu.com/item/%E5%A4%A9%E7%84%B6%E6%B0%94/_blank" </w:instrText>
                  </w:r>
                  <w:r>
                    <w:rPr>
                      <w:rFonts w:hint="default" w:ascii="Times New Roman" w:hAnsi="Times New Roman" w:cs="Times New Roman"/>
                      <w:color w:val="auto"/>
                      <w:kern w:val="2"/>
                      <w:sz w:val="21"/>
                      <w:szCs w:val="21"/>
                      <w:highlight w:val="none"/>
                    </w:rPr>
                    <w:fldChar w:fldCharType="separate"/>
                  </w:r>
                  <w:r>
                    <w:rPr>
                      <w:rFonts w:hint="default" w:ascii="Times New Roman" w:hAnsi="Times New Roman" w:cs="Times New Roman"/>
                      <w:color w:val="auto"/>
                      <w:kern w:val="2"/>
                      <w:sz w:val="21"/>
                      <w:szCs w:val="21"/>
                      <w:highlight w:val="none"/>
                    </w:rPr>
                    <w:t>烷烃</w:t>
                  </w:r>
                  <w:r>
                    <w:rPr>
                      <w:rFonts w:hint="default" w:ascii="Times New Roman" w:hAnsi="Times New Roman" w:cs="Times New Roman"/>
                      <w:color w:val="auto"/>
                      <w:kern w:val="2"/>
                      <w:sz w:val="21"/>
                      <w:szCs w:val="21"/>
                      <w:highlight w:val="none"/>
                    </w:rPr>
                    <w:fldChar w:fldCharType="end"/>
                  </w:r>
                  <w:r>
                    <w:rPr>
                      <w:rFonts w:hint="default" w:ascii="Times New Roman" w:hAnsi="Times New Roman" w:cs="Times New Roman"/>
                      <w:color w:val="auto"/>
                      <w:kern w:val="2"/>
                      <w:sz w:val="21"/>
                      <w:szCs w:val="21"/>
                      <w:highlight w:val="none"/>
                    </w:rPr>
                    <w:t>（以甲烷为主）</w:t>
                  </w:r>
                </w:p>
              </w:tc>
              <w:tc>
                <w:tcPr>
                  <w:tcW w:w="2882" w:type="pct"/>
                  <w:noWrap w:val="0"/>
                  <w:vAlign w:val="center"/>
                </w:tcPr>
                <w:p w14:paraId="1BAC3DA9">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不溶于水，密度为0.7174kg/m</w:t>
                  </w:r>
                  <w:r>
                    <w:rPr>
                      <w:rFonts w:hint="default" w:ascii="Times New Roman" w:hAnsi="Times New Roman" w:cs="Times New Roman"/>
                      <w:color w:val="auto"/>
                      <w:kern w:val="2"/>
                      <w:sz w:val="21"/>
                      <w:szCs w:val="21"/>
                      <w:highlight w:val="none"/>
                      <w:vertAlign w:val="superscript"/>
                    </w:rPr>
                    <w:t>3</w:t>
                  </w:r>
                  <w:r>
                    <w:rPr>
                      <w:rFonts w:hint="default" w:ascii="Times New Roman" w:hAnsi="Times New Roman" w:cs="Times New Roman"/>
                      <w:color w:val="auto"/>
                      <w:kern w:val="2"/>
                      <w:sz w:val="21"/>
                      <w:szCs w:val="21"/>
                      <w:highlight w:val="none"/>
                    </w:rPr>
                    <w:t>，相对密度（水）为0.45（液化）燃点（℃）为650，爆炸极限（V%）为5~15。天然气每立方燃烧热值为8000大卡</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8500大卡。每公斤液化气燃烧热值为11000大卡。气态液化气的比重为0.55</w:t>
                  </w:r>
                </w:p>
              </w:tc>
              <w:tc>
                <w:tcPr>
                  <w:tcW w:w="649" w:type="pct"/>
                  <w:noWrap w:val="0"/>
                  <w:vAlign w:val="center"/>
                </w:tcPr>
                <w:p w14:paraId="1A27A5F6">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1F9D6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4124336">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除油</w:t>
                  </w:r>
                  <w:r>
                    <w:rPr>
                      <w:rFonts w:hint="default" w:ascii="Times New Roman" w:hAnsi="Times New Roman" w:cs="Times New Roman"/>
                      <w:color w:val="auto"/>
                      <w:sz w:val="21"/>
                      <w:szCs w:val="21"/>
                      <w:highlight w:val="none"/>
                    </w:rPr>
                    <w:t>剂</w:t>
                  </w:r>
                </w:p>
              </w:tc>
              <w:tc>
                <w:tcPr>
                  <w:tcW w:w="953" w:type="pct"/>
                  <w:noWrap w:val="0"/>
                  <w:vAlign w:val="center"/>
                </w:tcPr>
                <w:p w14:paraId="6320A34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磷酸5%</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醋酸</w:t>
                  </w:r>
                  <w:r>
                    <w:rPr>
                      <w:rFonts w:hint="eastAsia" w:ascii="Times New Roman" w:hAnsi="Times New Roman" w:cs="Times New Roman"/>
                      <w:color w:val="auto"/>
                      <w:kern w:val="2"/>
                      <w:sz w:val="21"/>
                      <w:szCs w:val="21"/>
                      <w:highlight w:val="none"/>
                      <w:lang w:val="en-US" w:eastAsia="zh-CN"/>
                    </w:rPr>
                    <w:t>6%、</w:t>
                  </w:r>
                  <w:r>
                    <w:rPr>
                      <w:rFonts w:hint="default" w:ascii="Times New Roman" w:hAnsi="Times New Roman" w:cs="Times New Roman"/>
                      <w:color w:val="auto"/>
                      <w:kern w:val="2"/>
                      <w:sz w:val="21"/>
                      <w:szCs w:val="21"/>
                      <w:highlight w:val="none"/>
                    </w:rPr>
                    <w:t>除油分子</w:t>
                  </w:r>
                  <w:r>
                    <w:rPr>
                      <w:rFonts w:hint="eastAsia" w:ascii="Times New Roman" w:hAnsi="Times New Roman" w:cs="Times New Roman"/>
                      <w:color w:val="auto"/>
                      <w:kern w:val="2"/>
                      <w:sz w:val="21"/>
                      <w:szCs w:val="21"/>
                      <w:highlight w:val="none"/>
                      <w:lang w:val="en-US" w:eastAsia="zh-CN"/>
                    </w:rPr>
                    <w:t>10%、</w:t>
                  </w:r>
                  <w:r>
                    <w:rPr>
                      <w:rFonts w:hint="default" w:ascii="Times New Roman" w:hAnsi="Times New Roman" w:cs="Times New Roman"/>
                      <w:color w:val="auto"/>
                      <w:kern w:val="2"/>
                      <w:sz w:val="21"/>
                      <w:szCs w:val="21"/>
                      <w:highlight w:val="none"/>
                    </w:rPr>
                    <w:t>抗氧化剂10%</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柠檬酸</w:t>
                  </w:r>
                  <w:r>
                    <w:rPr>
                      <w:rFonts w:hint="eastAsia"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rPr>
                    <w:t>活性剂</w:t>
                  </w:r>
                  <w:r>
                    <w:rPr>
                      <w:rFonts w:hint="eastAsia" w:ascii="Times New Roman" w:hAnsi="Times New Roman" w:cs="Times New Roman"/>
                      <w:color w:val="auto"/>
                      <w:kern w:val="2"/>
                      <w:sz w:val="21"/>
                      <w:szCs w:val="21"/>
                      <w:highlight w:val="none"/>
                      <w:lang w:val="en-US" w:eastAsia="zh-CN"/>
                    </w:rPr>
                    <w:t>10%、</w:t>
                  </w:r>
                  <w:r>
                    <w:rPr>
                      <w:rFonts w:hint="default" w:ascii="Times New Roman" w:hAnsi="Times New Roman" w:cs="Times New Roman"/>
                      <w:color w:val="auto"/>
                      <w:kern w:val="2"/>
                      <w:sz w:val="21"/>
                      <w:szCs w:val="21"/>
                      <w:highlight w:val="none"/>
                    </w:rPr>
                    <w:t>氢氟酸</w:t>
                  </w:r>
                  <w:r>
                    <w:rPr>
                      <w:rFonts w:hint="eastAsia" w:ascii="Times New Roman" w:hAnsi="Times New Roman" w:cs="Times New Roman"/>
                      <w:color w:val="auto"/>
                      <w:kern w:val="2"/>
                      <w:sz w:val="21"/>
                      <w:szCs w:val="21"/>
                      <w:highlight w:val="none"/>
                      <w:lang w:val="en-US" w:eastAsia="zh-CN"/>
                    </w:rPr>
                    <w:t>1%其他（水）</w:t>
                  </w:r>
                  <w:r>
                    <w:rPr>
                      <w:rFonts w:hint="default" w:ascii="Times New Roman" w:hAnsi="Times New Roman" w:cs="Times New Roman"/>
                      <w:color w:val="auto"/>
                      <w:kern w:val="2"/>
                      <w:sz w:val="21"/>
                      <w:szCs w:val="21"/>
                      <w:highlight w:val="none"/>
                    </w:rPr>
                    <w:t>55%</w:t>
                  </w:r>
                </w:p>
              </w:tc>
              <w:tc>
                <w:tcPr>
                  <w:tcW w:w="2882" w:type="pct"/>
                  <w:noWrap w:val="0"/>
                  <w:vAlign w:val="center"/>
                </w:tcPr>
                <w:p w14:paraId="20CB209D">
                  <w:pPr>
                    <w:adjustRightInd w:val="0"/>
                    <w:snapToGrid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产品性能:弱酸性除油剂，</w:t>
                  </w:r>
                  <w:r>
                    <w:rPr>
                      <w:rFonts w:hint="eastAsia" w:cs="Times New Roman"/>
                      <w:b w:val="0"/>
                      <w:bCs w:val="0"/>
                      <w:color w:val="auto"/>
                      <w:sz w:val="21"/>
                      <w:szCs w:val="21"/>
                      <w:lang w:val="en-US" w:eastAsia="zh-CN"/>
                    </w:rPr>
                    <w:t>密度:1.05~1.07g/cm</w:t>
                  </w:r>
                  <w:r>
                    <w:rPr>
                      <w:rFonts w:hint="eastAsia"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w:t>
                  </w:r>
                  <w:r>
                    <w:rPr>
                      <w:rFonts w:hint="default" w:ascii="Times New Roman" w:hAnsi="Times New Roman" w:eastAsia="宋体" w:cs="Times New Roman"/>
                      <w:b w:val="0"/>
                      <w:bCs w:val="0"/>
                      <w:color w:val="auto"/>
                      <w:sz w:val="21"/>
                      <w:szCs w:val="21"/>
                      <w:lang w:val="en-US" w:eastAsia="zh-CN"/>
                    </w:rPr>
                    <w:t>用于铝，铝合金表面除油，除污。尤其对拉伸油有很好的分解效果，并能快速去除铝材表面的氧化层。活性剂先浸润、乳化表层拉伸油污；弱酸 + 氢氟酸溶解铝氧化皮，剥离内嵌深层油污；柠檬酸络合金属杂质、抗氧化剂保护基材，整套体系常温浸泡即可同步完成除油 + 除氧化层</w:t>
                  </w:r>
                  <w:r>
                    <w:rPr>
                      <w:rFonts w:hint="eastAsia" w:cs="Times New Roman"/>
                      <w:b w:val="0"/>
                      <w:bCs w:val="0"/>
                      <w:color w:val="auto"/>
                      <w:sz w:val="21"/>
                      <w:szCs w:val="21"/>
                      <w:lang w:val="en-US" w:eastAsia="zh-CN"/>
                    </w:rPr>
                    <w:t>。</w:t>
                  </w:r>
                </w:p>
              </w:tc>
              <w:tc>
                <w:tcPr>
                  <w:tcW w:w="649" w:type="pct"/>
                  <w:noWrap w:val="0"/>
                  <w:vAlign w:val="center"/>
                </w:tcPr>
                <w:p w14:paraId="74BCACA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4CF00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A5036A">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无铬钝化剂</w:t>
                  </w:r>
                </w:p>
              </w:tc>
              <w:tc>
                <w:tcPr>
                  <w:tcW w:w="953" w:type="pct"/>
                  <w:noWrap w:val="0"/>
                  <w:vAlign w:val="center"/>
                </w:tcPr>
                <w:p w14:paraId="4511D2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氟锆酸5~10%</w:t>
                  </w:r>
                </w:p>
                <w:p w14:paraId="3136D1E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氟钛酸5~10%</w:t>
                  </w:r>
                </w:p>
                <w:p w14:paraId="62D2E18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环氧改性丙烯酸树脂15~20%</w:t>
                  </w:r>
                </w:p>
                <w:p w14:paraId="64C6A34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一水合柠檬酸45~55%</w:t>
                  </w:r>
                </w:p>
              </w:tc>
              <w:tc>
                <w:tcPr>
                  <w:tcW w:w="2882" w:type="pct"/>
                  <w:noWrap w:val="0"/>
                  <w:vAlign w:val="center"/>
                </w:tcPr>
                <w:p w14:paraId="211477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液体，</w:t>
                  </w:r>
                  <w:r>
                    <w:rPr>
                      <w:rFonts w:hint="eastAsia" w:cs="Times New Roman"/>
                      <w:b w:val="0"/>
                      <w:bCs w:val="0"/>
                      <w:color w:val="auto"/>
                      <w:sz w:val="21"/>
                      <w:szCs w:val="21"/>
                      <w:lang w:val="en-US" w:eastAsia="zh-CN"/>
                    </w:rPr>
                    <w:t>密</w:t>
                  </w:r>
                  <w:r>
                    <w:rPr>
                      <w:rFonts w:hint="default" w:ascii="Times New Roman" w:hAnsi="Times New Roman" w:cs="Times New Roman"/>
                      <w:b w:val="0"/>
                      <w:bCs w:val="0"/>
                      <w:color w:val="auto"/>
                      <w:sz w:val="21"/>
                      <w:szCs w:val="21"/>
                      <w:lang w:val="en-US" w:eastAsia="zh-CN"/>
                    </w:rPr>
                    <w:t>度:1.32~1.43g/cm</w:t>
                  </w:r>
                  <w:r>
                    <w:rPr>
                      <w:rFonts w:hint="default" w:ascii="Times New Roman" w:hAnsi="Times New Roman" w:cs="Times New Roman"/>
                      <w:b w:val="0"/>
                      <w:bCs w:val="0"/>
                      <w:color w:val="auto"/>
                      <w:sz w:val="21"/>
                      <w:szCs w:val="21"/>
                      <w:vertAlign w:val="superscript"/>
                      <w:lang w:val="en-US" w:eastAsia="zh-CN"/>
                    </w:rPr>
                    <w:t>3</w:t>
                  </w:r>
                  <w:r>
                    <w:rPr>
                      <w:rFonts w:hint="default" w:ascii="Times New Roman" w:hAnsi="Times New Roman" w:cs="Times New Roman"/>
                      <w:b w:val="0"/>
                      <w:bCs w:val="0"/>
                      <w:color w:val="auto"/>
                      <w:sz w:val="21"/>
                      <w:szCs w:val="21"/>
                      <w:vertAlign w:val="baseline"/>
                      <w:lang w:val="en-US" w:eastAsia="zh-CN"/>
                    </w:rPr>
                    <w:t>，</w:t>
                  </w:r>
                  <w:r>
                    <w:rPr>
                      <w:rFonts w:hint="default" w:ascii="Times New Roman" w:hAnsi="Times New Roman" w:cs="Times New Roman"/>
                      <w:color w:val="auto"/>
                      <w:kern w:val="2"/>
                      <w:sz w:val="21"/>
                      <w:szCs w:val="21"/>
                      <w:highlight w:val="none"/>
                    </w:rPr>
                    <w:t>可以在铝表面形成一层无色的耐腐蚀钝化层，能为后续的涂装层提供良好的结合力。本项目使用的无铬钝化剂主要有害成分为氟锆酸，氟钛酸</w:t>
                  </w:r>
                </w:p>
              </w:tc>
              <w:tc>
                <w:tcPr>
                  <w:tcW w:w="649" w:type="pct"/>
                  <w:noWrap w:val="0"/>
                  <w:vAlign w:val="center"/>
                </w:tcPr>
                <w:p w14:paraId="155988D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45A7B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3ACE6ED">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pH调整剂（硫酸70%）</w:t>
                  </w:r>
                </w:p>
              </w:tc>
              <w:tc>
                <w:tcPr>
                  <w:tcW w:w="953" w:type="pct"/>
                  <w:noWrap w:val="0"/>
                  <w:vAlign w:val="center"/>
                </w:tcPr>
                <w:p w14:paraId="453BAA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硫酸70%</w:t>
                  </w:r>
                </w:p>
                <w:p w14:paraId="21BA1E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水30%</w:t>
                  </w:r>
                </w:p>
              </w:tc>
              <w:tc>
                <w:tcPr>
                  <w:tcW w:w="2882" w:type="pct"/>
                  <w:noWrap w:val="0"/>
                  <w:vAlign w:val="center"/>
                </w:tcPr>
                <w:p w14:paraId="44E8882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化学式H</w:t>
                  </w:r>
                  <w:r>
                    <w:rPr>
                      <w:rFonts w:hint="default" w:ascii="Times New Roman" w:hAnsi="Times New Roman" w:cs="Times New Roman"/>
                      <w:color w:val="auto"/>
                      <w:kern w:val="2"/>
                      <w:sz w:val="21"/>
                      <w:szCs w:val="21"/>
                      <w:highlight w:val="none"/>
                      <w:vertAlign w:val="subscript"/>
                    </w:rPr>
                    <w:t>2</w:t>
                  </w:r>
                  <w:r>
                    <w:rPr>
                      <w:rFonts w:hint="default" w:ascii="Times New Roman" w:hAnsi="Times New Roman" w:cs="Times New Roman"/>
                      <w:color w:val="auto"/>
                      <w:kern w:val="2"/>
                      <w:sz w:val="21"/>
                      <w:szCs w:val="21"/>
                      <w:highlight w:val="none"/>
                    </w:rPr>
                    <w:t>SO</w:t>
                  </w:r>
                  <w:r>
                    <w:rPr>
                      <w:rFonts w:hint="default" w:ascii="Times New Roman" w:hAnsi="Times New Roman" w:cs="Times New Roman"/>
                      <w:color w:val="auto"/>
                      <w:kern w:val="2"/>
                      <w:sz w:val="21"/>
                      <w:szCs w:val="21"/>
                      <w:highlight w:val="none"/>
                      <w:vertAlign w:val="subscript"/>
                    </w:rPr>
                    <w:t>4</w:t>
                  </w:r>
                  <w:r>
                    <w:rPr>
                      <w:rFonts w:hint="default" w:ascii="Times New Roman" w:hAnsi="Times New Roman" w:cs="Times New Roman"/>
                      <w:color w:val="auto"/>
                      <w:kern w:val="2"/>
                      <w:sz w:val="21"/>
                      <w:szCs w:val="21"/>
                      <w:highlight w:val="none"/>
                    </w:rPr>
                    <w:t>，是一种活泼的二元无机强酸。无水硫酸为无色油状液体，密度为1.84g/cm</w:t>
                  </w:r>
                  <w:r>
                    <w:rPr>
                      <w:rFonts w:hint="default" w:ascii="Times New Roman" w:hAnsi="Times New Roman" w:cs="Times New Roman"/>
                      <w:color w:val="auto"/>
                      <w:kern w:val="2"/>
                      <w:sz w:val="21"/>
                      <w:szCs w:val="21"/>
                      <w:highlight w:val="none"/>
                      <w:vertAlign w:val="superscript"/>
                    </w:rPr>
                    <w:t>3</w:t>
                  </w:r>
                  <w:r>
                    <w:rPr>
                      <w:rFonts w:hint="default" w:ascii="Times New Roman" w:hAnsi="Times New Roman" w:cs="Times New Roman"/>
                      <w:color w:val="auto"/>
                      <w:kern w:val="2"/>
                      <w:sz w:val="21"/>
                      <w:szCs w:val="21"/>
                      <w:highlight w:val="none"/>
                    </w:rPr>
                    <w:t>，熔点10.4℃，沸点338℃；具有强烈的腐蚀性和氧化性，能和许多金属发生反应，高浓度时有强烈吸水性，可用作脱水剂，碳化含碳水化合物的物质；与水混合时，亦会放出大量热能。</w:t>
                  </w:r>
                </w:p>
              </w:tc>
              <w:tc>
                <w:tcPr>
                  <w:tcW w:w="649" w:type="pct"/>
                  <w:noWrap w:val="0"/>
                  <w:vAlign w:val="center"/>
                </w:tcPr>
                <w:p w14:paraId="5BC1C56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6819D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57358CAF">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PAC</w:t>
                  </w:r>
                </w:p>
              </w:tc>
              <w:tc>
                <w:tcPr>
                  <w:tcW w:w="953" w:type="pct"/>
                  <w:noWrap w:val="0"/>
                  <w:vAlign w:val="center"/>
                </w:tcPr>
                <w:p w14:paraId="1BEA9F3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聚合氯化铝</w:t>
                  </w:r>
                </w:p>
              </w:tc>
              <w:tc>
                <w:tcPr>
                  <w:tcW w:w="2882" w:type="pct"/>
                  <w:noWrap w:val="0"/>
                  <w:vAlign w:val="center"/>
                </w:tcPr>
                <w:p w14:paraId="37FE067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颜色呈黄色或淡黄色、深褐色、深灰色树脂状固体。该产品有较强的架桥吸附性能，在水解过程中，伴随发生凝聚，吸附和沉淀等物理化学过程。聚合氯化铝与传统无机混凝剂的根本区别在于传统无机混凝剂为低分子结晶盐，而聚合氯化铝的结构由形态多变的多元羧基络合物组成，絮凝沉淀速度快，适用pH值范围宽，对管道设备无腐蚀性，净水效果明显，能有效</w:t>
                  </w:r>
                  <w:r>
                    <w:rPr>
                      <w:rFonts w:hint="default" w:ascii="Times New Roman" w:hAnsi="Times New Roman" w:cs="Times New Roman"/>
                      <w:color w:val="auto"/>
                      <w:kern w:val="2"/>
                      <w:sz w:val="21"/>
                      <w:szCs w:val="21"/>
                      <w:highlight w:val="none"/>
                      <w:lang w:eastAsia="zh-CN"/>
                    </w:rPr>
                    <w:t>去</w:t>
                  </w:r>
                  <w:r>
                    <w:rPr>
                      <w:rFonts w:hint="default" w:ascii="Times New Roman" w:hAnsi="Times New Roman" w:cs="Times New Roman"/>
                      <w:color w:val="auto"/>
                      <w:kern w:val="2"/>
                      <w:sz w:val="21"/>
                      <w:szCs w:val="21"/>
                      <w:highlight w:val="none"/>
                    </w:rPr>
                    <w:t>除水中色质SS、COD、BOD及砷、汞等重金属离子，该产品广泛用于饮用水、工业用水和污水处理领域</w:t>
                  </w:r>
                </w:p>
              </w:tc>
              <w:tc>
                <w:tcPr>
                  <w:tcW w:w="649" w:type="pct"/>
                  <w:noWrap w:val="0"/>
                  <w:vAlign w:val="center"/>
                </w:tcPr>
                <w:p w14:paraId="717251B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69657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1BD338C">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PAM</w:t>
                  </w:r>
                </w:p>
              </w:tc>
              <w:tc>
                <w:tcPr>
                  <w:tcW w:w="953" w:type="pct"/>
                  <w:noWrap w:val="0"/>
                  <w:vAlign w:val="center"/>
                </w:tcPr>
                <w:p w14:paraId="32F4FBA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聚丙烯酰胺</w:t>
                  </w:r>
                </w:p>
              </w:tc>
              <w:tc>
                <w:tcPr>
                  <w:tcW w:w="2882" w:type="pct"/>
                  <w:noWrap w:val="0"/>
                  <w:vAlign w:val="center"/>
                </w:tcPr>
                <w:p w14:paraId="3999C71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聚丙烯酰胺（PAM）是一种线型高分子聚合物，化学式为</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C</w:t>
                  </w:r>
                  <w:r>
                    <w:rPr>
                      <w:rFonts w:hint="default" w:ascii="Times New Roman" w:hAnsi="Times New Roman" w:cs="Times New Roman"/>
                      <w:color w:val="auto"/>
                      <w:kern w:val="2"/>
                      <w:sz w:val="21"/>
                      <w:szCs w:val="21"/>
                      <w:highlight w:val="none"/>
                      <w:vertAlign w:val="subscript"/>
                    </w:rPr>
                    <w:t>3</w:t>
                  </w:r>
                  <w:r>
                    <w:rPr>
                      <w:rFonts w:hint="default" w:ascii="Times New Roman" w:hAnsi="Times New Roman" w:cs="Times New Roman"/>
                      <w:color w:val="auto"/>
                      <w:kern w:val="2"/>
                      <w:sz w:val="21"/>
                      <w:szCs w:val="21"/>
                      <w:highlight w:val="none"/>
                    </w:rPr>
                    <w:t>H</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NO</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n。在常温下为坚硬的玻璃态固体，产品有胶液、胶乳和白色粉粒、半透明珠粒和薄片等。热稳定性良好。能以任意比例溶于水，水溶液为均匀透明的液体。长期存放后会因聚合物缓慢</w:t>
                  </w:r>
                  <w:r>
                    <w:rPr>
                      <w:rFonts w:hint="default" w:ascii="Times New Roman" w:hAnsi="Times New Roman" w:cs="Times New Roman"/>
                      <w:color w:val="auto"/>
                      <w:kern w:val="2"/>
                      <w:sz w:val="21"/>
                      <w:szCs w:val="21"/>
                      <w:highlight w:val="none"/>
                      <w:lang w:val="en-US" w:eastAsia="zh-CN"/>
                    </w:rPr>
                    <w:t>地</w:t>
                  </w:r>
                  <w:r>
                    <w:rPr>
                      <w:rFonts w:hint="default" w:ascii="Times New Roman" w:hAnsi="Times New Roman" w:cs="Times New Roman"/>
                      <w:color w:val="auto"/>
                      <w:kern w:val="2"/>
                      <w:sz w:val="21"/>
                      <w:szCs w:val="21"/>
                      <w:highlight w:val="none"/>
                    </w:rPr>
                    <w:t>降解而使溶液粘度下降，特别是在贮运条件较差时更为明显。聚丙烯酰胺可作为润滑剂、悬浮剂、粘土稳定剂、驱油剂、降失水剂和增稠剂使用</w:t>
                  </w:r>
                </w:p>
              </w:tc>
              <w:tc>
                <w:tcPr>
                  <w:tcW w:w="649" w:type="pct"/>
                  <w:noWrap w:val="0"/>
                  <w:vAlign w:val="center"/>
                </w:tcPr>
                <w:p w14:paraId="679321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3BC3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46781B6">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底漆</w:t>
                  </w:r>
                </w:p>
              </w:tc>
              <w:tc>
                <w:tcPr>
                  <w:tcW w:w="953" w:type="pct"/>
                  <w:noWrap w:val="0"/>
                  <w:vAlign w:val="center"/>
                </w:tcPr>
                <w:p w14:paraId="5AD3FE17">
                  <w:pP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rPr>
                    <w:t>PVDF 树脂1</w:t>
                  </w:r>
                  <w:r>
                    <w:rPr>
                      <w:rFonts w:hint="eastAsia" w:cs="Times New Roman"/>
                      <w:color w:val="auto"/>
                      <w:lang w:val="en-US" w:eastAsia="zh-CN"/>
                    </w:rPr>
                    <w:t>3.6</w:t>
                  </w:r>
                  <w:r>
                    <w:rPr>
                      <w:rFonts w:hint="default" w:ascii="Times New Roman" w:hAnsi="Times New Roman" w:cs="Times New Roman"/>
                      <w:color w:val="auto"/>
                      <w:lang w:val="en-US" w:eastAsia="zh-CN"/>
                    </w:rPr>
                    <w:t>%、</w:t>
                  </w:r>
                  <w:r>
                    <w:rPr>
                      <w:rFonts w:hint="default" w:ascii="Times New Roman" w:hAnsi="Times New Roman" w:cs="Times New Roman"/>
                      <w:color w:val="auto"/>
                    </w:rPr>
                    <w:t>丙烯酸树脂</w:t>
                  </w:r>
                  <w:r>
                    <w:rPr>
                      <w:rFonts w:hint="default" w:ascii="Times New Roman" w:hAnsi="Times New Roman" w:cs="Times New Roman"/>
                      <w:color w:val="auto"/>
                    </w:rPr>
                    <w:tab/>
                  </w:r>
                  <w:r>
                    <w:rPr>
                      <w:rFonts w:hint="default" w:ascii="Times New Roman" w:hAnsi="Times New Roman" w:cs="Times New Roman"/>
                      <w:color w:val="auto"/>
                    </w:rPr>
                    <w:t>1</w:t>
                  </w:r>
                  <w:r>
                    <w:rPr>
                      <w:rFonts w:hint="eastAsia" w:cs="Times New Roman"/>
                      <w:color w:val="auto"/>
                      <w:lang w:val="en-US" w:eastAsia="zh-CN"/>
                    </w:rPr>
                    <w:t>5</w:t>
                  </w:r>
                  <w:r>
                    <w:rPr>
                      <w:rFonts w:hint="default" w:ascii="Times New Roman" w:hAnsi="Times New Roman" w:cs="Times New Roman"/>
                      <w:color w:val="auto"/>
                      <w:lang w:val="en-US" w:eastAsia="zh-CN"/>
                    </w:rPr>
                    <w:t>%、</w:t>
                  </w:r>
                  <w:r>
                    <w:rPr>
                      <w:rFonts w:hint="default" w:ascii="Times New Roman" w:hAnsi="Times New Roman" w:cs="Times New Roman"/>
                      <w:color w:val="auto"/>
                    </w:rPr>
                    <w:t>二甲苯</w:t>
                  </w:r>
                  <w:r>
                    <w:rPr>
                      <w:rFonts w:hint="eastAsia" w:cs="Times New Roman"/>
                      <w:color w:val="auto"/>
                      <w:lang w:val="en-US" w:eastAsia="zh-CN"/>
                    </w:rPr>
                    <w:t>10</w:t>
                  </w:r>
                  <w:r>
                    <w:rPr>
                      <w:rFonts w:hint="default" w:ascii="Times New Roman" w:hAnsi="Times New Roman" w:cs="Times New Roman"/>
                      <w:color w:val="auto"/>
                      <w:lang w:val="en-US" w:eastAsia="zh-CN"/>
                    </w:rPr>
                    <w:t>%、</w:t>
                  </w:r>
                  <w:r>
                    <w:rPr>
                      <w:rFonts w:hint="default" w:ascii="Times New Roman" w:hAnsi="Times New Roman" w:cs="Times New Roman"/>
                      <w:color w:val="auto"/>
                    </w:rPr>
                    <w:t>邻苯二甲酸二甲酯</w:t>
                  </w:r>
                  <w:r>
                    <w:rPr>
                      <w:rFonts w:hint="eastAsia" w:cs="Times New Roman"/>
                      <w:color w:val="auto"/>
                      <w:lang w:val="en-US" w:eastAsia="zh-CN"/>
                    </w:rPr>
                    <w:t>8.2</w:t>
                  </w:r>
                  <w:r>
                    <w:rPr>
                      <w:rFonts w:hint="default" w:ascii="Times New Roman" w:hAnsi="Times New Roman" w:cs="Times New Roman"/>
                      <w:color w:val="auto"/>
                      <w:lang w:val="en-US" w:eastAsia="zh-CN"/>
                    </w:rPr>
                    <w:t>%、</w:t>
                  </w:r>
                  <w:r>
                    <w:rPr>
                      <w:rFonts w:hint="default" w:ascii="Times New Roman" w:hAnsi="Times New Roman" w:cs="Times New Roman"/>
                      <w:color w:val="auto"/>
                    </w:rPr>
                    <w:t>丙二醇</w:t>
                  </w:r>
                  <w:r>
                    <w:rPr>
                      <w:rFonts w:hint="eastAsia" w:cs="Times New Roman"/>
                      <w:color w:val="auto"/>
                      <w:lang w:val="en-US" w:eastAsia="zh-CN"/>
                    </w:rPr>
                    <w:t>2</w:t>
                  </w:r>
                  <w:r>
                    <w:rPr>
                      <w:rFonts w:hint="default" w:ascii="Times New Roman" w:hAnsi="Times New Roman" w:cs="Times New Roman"/>
                      <w:color w:val="auto"/>
                      <w:lang w:val="en-US" w:eastAsia="zh-CN"/>
                    </w:rPr>
                    <w:t>%、</w:t>
                  </w:r>
                  <w:r>
                    <w:rPr>
                      <w:rFonts w:hint="default" w:ascii="Times New Roman" w:hAnsi="Times New Roman" w:cs="Times New Roman"/>
                      <w:color w:val="auto"/>
                    </w:rPr>
                    <w:t>颜料</w:t>
                  </w:r>
                  <w:r>
                    <w:rPr>
                      <w:rFonts w:hint="eastAsia" w:cs="Times New Roman"/>
                      <w:color w:val="auto"/>
                      <w:lang w:val="en-US" w:eastAsia="zh-CN"/>
                    </w:rPr>
                    <w:t>24.4</w:t>
                  </w:r>
                  <w:r>
                    <w:rPr>
                      <w:rFonts w:hint="default" w:ascii="Times New Roman" w:hAnsi="Times New Roman" w:cs="Times New Roman"/>
                      <w:color w:val="auto"/>
                      <w:lang w:val="en-US" w:eastAsia="zh-CN"/>
                    </w:rPr>
                    <w:t>%、</w:t>
                  </w:r>
                  <w:r>
                    <w:rPr>
                      <w:rFonts w:hint="default" w:ascii="Times New Roman" w:hAnsi="Times New Roman" w:cs="Times New Roman"/>
                      <w:color w:val="auto"/>
                    </w:rPr>
                    <w:t>填料</w:t>
                  </w:r>
                  <w:r>
                    <w:rPr>
                      <w:rFonts w:hint="eastAsia" w:cs="Times New Roman"/>
                      <w:color w:val="auto"/>
                      <w:lang w:val="en-US" w:eastAsia="zh-CN"/>
                    </w:rPr>
                    <w:t>23.6</w:t>
                  </w:r>
                  <w:r>
                    <w:rPr>
                      <w:rFonts w:hint="default" w:ascii="Times New Roman" w:hAnsi="Times New Roman" w:cs="Times New Roman"/>
                      <w:color w:val="auto"/>
                      <w:lang w:val="en-US" w:eastAsia="zh-CN"/>
                    </w:rPr>
                    <w:t>%、</w:t>
                  </w:r>
                  <w:r>
                    <w:rPr>
                      <w:rFonts w:hint="default" w:ascii="Times New Roman" w:hAnsi="Times New Roman" w:cs="Times New Roman"/>
                      <w:color w:val="auto"/>
                    </w:rPr>
                    <w:t>助剂</w:t>
                  </w:r>
                  <w:r>
                    <w:rPr>
                      <w:rFonts w:hint="eastAsia" w:cs="Times New Roman"/>
                      <w:color w:val="auto"/>
                      <w:lang w:val="en-US" w:eastAsia="zh-CN"/>
                    </w:rPr>
                    <w:t>1.2</w:t>
                  </w:r>
                  <w:r>
                    <w:rPr>
                      <w:rFonts w:hint="default" w:ascii="Times New Roman" w:hAnsi="Times New Roman" w:cs="Times New Roman"/>
                      <w:color w:val="auto"/>
                      <w:lang w:val="en-US" w:eastAsia="zh-CN"/>
                    </w:rPr>
                    <w:t>%</w:t>
                  </w:r>
                </w:p>
              </w:tc>
              <w:tc>
                <w:tcPr>
                  <w:tcW w:w="2882" w:type="pct"/>
                  <w:noWrap w:val="0"/>
                  <w:vAlign w:val="center"/>
                </w:tcPr>
                <w:p w14:paraId="0ABB1CB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40F35E72">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燃点（℃）：56 自然温度（℃）： </w:t>
                  </w:r>
                </w:p>
                <w:p w14:paraId="157D53C5">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沸点（℃）：&gt;35 闪点（℃）：45</w:t>
                  </w:r>
                  <w:r>
                    <w:rPr>
                      <w:rFonts w:hint="default" w:ascii="Times New Roman" w:hAnsi="Times New Roman" w:eastAsia="宋体" w:cs="Times New Roman"/>
                      <w:b/>
                      <w:bCs/>
                      <w:color w:val="auto"/>
                      <w:kern w:val="0"/>
                      <w:sz w:val="18"/>
                      <w:szCs w:val="18"/>
                      <w:lang w:val="en-US" w:eastAsia="zh-CN" w:bidi="ar"/>
                    </w:rPr>
                    <w:t xml:space="preserve"> </w:t>
                  </w:r>
                </w:p>
                <w:p w14:paraId="64008496">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爆炸上限（%）： 爆炸下限（%）： </w:t>
                  </w:r>
                </w:p>
                <w:p w14:paraId="1BA119D2">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相对密度（水=1）：1.173 相对蒸汽密度（空气=1）：</w:t>
                  </w:r>
                </w:p>
                <w:p w14:paraId="5D529A64">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易燃液体-3、皮肤刺激-1B、吸入危害-1、对水环境的危害-急性 1、严重眼睛刺激-2</w:t>
                  </w:r>
                </w:p>
              </w:tc>
              <w:tc>
                <w:tcPr>
                  <w:tcW w:w="649" w:type="pct"/>
                  <w:noWrap w:val="0"/>
                  <w:vAlign w:val="center"/>
                </w:tcPr>
                <w:p w14:paraId="1BE67F6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50A36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3828D25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面漆</w:t>
                  </w:r>
                </w:p>
              </w:tc>
              <w:tc>
                <w:tcPr>
                  <w:tcW w:w="953" w:type="pct"/>
                  <w:noWrap w:val="0"/>
                  <w:vAlign w:val="center"/>
                </w:tcPr>
                <w:p w14:paraId="4454743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rPr>
                    <w:t>PVDF 树脂2</w:t>
                  </w:r>
                  <w:r>
                    <w:rPr>
                      <w:rFonts w:hint="eastAsia" w:ascii="Times New Roman" w:hAnsi="Times New Roman" w:cs="Times New Roman"/>
                      <w:color w:val="auto"/>
                      <w:lang w:val="en-US" w:eastAsia="zh-CN"/>
                    </w:rPr>
                    <w:t>5.4</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丙烯酸树脂</w:t>
                  </w:r>
                  <w:r>
                    <w:rPr>
                      <w:rFonts w:hint="eastAsia" w:ascii="Times New Roman" w:hAnsi="Times New Roman" w:cs="Times New Roman"/>
                      <w:color w:val="auto"/>
                      <w:lang w:val="en-US" w:eastAsia="zh-CN"/>
                    </w:rPr>
                    <w:t>21.6</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二甲苯</w:t>
                  </w:r>
                  <w:r>
                    <w:rPr>
                      <w:rFonts w:hint="eastAsia" w:ascii="Times New Roman" w:hAnsi="Times New Roman" w:cs="Times New Roman"/>
                      <w:color w:val="auto"/>
                      <w:lang w:val="en-US" w:eastAsia="zh-CN"/>
                    </w:rPr>
                    <w:t>11</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邻苯二甲酸二甲酯10</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BCS</w:t>
                  </w: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丙二醇</w:t>
                  </w:r>
                  <w:r>
                    <w:rPr>
                      <w:rFonts w:hint="eastAsia" w:ascii="Times New Roman" w:hAnsi="Times New Roman" w:cs="Times New Roman"/>
                      <w:color w:val="auto"/>
                      <w:lang w:val="en-US" w:eastAsia="zh-CN"/>
                    </w:rPr>
                    <w:t>4.1</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颜填料</w:t>
                  </w:r>
                  <w:r>
                    <w:rPr>
                      <w:rFonts w:hint="eastAsia" w:ascii="Times New Roman" w:hAnsi="Times New Roman" w:cs="Times New Roman"/>
                      <w:color w:val="auto"/>
                      <w:lang w:val="en-US" w:eastAsia="zh-CN"/>
                    </w:rPr>
                    <w:t>24.4</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助剂</w:t>
                  </w:r>
                  <w:r>
                    <w:rPr>
                      <w:rFonts w:hint="eastAsia" w:ascii="Times New Roman" w:hAnsi="Times New Roman" w:cs="Times New Roman"/>
                      <w:color w:val="auto"/>
                      <w:lang w:val="en-US" w:eastAsia="zh-CN"/>
                    </w:rPr>
                    <w:t>0.</w:t>
                  </w:r>
                  <w:r>
                    <w:rPr>
                      <w:rFonts w:hint="default" w:ascii="Times New Roman" w:hAnsi="Times New Roman" w:cs="Times New Roman"/>
                      <w:color w:val="auto"/>
                    </w:rPr>
                    <w:t>5</w:t>
                  </w:r>
                  <w:r>
                    <w:rPr>
                      <w:rFonts w:hint="default" w:ascii="Times New Roman" w:hAnsi="Times New Roman" w:cs="Times New Roman"/>
                      <w:color w:val="auto"/>
                      <w:lang w:val="en-US" w:eastAsia="zh-CN"/>
                    </w:rPr>
                    <w:t>%</w:t>
                  </w:r>
                </w:p>
              </w:tc>
              <w:tc>
                <w:tcPr>
                  <w:tcW w:w="2882" w:type="pct"/>
                  <w:noWrap w:val="0"/>
                  <w:vAlign w:val="center"/>
                </w:tcPr>
                <w:p w14:paraId="29756C33">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6ED3B894">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燃点（℃）：44 自然温度（℃）： </w:t>
                  </w:r>
                </w:p>
                <w:p w14:paraId="55D7B88D">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沸点（℃）：&gt;35 闪点（℃）：32</w:t>
                  </w:r>
                  <w:r>
                    <w:rPr>
                      <w:rFonts w:hint="default" w:ascii="Times New Roman" w:hAnsi="Times New Roman" w:eastAsia="宋体" w:cs="Times New Roman"/>
                      <w:b/>
                      <w:bCs/>
                      <w:color w:val="auto"/>
                      <w:kern w:val="0"/>
                      <w:sz w:val="18"/>
                      <w:szCs w:val="18"/>
                      <w:lang w:val="en-US" w:eastAsia="zh-CN" w:bidi="ar"/>
                    </w:rPr>
                    <w:t xml:space="preserve"> </w:t>
                  </w:r>
                </w:p>
                <w:p w14:paraId="09E0397F">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爆炸上限（%）： 爆炸下限（%）： </w:t>
                  </w:r>
                </w:p>
                <w:p w14:paraId="0B5B7391">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相对密度（水=1）：1.071 相对蒸汽密度（空气=1）：</w:t>
                  </w:r>
                </w:p>
                <w:p w14:paraId="5E375DB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易燃液体和蒸汽，引起皮肤刺激，引起严重眼睛刺激，长期或反复接触引起器官损伤， </w:t>
                  </w:r>
                </w:p>
                <w:p w14:paraId="4AB518E5">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吞咽并进入呼吸道可能致命，对水生生物有害。</w:t>
                  </w:r>
                </w:p>
              </w:tc>
              <w:tc>
                <w:tcPr>
                  <w:tcW w:w="649" w:type="pct"/>
                  <w:noWrap w:val="0"/>
                  <w:vAlign w:val="center"/>
                </w:tcPr>
                <w:p w14:paraId="7033C79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7574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4A170AC7">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清漆</w:t>
                  </w:r>
                </w:p>
              </w:tc>
              <w:tc>
                <w:tcPr>
                  <w:tcW w:w="953" w:type="pct"/>
                  <w:noWrap w:val="0"/>
                  <w:vAlign w:val="center"/>
                </w:tcPr>
                <w:p w14:paraId="565BBDD4">
                  <w:pP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lang w:val="en-US" w:eastAsia="zh-CN"/>
                    </w:rPr>
                    <w:t>PVDF 树脂</w:t>
                  </w:r>
                  <w:r>
                    <w:rPr>
                      <w:rFonts w:hint="eastAsia" w:cs="Times New Roman"/>
                      <w:color w:val="auto"/>
                      <w:lang w:val="en-US" w:eastAsia="zh-CN"/>
                    </w:rPr>
                    <w:t>50.2</w:t>
                  </w:r>
                  <w:r>
                    <w:rPr>
                      <w:rFonts w:hint="default" w:ascii="Times New Roman" w:hAnsi="Times New Roman" w:cs="Times New Roman"/>
                      <w:color w:val="auto"/>
                      <w:lang w:val="en-US" w:eastAsia="zh-CN"/>
                    </w:rPr>
                    <w:t>%、丙烯酸树脂</w:t>
                  </w:r>
                  <w:r>
                    <w:rPr>
                      <w:rFonts w:hint="eastAsia" w:cs="Times New Roman"/>
                      <w:color w:val="auto"/>
                      <w:lang w:val="en-US" w:eastAsia="zh-CN"/>
                    </w:rPr>
                    <w:t>21.6</w:t>
                  </w:r>
                  <w:r>
                    <w:rPr>
                      <w:rFonts w:hint="default" w:ascii="Times New Roman" w:hAnsi="Times New Roman" w:cs="Times New Roman"/>
                      <w:color w:val="auto"/>
                      <w:lang w:val="en-US" w:eastAsia="zh-CN"/>
                    </w:rPr>
                    <w:t>%、二甲苯</w:t>
                  </w:r>
                  <w:r>
                    <w:rPr>
                      <w:rFonts w:hint="eastAsia" w:cs="Times New Roman"/>
                      <w:color w:val="auto"/>
                      <w:lang w:val="en-US" w:eastAsia="zh-CN"/>
                    </w:rPr>
                    <w:t>8.6</w:t>
                  </w:r>
                  <w:r>
                    <w:rPr>
                      <w:rFonts w:hint="default" w:ascii="Times New Roman" w:hAnsi="Times New Roman" w:cs="Times New Roman"/>
                      <w:color w:val="auto"/>
                      <w:lang w:val="en-US" w:eastAsia="zh-CN"/>
                    </w:rPr>
                    <w:t xml:space="preserve">%、BCS </w:t>
                  </w:r>
                  <w:r>
                    <w:rPr>
                      <w:rFonts w:hint="eastAsia" w:cs="Times New Roman"/>
                      <w:color w:val="auto"/>
                      <w:lang w:val="en-US" w:eastAsia="zh-CN"/>
                    </w:rPr>
                    <w:t>7.</w:t>
                  </w:r>
                  <w:r>
                    <w:rPr>
                      <w:rFonts w:hint="default" w:ascii="Times New Roman" w:hAnsi="Times New Roman" w:cs="Times New Roman"/>
                      <w:color w:val="auto"/>
                      <w:lang w:val="en-US" w:eastAsia="zh-CN"/>
                    </w:rPr>
                    <w:t>8%、邻苯二甲酸二甲酯</w:t>
                  </w:r>
                  <w:r>
                    <w:rPr>
                      <w:rFonts w:hint="eastAsia" w:cs="Times New Roman"/>
                      <w:color w:val="auto"/>
                      <w:lang w:val="en-US" w:eastAsia="zh-CN"/>
                    </w:rPr>
                    <w:t>9.8</w:t>
                  </w:r>
                  <w:r>
                    <w:rPr>
                      <w:rFonts w:hint="default" w:ascii="Times New Roman" w:hAnsi="Times New Roman" w:cs="Times New Roman"/>
                      <w:color w:val="auto"/>
                      <w:lang w:val="en-US" w:eastAsia="zh-CN"/>
                    </w:rPr>
                    <w:t>%、丙二醇</w:t>
                  </w:r>
                  <w:r>
                    <w:rPr>
                      <w:rFonts w:hint="eastAsia" w:cs="Times New Roman"/>
                      <w:color w:val="auto"/>
                      <w:lang w:val="en-US" w:eastAsia="zh-CN"/>
                    </w:rPr>
                    <w:t>1.9</w:t>
                  </w:r>
                  <w:r>
                    <w:rPr>
                      <w:rFonts w:hint="default" w:ascii="Times New Roman" w:hAnsi="Times New Roman" w:cs="Times New Roman"/>
                      <w:color w:val="auto"/>
                      <w:lang w:val="en-US" w:eastAsia="zh-CN"/>
                    </w:rPr>
                    <w:t>%、助剂</w:t>
                  </w:r>
                  <w:r>
                    <w:rPr>
                      <w:rFonts w:hint="eastAsia" w:cs="Times New Roman"/>
                      <w:color w:val="auto"/>
                      <w:lang w:val="en-US" w:eastAsia="zh-CN"/>
                    </w:rPr>
                    <w:t>0.3</w:t>
                  </w:r>
                  <w:r>
                    <w:rPr>
                      <w:rFonts w:hint="default" w:ascii="Times New Roman" w:hAnsi="Times New Roman" w:cs="Times New Roman"/>
                      <w:color w:val="auto"/>
                      <w:lang w:val="en-US" w:eastAsia="zh-CN"/>
                    </w:rPr>
                    <w:t>%</w:t>
                  </w:r>
                </w:p>
              </w:tc>
              <w:tc>
                <w:tcPr>
                  <w:tcW w:w="2882" w:type="pct"/>
                  <w:noWrap w:val="0"/>
                  <w:vAlign w:val="center"/>
                </w:tcPr>
                <w:p w14:paraId="5D428710">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0AA0A66D">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燃点（℃）：50 自然温度（℃）： </w:t>
                  </w:r>
                </w:p>
                <w:p w14:paraId="79D18867">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沸点（℃）：&gt;35 闪点（℃）：46 </w:t>
                  </w:r>
                </w:p>
                <w:p w14:paraId="25E567F9">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爆炸上限（%）： 爆炸下限（%）：</w:t>
                  </w:r>
                  <w:r>
                    <w:rPr>
                      <w:rFonts w:hint="default" w:ascii="Times New Roman" w:hAnsi="Times New Roman" w:eastAsia="宋体" w:cs="Times New Roman"/>
                      <w:b/>
                      <w:bCs/>
                      <w:color w:val="auto"/>
                      <w:kern w:val="0"/>
                      <w:sz w:val="18"/>
                      <w:szCs w:val="18"/>
                      <w:lang w:val="en-US" w:eastAsia="zh-CN" w:bidi="ar"/>
                    </w:rPr>
                    <w:t xml:space="preserve"> </w:t>
                  </w:r>
                </w:p>
                <w:p w14:paraId="7EB770D5">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相对密度（水=1）：1.173 相对蒸汽密度（空气=1）：</w:t>
                  </w:r>
                </w:p>
                <w:p w14:paraId="55D5CE86">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易燃液体和蒸汽，引起皮肤刺激，引起严重眼睛刺激，长期或反复接触引起器官损伤， </w:t>
                  </w:r>
                </w:p>
                <w:p w14:paraId="083C9696">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吞咽并进入呼吸道可能致命，对水生生物有害。</w:t>
                  </w:r>
                </w:p>
              </w:tc>
              <w:tc>
                <w:tcPr>
                  <w:tcW w:w="649" w:type="pct"/>
                  <w:noWrap w:val="0"/>
                  <w:vAlign w:val="center"/>
                </w:tcPr>
                <w:p w14:paraId="22F9A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7D221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D1B168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稀释剂</w:t>
                  </w:r>
                </w:p>
              </w:tc>
              <w:tc>
                <w:tcPr>
                  <w:tcW w:w="953" w:type="pct"/>
                  <w:noWrap w:val="0"/>
                  <w:vAlign w:val="center"/>
                </w:tcPr>
                <w:p w14:paraId="2F723A78">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二甲苯70%</w:t>
                  </w:r>
                </w:p>
                <w:p w14:paraId="43BEB38C">
                  <w:pPr>
                    <w:rPr>
                      <w:rFonts w:hint="default" w:ascii="Times New Roman" w:hAnsi="Times New Roman" w:cs="Times New Roman"/>
                      <w:color w:val="auto"/>
                      <w:kern w:val="2"/>
                      <w:sz w:val="21"/>
                      <w:szCs w:val="21"/>
                      <w:highlight w:val="none"/>
                      <w:lang w:val="en-US"/>
                    </w:rPr>
                  </w:pPr>
                  <w:r>
                    <w:rPr>
                      <w:rFonts w:hint="default" w:ascii="Times New Roman" w:hAnsi="Times New Roman" w:eastAsia="宋体" w:cs="Times New Roman"/>
                      <w:color w:val="auto"/>
                      <w:lang w:val="en-US" w:eastAsia="zh-CN"/>
                    </w:rPr>
                    <w:t>二乙二醇丁醚 30%</w:t>
                  </w:r>
                </w:p>
              </w:tc>
              <w:tc>
                <w:tcPr>
                  <w:tcW w:w="2882" w:type="pct"/>
                  <w:noWrap w:val="0"/>
                  <w:vAlign w:val="center"/>
                </w:tcPr>
                <w:p w14:paraId="686A56C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外观与性状：无色透明液体</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气味：有芳香+轻微醚味</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闪点：约 42℃（闭杯）</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自然温度：约 420℃</w:t>
                  </w:r>
                </w:p>
                <w:p w14:paraId="2EC8D35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left"/>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爆炸极限：约 1.1%-6.5%</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沸点：130-230℃</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溶解性：微溶于水，与多数有机溶剂、涂料混溶</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密度：0.892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p>
              </w:tc>
              <w:tc>
                <w:tcPr>
                  <w:tcW w:w="649" w:type="pct"/>
                  <w:noWrap w:val="0"/>
                  <w:vAlign w:val="center"/>
                </w:tcPr>
                <w:p w14:paraId="1691E5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08890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0709C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粉末涂料</w:t>
                  </w:r>
                </w:p>
              </w:tc>
              <w:tc>
                <w:tcPr>
                  <w:tcW w:w="953" w:type="pct"/>
                  <w:noWrap w:val="0"/>
                  <w:vAlign w:val="center"/>
                </w:tcPr>
                <w:p w14:paraId="2036E203">
                  <w:pPr>
                    <w:rPr>
                      <w:rFonts w:hint="default" w:ascii="Times New Roman" w:hAnsi="Times New Roman" w:eastAsia="宋体" w:cs="Times New Roman"/>
                      <w:color w:val="auto"/>
                      <w:lang w:val="en-US" w:eastAsia="zh-CN"/>
                    </w:rPr>
                  </w:pPr>
                  <w:r>
                    <w:rPr>
                      <w:rFonts w:hint="default" w:ascii="Times New Roman" w:hAnsi="Times New Roman" w:cs="Times New Roman"/>
                      <w:color w:val="auto"/>
                    </w:rPr>
                    <w:t>聚酯树脂50-60%</w:t>
                  </w:r>
                  <w:r>
                    <w:rPr>
                      <w:rFonts w:hint="default" w:ascii="Times New Roman" w:hAnsi="Times New Roman" w:cs="Times New Roman"/>
                      <w:color w:val="auto"/>
                      <w:lang w:eastAsia="zh-CN"/>
                    </w:rPr>
                    <w:t>、</w:t>
                  </w:r>
                  <w:r>
                    <w:rPr>
                      <w:rFonts w:hint="default" w:ascii="Times New Roman" w:hAnsi="Times New Roman" w:cs="Times New Roman"/>
                      <w:color w:val="auto"/>
                    </w:rPr>
                    <w:t>硫酸钡30%</w:t>
                  </w:r>
                  <w:r>
                    <w:rPr>
                      <w:rFonts w:hint="default" w:ascii="Times New Roman" w:hAnsi="Times New Roman" w:cs="Times New Roman"/>
                      <w:color w:val="auto"/>
                      <w:lang w:eastAsia="zh-CN"/>
                    </w:rPr>
                    <w:t>、</w:t>
                  </w:r>
                  <w:r>
                    <w:rPr>
                      <w:rFonts w:hint="default" w:ascii="Times New Roman" w:hAnsi="Times New Roman" w:cs="Times New Roman"/>
                      <w:color w:val="auto"/>
                    </w:rPr>
                    <w:t>安息香（脱气剂）1%</w:t>
                  </w:r>
                  <w:r>
                    <w:rPr>
                      <w:rFonts w:hint="default" w:ascii="Times New Roman" w:hAnsi="Times New Roman" w:cs="Times New Roman"/>
                      <w:color w:val="auto"/>
                      <w:lang w:eastAsia="zh-CN"/>
                    </w:rPr>
                    <w:t>、</w:t>
                  </w:r>
                  <w:r>
                    <w:rPr>
                      <w:rFonts w:hint="default" w:ascii="Times New Roman" w:hAnsi="Times New Roman" w:cs="Times New Roman"/>
                      <w:color w:val="auto"/>
                    </w:rPr>
                    <w:t>颜料5%</w:t>
                  </w:r>
                </w:p>
              </w:tc>
              <w:tc>
                <w:tcPr>
                  <w:tcW w:w="2882" w:type="pct"/>
                  <w:noWrap w:val="0"/>
                  <w:vAlign w:val="center"/>
                </w:tcPr>
                <w:p w14:paraId="46935B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外观和性状：干性粉末状</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气味：无气味</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分子式：未知 固化条件：170℃/20min()3 / 4</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pH 值：弱碱性 相对密度: 1.3~1.4</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熔点(℃)：120℃ 爆炸上限：无资料</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爆炸下限：无资料 水溶解度：0</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溶解性：微熔于醇、酮、甲苯等非极性有机溶剂</w:t>
                  </w:r>
                </w:p>
              </w:tc>
              <w:tc>
                <w:tcPr>
                  <w:tcW w:w="649" w:type="pct"/>
                  <w:noWrap w:val="0"/>
                  <w:vAlign w:val="center"/>
                </w:tcPr>
                <w:p w14:paraId="79108B3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否</w:t>
                  </w:r>
                </w:p>
              </w:tc>
            </w:tr>
            <w:tr w14:paraId="00C2D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62" w:type="dxa"/>
                  <w:noWrap w:val="0"/>
                  <w:vAlign w:val="center"/>
                </w:tcPr>
                <w:p w14:paraId="5DA91ADB">
                  <w:pPr>
                    <w:spacing w:line="240" w:lineRule="auto"/>
                    <w:jc w:val="both"/>
                    <w:rPr>
                      <w:rFonts w:hint="eastAsia" w:ascii="Times New Roman" w:hAnsi="Times New Roman" w:cs="Times New Roman"/>
                      <w:color w:val="auto"/>
                      <w:kern w:val="0"/>
                      <w:sz w:val="21"/>
                      <w:szCs w:val="21"/>
                      <w:highlight w:val="none"/>
                      <w:lang w:val="en-US" w:eastAsia="zh-CN"/>
                    </w:rPr>
                  </w:pPr>
                  <w:r>
                    <w:rPr>
                      <w:rFonts w:hint="eastAsia"/>
                      <w:color w:val="auto"/>
                      <w:sz w:val="21"/>
                      <w:szCs w:val="21"/>
                      <w:lang w:val="en-US" w:eastAsia="zh-CN"/>
                    </w:rPr>
                    <w:t>清洗剂</w:t>
                  </w:r>
                </w:p>
              </w:tc>
              <w:tc>
                <w:tcPr>
                  <w:tcW w:w="1598" w:type="dxa"/>
                  <w:noWrap w:val="0"/>
                  <w:vAlign w:val="center"/>
                </w:tcPr>
                <w:p w14:paraId="5E81FDDB">
                  <w:pPr>
                    <w:pStyle w:val="109"/>
                    <w:tabs>
                      <w:tab w:val="left" w:pos="-2848"/>
                    </w:tabs>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乙酸乙酯</w:t>
                  </w:r>
                  <w:r>
                    <w:rPr>
                      <w:rFonts w:hint="default" w:ascii="Times New Roman" w:hAnsi="Times New Roman" w:cs="Times New Roman"/>
                      <w:color w:val="auto"/>
                      <w:lang w:val="en-US" w:eastAsia="zh-CN"/>
                    </w:rPr>
                    <w:t>50%</w:t>
                  </w:r>
                </w:p>
                <w:p w14:paraId="6F05BE1E">
                  <w:pPr>
                    <w:pStyle w:val="109"/>
                    <w:tabs>
                      <w:tab w:val="left" w:pos="-2848"/>
                    </w:tabs>
                    <w:rPr>
                      <w:rFonts w:hint="default" w:ascii="Times New Roman" w:hAnsi="Times New Roman" w:cs="Times New Roman"/>
                      <w:color w:val="auto"/>
                    </w:rPr>
                  </w:pPr>
                  <w:r>
                    <w:rPr>
                      <w:rFonts w:hint="default" w:ascii="Times New Roman" w:hAnsi="Times New Roman" w:eastAsia="宋体" w:cs="Times New Roman"/>
                      <w:color w:val="auto"/>
                      <w:lang w:val="en-US" w:eastAsia="zh-CN"/>
                    </w:rPr>
                    <w:t>乙酸正丁酯</w:t>
                  </w:r>
                  <w:r>
                    <w:rPr>
                      <w:rFonts w:hint="default" w:ascii="Times New Roman" w:hAnsi="Times New Roman" w:cs="Times New Roman"/>
                      <w:color w:val="auto"/>
                      <w:lang w:val="en-US" w:eastAsia="zh-CN"/>
                    </w:rPr>
                    <w:t>50%</w:t>
                  </w:r>
                </w:p>
              </w:tc>
              <w:tc>
                <w:tcPr>
                  <w:tcW w:w="4831" w:type="dxa"/>
                  <w:noWrap w:val="0"/>
                  <w:vAlign w:val="center"/>
                </w:tcPr>
                <w:p w14:paraId="7FFED45D">
                  <w:pPr>
                    <w:pStyle w:val="109"/>
                    <w:pageBreakBefore w:val="0"/>
                    <w:tabs>
                      <w:tab w:val="left" w:pos="-2848"/>
                    </w:tabs>
                    <w:wordWrap w:val="0"/>
                    <w:overflowPunct/>
                    <w:bidi w:val="0"/>
                    <w:spacing w:line="240" w:lineRule="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sz w:val="21"/>
                      <w:szCs w:val="21"/>
                      <w:highlight w:val="none"/>
                    </w:rPr>
                    <w:t>外观为无色透明液体，相对密度:0.8</w:t>
                  </w:r>
                  <w:r>
                    <w:rPr>
                      <w:rFonts w:hint="default" w:ascii="Times New Roman" w:hAnsi="Times New Roman" w:cs="Times New Roman"/>
                      <w:color w:val="auto"/>
                      <w:sz w:val="21"/>
                      <w:szCs w:val="21"/>
                      <w:highlight w:val="none"/>
                      <w:lang w:val="en-US" w:eastAsia="zh-CN"/>
                    </w:rPr>
                    <w:t>28</w:t>
                  </w:r>
                  <w:r>
                    <w:rPr>
                      <w:rFonts w:hint="default" w:ascii="Times New Roman" w:hAnsi="Times New Roman" w:cs="Times New Roman"/>
                      <w:color w:val="auto"/>
                      <w:sz w:val="21"/>
                      <w:szCs w:val="21"/>
                      <w:highlight w:val="none"/>
                    </w:rPr>
                    <w:t>，危险特征:易燃，遇明火、高热能引起燃烧爆炸。</w:t>
                  </w:r>
                </w:p>
              </w:tc>
              <w:tc>
                <w:tcPr>
                  <w:tcW w:w="649" w:type="pct"/>
                  <w:noWrap w:val="0"/>
                  <w:vAlign w:val="center"/>
                </w:tcPr>
                <w:p w14:paraId="6C562FE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3B593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2877CC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焊丝</w:t>
                  </w:r>
                </w:p>
              </w:tc>
              <w:tc>
                <w:tcPr>
                  <w:tcW w:w="3836" w:type="pct"/>
                  <w:gridSpan w:val="2"/>
                  <w:noWrap w:val="0"/>
                  <w:vAlign w:val="center"/>
                </w:tcPr>
                <w:p w14:paraId="75610941">
                  <w:pPr>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rPr>
                    <w:t>ER4043 铝硅焊丝：核心合金成分为 Si（4.5%~6.0%），Mg 含量极低；ER5356 铝镁焊丝：核心合金成分为 Mg（4.5%~5.5%）、Mn（0.05%~0.20%）</w:t>
                  </w:r>
                  <w:r>
                    <w:rPr>
                      <w:rFonts w:hint="eastAsia" w:cs="Times New Roman"/>
                      <w:color w:val="auto"/>
                      <w:lang w:val="en-US" w:eastAsia="zh-CN"/>
                    </w:rPr>
                    <w:t>;</w:t>
                  </w:r>
                  <w:r>
                    <w:rPr>
                      <w:rFonts w:hint="default" w:ascii="Times New Roman" w:hAnsi="Times New Roman" w:cs="Times New Roman"/>
                      <w:color w:val="auto"/>
                    </w:rPr>
                    <w:t>银白色金属丝</w:t>
                  </w:r>
                  <w:r>
                    <w:rPr>
                      <w:rFonts w:hint="eastAsia" w:cs="Times New Roman"/>
                      <w:color w:val="auto"/>
                      <w:lang w:val="en-US" w:eastAsia="zh-CN"/>
                    </w:rPr>
                    <w:t>，</w:t>
                  </w:r>
                  <w:r>
                    <w:rPr>
                      <w:rFonts w:hint="default" w:ascii="Times New Roman" w:hAnsi="Times New Roman" w:cs="Times New Roman"/>
                      <w:color w:val="auto"/>
                    </w:rPr>
                    <w:t>熔点（约560-620℃）、危险性</w:t>
                  </w:r>
                  <w:r>
                    <w:rPr>
                      <w:rFonts w:hint="eastAsia" w:cs="Times New Roman"/>
                      <w:color w:val="auto"/>
                      <w:lang w:eastAsia="zh-CN"/>
                    </w:rPr>
                    <w:t>：</w:t>
                  </w:r>
                  <w:r>
                    <w:rPr>
                      <w:rFonts w:hint="default" w:ascii="Times New Roman" w:hAnsi="Times New Roman" w:cs="Times New Roman"/>
                      <w:color w:val="auto"/>
                    </w:rPr>
                    <w:t>不易燃，熔融状态下有烫伤风险等</w:t>
                  </w:r>
                </w:p>
              </w:tc>
              <w:tc>
                <w:tcPr>
                  <w:tcW w:w="649" w:type="pct"/>
                  <w:noWrap w:val="0"/>
                  <w:vAlign w:val="center"/>
                </w:tcPr>
                <w:p w14:paraId="04D8F42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否</w:t>
                  </w:r>
                </w:p>
              </w:tc>
            </w:tr>
          </w:tbl>
          <w:p w14:paraId="7944A3D4">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62D7FF5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4、生产设备</w:t>
            </w:r>
          </w:p>
          <w:p w14:paraId="0774030F">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本项目生产设备见下表。</w:t>
            </w:r>
          </w:p>
          <w:p w14:paraId="3CD38D38">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生产设备一览表</w:t>
            </w:r>
          </w:p>
          <w:tbl>
            <w:tblPr>
              <w:tblStyle w:val="48"/>
              <w:tblW w:w="50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3"/>
              <w:gridCol w:w="1362"/>
              <w:gridCol w:w="1986"/>
              <w:gridCol w:w="753"/>
              <w:gridCol w:w="1862"/>
              <w:gridCol w:w="1880"/>
            </w:tblGrid>
            <w:tr w14:paraId="399A0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ign w:val="center"/>
                </w:tcPr>
                <w:p w14:paraId="29C5E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序号</w:t>
                  </w:r>
                </w:p>
              </w:tc>
              <w:tc>
                <w:tcPr>
                  <w:tcW w:w="803" w:type="pct"/>
                  <w:tcBorders>
                    <w:tl2br w:val="nil"/>
                    <w:tr2bl w:val="nil"/>
                  </w:tcBorders>
                  <w:noWrap/>
                  <w:vAlign w:val="center"/>
                </w:tcPr>
                <w:p w14:paraId="11F53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名称</w:t>
                  </w:r>
                </w:p>
              </w:tc>
              <w:tc>
                <w:tcPr>
                  <w:tcW w:w="1171" w:type="pct"/>
                  <w:tcBorders>
                    <w:tl2br w:val="nil"/>
                    <w:tr2bl w:val="nil"/>
                  </w:tcBorders>
                  <w:noWrap/>
                  <w:vAlign w:val="center"/>
                </w:tcPr>
                <w:p w14:paraId="304D0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设备名称</w:t>
                  </w:r>
                </w:p>
              </w:tc>
              <w:tc>
                <w:tcPr>
                  <w:tcW w:w="444" w:type="pct"/>
                  <w:tcBorders>
                    <w:tl2br w:val="nil"/>
                    <w:tr2bl w:val="nil"/>
                  </w:tcBorders>
                  <w:noWrap/>
                  <w:vAlign w:val="center"/>
                </w:tcPr>
                <w:p w14:paraId="4374B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数量</w:t>
                  </w:r>
                </w:p>
              </w:tc>
              <w:tc>
                <w:tcPr>
                  <w:tcW w:w="1098" w:type="pct"/>
                  <w:tcBorders>
                    <w:tl2br w:val="nil"/>
                    <w:tr2bl w:val="nil"/>
                  </w:tcBorders>
                  <w:noWrap/>
                  <w:vAlign w:val="center"/>
                </w:tcPr>
                <w:p w14:paraId="76781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规格型号</w:t>
                  </w:r>
                </w:p>
              </w:tc>
              <w:tc>
                <w:tcPr>
                  <w:tcW w:w="1109" w:type="pct"/>
                  <w:tcBorders>
                    <w:tl2br w:val="nil"/>
                    <w:tr2bl w:val="nil"/>
                  </w:tcBorders>
                  <w:noWrap/>
                  <w:vAlign w:val="center"/>
                </w:tcPr>
                <w:p w14:paraId="628DA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用途</w:t>
                  </w:r>
                </w:p>
              </w:tc>
            </w:tr>
            <w:tr w14:paraId="54D04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73CF2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w:t>
                  </w:r>
                </w:p>
              </w:tc>
              <w:tc>
                <w:tcPr>
                  <w:tcW w:w="803" w:type="pct"/>
                  <w:vMerge w:val="restart"/>
                  <w:tcBorders>
                    <w:tl2br w:val="nil"/>
                    <w:tr2bl w:val="nil"/>
                  </w:tcBorders>
                  <w:noWrap/>
                  <w:vAlign w:val="center"/>
                </w:tcPr>
                <w:p w14:paraId="32729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工件表面预处理</w:t>
                  </w:r>
                  <w:r>
                    <w:rPr>
                      <w:rFonts w:hint="default" w:ascii="Times New Roman" w:hAnsi="Times New Roman" w:eastAsia="宋体" w:cs="Times New Roman"/>
                      <w:color w:val="auto"/>
                      <w:sz w:val="21"/>
                      <w:szCs w:val="21"/>
                      <w:highlight w:val="none"/>
                    </w:rPr>
                    <w:t>生产线</w:t>
                  </w:r>
                </w:p>
              </w:tc>
              <w:tc>
                <w:tcPr>
                  <w:tcW w:w="1171" w:type="pct"/>
                  <w:tcBorders>
                    <w:tl2br w:val="nil"/>
                    <w:tr2bl w:val="nil"/>
                  </w:tcBorders>
                  <w:noWrap/>
                  <w:vAlign w:val="center"/>
                </w:tcPr>
                <w:p w14:paraId="47520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张力机</w:t>
                  </w:r>
                </w:p>
              </w:tc>
              <w:tc>
                <w:tcPr>
                  <w:tcW w:w="444" w:type="pct"/>
                  <w:tcBorders>
                    <w:tl2br w:val="nil"/>
                    <w:tr2bl w:val="nil"/>
                  </w:tcBorders>
                  <w:noWrap/>
                  <w:vAlign w:val="center"/>
                </w:tcPr>
                <w:p w14:paraId="07915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台</w:t>
                  </w:r>
                </w:p>
              </w:tc>
              <w:tc>
                <w:tcPr>
                  <w:tcW w:w="1098" w:type="pct"/>
                  <w:tcBorders>
                    <w:tl2br w:val="nil"/>
                    <w:tr2bl w:val="nil"/>
                  </w:tcBorders>
                  <w:noWrap/>
                  <w:vAlign w:val="center"/>
                </w:tcPr>
                <w:p w14:paraId="1FD634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m/min</w:t>
                  </w:r>
                </w:p>
              </w:tc>
              <w:tc>
                <w:tcPr>
                  <w:tcW w:w="1109" w:type="pct"/>
                  <w:vMerge w:val="restart"/>
                  <w:tcBorders>
                    <w:tl2br w:val="nil"/>
                    <w:tr2bl w:val="nil"/>
                  </w:tcBorders>
                  <w:noWrap/>
                  <w:vAlign w:val="center"/>
                </w:tcPr>
                <w:p w14:paraId="0694FD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行进动力</w:t>
                  </w:r>
                </w:p>
              </w:tc>
            </w:tr>
            <w:tr w14:paraId="71955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7E999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55BA96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ign w:val="center"/>
                </w:tcPr>
                <w:p w14:paraId="3B7922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牵引机</w:t>
                  </w:r>
                </w:p>
              </w:tc>
              <w:tc>
                <w:tcPr>
                  <w:tcW w:w="444" w:type="pct"/>
                  <w:tcBorders>
                    <w:tl2br w:val="nil"/>
                    <w:tr2bl w:val="nil"/>
                  </w:tcBorders>
                  <w:noWrap/>
                  <w:vAlign w:val="center"/>
                </w:tcPr>
                <w:p w14:paraId="78598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台</w:t>
                  </w:r>
                </w:p>
              </w:tc>
              <w:tc>
                <w:tcPr>
                  <w:tcW w:w="1098" w:type="pct"/>
                  <w:tcBorders>
                    <w:tl2br w:val="nil"/>
                    <w:tr2bl w:val="nil"/>
                  </w:tcBorders>
                  <w:noWrap/>
                  <w:vAlign w:val="center"/>
                </w:tcPr>
                <w:p w14:paraId="7387F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m/min</w:t>
                  </w:r>
                </w:p>
              </w:tc>
              <w:tc>
                <w:tcPr>
                  <w:tcW w:w="1109" w:type="pct"/>
                  <w:vMerge w:val="continue"/>
                  <w:tcBorders>
                    <w:tl2br w:val="nil"/>
                    <w:tr2bl w:val="nil"/>
                  </w:tcBorders>
                  <w:noWrap/>
                  <w:vAlign w:val="center"/>
                </w:tcPr>
                <w:p w14:paraId="69B01D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r>
            <w:tr w14:paraId="1B7F4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04C1E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6BE85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AFB8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444" w:type="pct"/>
                  <w:tcBorders>
                    <w:tl2br w:val="nil"/>
                    <w:tr2bl w:val="nil"/>
                  </w:tcBorders>
                  <w:noWrap w:val="0"/>
                  <w:vAlign w:val="center"/>
                </w:tcPr>
                <w:p w14:paraId="36DB7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2D647F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390592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预水洗</w:t>
                  </w:r>
                </w:p>
              </w:tc>
            </w:tr>
            <w:tr w14:paraId="3639F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2D93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C606D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4E9CC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444" w:type="pct"/>
                  <w:tcBorders>
                    <w:tl2br w:val="nil"/>
                    <w:tr2bl w:val="nil"/>
                  </w:tcBorders>
                  <w:noWrap w:val="0"/>
                  <w:vAlign w:val="center"/>
                </w:tcPr>
                <w:p w14:paraId="2A45B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3A871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1B5EC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预脱脂</w:t>
                  </w:r>
                </w:p>
              </w:tc>
            </w:tr>
            <w:tr w14:paraId="70019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902A5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3B873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A56B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444" w:type="pct"/>
                  <w:tcBorders>
                    <w:tl2br w:val="nil"/>
                    <w:tr2bl w:val="nil"/>
                  </w:tcBorders>
                  <w:noWrap w:val="0"/>
                  <w:vAlign w:val="center"/>
                </w:tcPr>
                <w:p w14:paraId="09561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6F2DA3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4682D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脱脂</w:t>
                  </w:r>
                </w:p>
              </w:tc>
            </w:tr>
            <w:tr w14:paraId="1D06B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EC3F9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0254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B5FA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74087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4197458E">
                  <w:pPr>
                    <w:keepNext w:val="0"/>
                    <w:keepLines w:val="0"/>
                    <w:pageBreakBefore w:val="0"/>
                    <w:widowControl/>
                    <w:suppressLineNumbers w:val="0"/>
                    <w:tabs>
                      <w:tab w:val="left" w:pos="674"/>
                      <w:tab w:val="center" w:pos="147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.5m×2m×1m</w:t>
                  </w:r>
                </w:p>
              </w:tc>
              <w:tc>
                <w:tcPr>
                  <w:tcW w:w="1109" w:type="pct"/>
                  <w:vMerge w:val="restart"/>
                  <w:tcBorders>
                    <w:tl2br w:val="nil"/>
                    <w:tr2bl w:val="nil"/>
                  </w:tcBorders>
                  <w:noWrap/>
                  <w:vAlign w:val="center"/>
                </w:tcPr>
                <w:p w14:paraId="141AD5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水洗</w:t>
                  </w:r>
                </w:p>
              </w:tc>
            </w:tr>
            <w:tr w14:paraId="0381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73003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6B427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3145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71B9D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117A1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m×2m×1m</w:t>
                  </w:r>
                </w:p>
              </w:tc>
              <w:tc>
                <w:tcPr>
                  <w:tcW w:w="1109" w:type="pct"/>
                  <w:vMerge w:val="continue"/>
                  <w:tcBorders>
                    <w:tl2br w:val="nil"/>
                    <w:tr2bl w:val="nil"/>
                  </w:tcBorders>
                  <w:noWrap/>
                  <w:vAlign w:val="center"/>
                </w:tcPr>
                <w:p w14:paraId="376EC9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r>
            <w:tr w14:paraId="2ADE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A7900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12BDAF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A8E1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5A861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024ED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28BED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w:t>
                  </w:r>
                </w:p>
              </w:tc>
            </w:tr>
            <w:tr w14:paraId="1246F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6F6B8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276F5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6E9563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无铬钝化池</w:t>
                  </w:r>
                </w:p>
              </w:tc>
              <w:tc>
                <w:tcPr>
                  <w:tcW w:w="444" w:type="pct"/>
                  <w:tcBorders>
                    <w:tl2br w:val="nil"/>
                    <w:tr2bl w:val="nil"/>
                  </w:tcBorders>
                  <w:noWrap w:val="0"/>
                  <w:vAlign w:val="center"/>
                </w:tcPr>
                <w:p w14:paraId="570FD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5151D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.5m×2m×1m</w:t>
                  </w:r>
                </w:p>
              </w:tc>
              <w:tc>
                <w:tcPr>
                  <w:tcW w:w="1109" w:type="pct"/>
                  <w:tcBorders>
                    <w:tl2br w:val="nil"/>
                    <w:tr2bl w:val="nil"/>
                  </w:tcBorders>
                  <w:noWrap/>
                  <w:vAlign w:val="center"/>
                </w:tcPr>
                <w:p w14:paraId="62AD6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无铬钝化</w:t>
                  </w:r>
                </w:p>
              </w:tc>
            </w:tr>
            <w:tr w14:paraId="72572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7485BF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E6E66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DF7F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54D10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517CD3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23073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水洗</w:t>
                  </w:r>
                </w:p>
              </w:tc>
            </w:tr>
            <w:tr w14:paraId="5EF3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7E9C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29BE74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A193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烘水通道</w:t>
                  </w:r>
                </w:p>
              </w:tc>
              <w:tc>
                <w:tcPr>
                  <w:tcW w:w="444" w:type="pct"/>
                  <w:tcBorders>
                    <w:tl2br w:val="nil"/>
                    <w:tr2bl w:val="nil"/>
                  </w:tcBorders>
                  <w:noWrap w:val="0"/>
                  <w:vAlign w:val="center"/>
                </w:tcPr>
                <w:p w14:paraId="43916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条</w:t>
                  </w:r>
                </w:p>
              </w:tc>
              <w:tc>
                <w:tcPr>
                  <w:tcW w:w="1098" w:type="pct"/>
                  <w:tcBorders>
                    <w:tl2br w:val="nil"/>
                    <w:tr2bl w:val="nil"/>
                  </w:tcBorders>
                  <w:noWrap/>
                  <w:vAlign w:val="center"/>
                </w:tcPr>
                <w:p w14:paraId="1D623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lang w:val="en-US" w:eastAsia="zh-CN"/>
                    </w:rPr>
                    <w:t>2570</w:t>
                  </w:r>
                  <w:r>
                    <w:rPr>
                      <w:rFonts w:hint="default" w:ascii="Times New Roman" w:hAnsi="Times New Roman" w:eastAsia="宋体" w:cs="Times New Roman"/>
                      <w:color w:val="auto"/>
                      <w:sz w:val="21"/>
                      <w:szCs w:val="21"/>
                      <w:highlight w:val="none"/>
                    </w:rPr>
                    <w:t>mm×</w:t>
                  </w:r>
                  <w:r>
                    <w:rPr>
                      <w:rFonts w:hint="default"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p>
              </w:tc>
              <w:tc>
                <w:tcPr>
                  <w:tcW w:w="1109" w:type="pct"/>
                  <w:vMerge w:val="restart"/>
                  <w:tcBorders>
                    <w:tl2br w:val="nil"/>
                    <w:tr2bl w:val="nil"/>
                  </w:tcBorders>
                  <w:noWrap/>
                  <w:vAlign w:val="center"/>
                </w:tcPr>
                <w:p w14:paraId="3004DC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烘干</w:t>
                  </w:r>
                </w:p>
              </w:tc>
            </w:tr>
            <w:tr w14:paraId="64CDA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6BF6D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1D0D18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3A57E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烘水炉</w:t>
                  </w:r>
                  <w:r>
                    <w:rPr>
                      <w:rFonts w:hint="eastAsia" w:cs="Times New Roman"/>
                      <w:color w:val="auto"/>
                      <w:sz w:val="21"/>
                      <w:szCs w:val="21"/>
                      <w:highlight w:val="none"/>
                      <w:lang w:val="en-US" w:eastAsia="zh-CN"/>
                    </w:rPr>
                    <w:t>加热</w:t>
                  </w:r>
                  <w:r>
                    <w:rPr>
                      <w:rFonts w:hint="default" w:ascii="Times New Roman" w:hAnsi="Times New Roman" w:eastAsia="宋体" w:cs="Times New Roman"/>
                      <w:color w:val="auto"/>
                      <w:sz w:val="21"/>
                      <w:szCs w:val="21"/>
                      <w:highlight w:val="none"/>
                    </w:rPr>
                    <w:t>机</w:t>
                  </w:r>
                </w:p>
              </w:tc>
              <w:tc>
                <w:tcPr>
                  <w:tcW w:w="444" w:type="pct"/>
                  <w:tcBorders>
                    <w:tl2br w:val="nil"/>
                    <w:tr2bl w:val="nil"/>
                  </w:tcBorders>
                  <w:noWrap w:val="0"/>
                  <w:vAlign w:val="center"/>
                </w:tcPr>
                <w:p w14:paraId="157EF6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套</w:t>
                  </w:r>
                </w:p>
              </w:tc>
              <w:tc>
                <w:tcPr>
                  <w:tcW w:w="1098" w:type="pct"/>
                  <w:tcBorders>
                    <w:tl2br w:val="nil"/>
                    <w:tr2bl w:val="nil"/>
                  </w:tcBorders>
                  <w:noWrap/>
                  <w:vAlign w:val="center"/>
                </w:tcPr>
                <w:p w14:paraId="49428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w:t>
                  </w:r>
                </w:p>
              </w:tc>
              <w:tc>
                <w:tcPr>
                  <w:tcW w:w="1109" w:type="pct"/>
                  <w:vMerge w:val="continue"/>
                  <w:tcBorders>
                    <w:tl2br w:val="nil"/>
                    <w:tr2bl w:val="nil"/>
                  </w:tcBorders>
                  <w:noWrap/>
                  <w:vAlign w:val="center"/>
                </w:tcPr>
                <w:p w14:paraId="13DC8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r>
            <w:tr w14:paraId="39F2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14F93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803" w:type="pct"/>
                  <w:vMerge w:val="restart"/>
                  <w:tcBorders>
                    <w:tl2br w:val="nil"/>
                    <w:tr2bl w:val="nil"/>
                  </w:tcBorders>
                  <w:noWrap/>
                  <w:vAlign w:val="center"/>
                </w:tcPr>
                <w:p w14:paraId="601633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钣金加工车间</w:t>
                  </w:r>
                </w:p>
              </w:tc>
              <w:tc>
                <w:tcPr>
                  <w:tcW w:w="1171" w:type="pct"/>
                  <w:tcBorders>
                    <w:tl2br w:val="nil"/>
                    <w:tr2bl w:val="nil"/>
                  </w:tcBorders>
                  <w:noWrap w:val="0"/>
                  <w:vAlign w:val="center"/>
                </w:tcPr>
                <w:p w14:paraId="4DD9BEF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激光切割生产线</w:t>
                  </w:r>
                </w:p>
              </w:tc>
              <w:tc>
                <w:tcPr>
                  <w:tcW w:w="444" w:type="pct"/>
                  <w:tcBorders>
                    <w:tl2br w:val="nil"/>
                    <w:tr2bl w:val="nil"/>
                  </w:tcBorders>
                  <w:noWrap w:val="0"/>
                  <w:vAlign w:val="center"/>
                </w:tcPr>
                <w:p w14:paraId="041824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10条</w:t>
                  </w:r>
                </w:p>
              </w:tc>
              <w:tc>
                <w:tcPr>
                  <w:tcW w:w="1098" w:type="pct"/>
                  <w:tcBorders>
                    <w:tl2br w:val="nil"/>
                    <w:tr2bl w:val="nil"/>
                  </w:tcBorders>
                  <w:noWrap w:val="0"/>
                  <w:vAlign w:val="center"/>
                </w:tcPr>
                <w:p w14:paraId="726169B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AWING</w:t>
                  </w:r>
                  <w:r>
                    <w:rPr>
                      <w:rStyle w:val="156"/>
                      <w:rFonts w:hint="default" w:ascii="Times New Roman" w:hAnsi="Times New Roman" w:eastAsia="宋体" w:cs="Times New Roman"/>
                      <w:color w:val="auto"/>
                      <w:sz w:val="21"/>
                      <w:szCs w:val="21"/>
                      <w:highlight w:val="none"/>
                      <w:lang w:val="en-US" w:eastAsia="zh-CN" w:bidi="ar"/>
                    </w:rPr>
                    <w:t xml:space="preserve"> 6025</w:t>
                  </w:r>
                </w:p>
              </w:tc>
              <w:tc>
                <w:tcPr>
                  <w:tcW w:w="1109" w:type="pct"/>
                  <w:vMerge w:val="restart"/>
                  <w:tcBorders>
                    <w:tl2br w:val="nil"/>
                    <w:tr2bl w:val="nil"/>
                  </w:tcBorders>
                  <w:noWrap/>
                  <w:vAlign w:val="center"/>
                </w:tcPr>
                <w:p w14:paraId="244B9AE3">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开料</w:t>
                  </w:r>
                </w:p>
              </w:tc>
            </w:tr>
            <w:tr w14:paraId="32E8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433E4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13B3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C1FEC5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数控切割机</w:t>
                  </w:r>
                </w:p>
              </w:tc>
              <w:tc>
                <w:tcPr>
                  <w:tcW w:w="444" w:type="pct"/>
                  <w:tcBorders>
                    <w:tl2br w:val="nil"/>
                    <w:tr2bl w:val="nil"/>
                  </w:tcBorders>
                  <w:noWrap w:val="0"/>
                  <w:vAlign w:val="center"/>
                </w:tcPr>
                <w:p w14:paraId="66980BF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10台</w:t>
                  </w:r>
                </w:p>
              </w:tc>
              <w:tc>
                <w:tcPr>
                  <w:tcW w:w="1098" w:type="pct"/>
                  <w:tcBorders>
                    <w:tl2br w:val="nil"/>
                    <w:tr2bl w:val="nil"/>
                  </w:tcBorders>
                  <w:noWrap w:val="0"/>
                  <w:vAlign w:val="center"/>
                </w:tcPr>
                <w:p w14:paraId="317941F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HPI-3058-36LA</w:t>
                  </w:r>
                </w:p>
              </w:tc>
              <w:tc>
                <w:tcPr>
                  <w:tcW w:w="1109" w:type="pct"/>
                  <w:vMerge w:val="continue"/>
                  <w:tcBorders>
                    <w:tl2br w:val="nil"/>
                    <w:tr2bl w:val="nil"/>
                  </w:tcBorders>
                  <w:noWrap/>
                  <w:vAlign w:val="center"/>
                </w:tcPr>
                <w:p w14:paraId="401365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1F37A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1673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1223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2084A32">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数控转塔冲床</w:t>
                  </w:r>
                </w:p>
              </w:tc>
              <w:tc>
                <w:tcPr>
                  <w:tcW w:w="444" w:type="pct"/>
                  <w:tcBorders>
                    <w:tl2br w:val="nil"/>
                    <w:tr2bl w:val="nil"/>
                  </w:tcBorders>
                  <w:noWrap w:val="0"/>
                  <w:vAlign w:val="center"/>
                </w:tcPr>
                <w:p w14:paraId="46EC57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40台</w:t>
                  </w:r>
                </w:p>
              </w:tc>
              <w:tc>
                <w:tcPr>
                  <w:tcW w:w="1098" w:type="pct"/>
                  <w:tcBorders>
                    <w:tl2br w:val="nil"/>
                    <w:tr2bl w:val="nil"/>
                  </w:tcBorders>
                  <w:noWrap w:val="0"/>
                  <w:vAlign w:val="center"/>
                </w:tcPr>
                <w:p w14:paraId="5370E6B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HPE-3078</w:t>
                  </w:r>
                </w:p>
              </w:tc>
              <w:tc>
                <w:tcPr>
                  <w:tcW w:w="1109" w:type="pct"/>
                  <w:vMerge w:val="restart"/>
                  <w:tcBorders>
                    <w:tl2br w:val="nil"/>
                    <w:tr2bl w:val="nil"/>
                  </w:tcBorders>
                  <w:noWrap/>
                  <w:vAlign w:val="center"/>
                </w:tcPr>
                <w:p w14:paraId="42C5763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冲压、折弯、焊接</w:t>
                  </w:r>
                </w:p>
              </w:tc>
            </w:tr>
            <w:tr w14:paraId="31B8B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4184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D093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D05361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精密剪板机</w:t>
                  </w:r>
                </w:p>
              </w:tc>
              <w:tc>
                <w:tcPr>
                  <w:tcW w:w="444" w:type="pct"/>
                  <w:tcBorders>
                    <w:tl2br w:val="nil"/>
                    <w:tr2bl w:val="nil"/>
                  </w:tcBorders>
                  <w:noWrap w:val="0"/>
                  <w:vAlign w:val="center"/>
                </w:tcPr>
                <w:p w14:paraId="4910D217">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78DA1F3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6B7204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30347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 w:hRule="atLeast"/>
                <w:jc w:val="center"/>
              </w:trPr>
              <w:tc>
                <w:tcPr>
                  <w:tcW w:w="373" w:type="pct"/>
                  <w:vMerge w:val="continue"/>
                  <w:tcBorders>
                    <w:tl2br w:val="nil"/>
                    <w:tr2bl w:val="nil"/>
                  </w:tcBorders>
                  <w:noWrap/>
                  <w:vAlign w:val="center"/>
                </w:tcPr>
                <w:p w14:paraId="3C21D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7233B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2A37E3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卧式数控刨槽机</w:t>
                  </w:r>
                </w:p>
              </w:tc>
              <w:tc>
                <w:tcPr>
                  <w:tcW w:w="444" w:type="pct"/>
                  <w:tcBorders>
                    <w:tl2br w:val="nil"/>
                    <w:tr2bl w:val="nil"/>
                  </w:tcBorders>
                  <w:noWrap w:val="0"/>
                  <w:vAlign w:val="center"/>
                </w:tcPr>
                <w:p w14:paraId="4BFBFBE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3FD5C9A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316CD6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46D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66A25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F959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57EDF9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数控折弯机</w:t>
                  </w:r>
                </w:p>
              </w:tc>
              <w:tc>
                <w:tcPr>
                  <w:tcW w:w="444" w:type="pct"/>
                  <w:tcBorders>
                    <w:tl2br w:val="nil"/>
                    <w:tr2bl w:val="nil"/>
                  </w:tcBorders>
                  <w:noWrap w:val="0"/>
                  <w:vAlign w:val="center"/>
                </w:tcPr>
                <w:p w14:paraId="5BADD3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60台</w:t>
                  </w:r>
                </w:p>
              </w:tc>
              <w:tc>
                <w:tcPr>
                  <w:tcW w:w="1098" w:type="pct"/>
                  <w:tcBorders>
                    <w:tl2br w:val="nil"/>
                    <w:tr2bl w:val="nil"/>
                  </w:tcBorders>
                  <w:noWrap w:val="0"/>
                  <w:vAlign w:val="center"/>
                </w:tcPr>
                <w:p w14:paraId="7EB088D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NP20-150-400H</w:t>
                  </w:r>
                </w:p>
              </w:tc>
              <w:tc>
                <w:tcPr>
                  <w:tcW w:w="1109" w:type="pct"/>
                  <w:vMerge w:val="continue"/>
                  <w:tcBorders>
                    <w:tl2br w:val="nil"/>
                    <w:tr2bl w:val="nil"/>
                  </w:tcBorders>
                  <w:noWrap/>
                  <w:vAlign w:val="center"/>
                </w:tcPr>
                <w:p w14:paraId="41618CD7">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4E41B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3" w:type="pct"/>
                  <w:vMerge w:val="continue"/>
                  <w:tcBorders>
                    <w:tl2br w:val="nil"/>
                    <w:tr2bl w:val="nil"/>
                  </w:tcBorders>
                  <w:noWrap/>
                  <w:vAlign w:val="center"/>
                </w:tcPr>
                <w:p w14:paraId="42C41E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84463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2EA05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滚压成型设备</w:t>
                  </w:r>
                </w:p>
              </w:tc>
              <w:tc>
                <w:tcPr>
                  <w:tcW w:w="444" w:type="pct"/>
                  <w:tcBorders>
                    <w:tl2br w:val="nil"/>
                    <w:tr2bl w:val="nil"/>
                  </w:tcBorders>
                  <w:noWrap w:val="0"/>
                  <w:vAlign w:val="center"/>
                </w:tcPr>
                <w:p w14:paraId="6E553A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60台</w:t>
                  </w:r>
                </w:p>
              </w:tc>
              <w:tc>
                <w:tcPr>
                  <w:tcW w:w="1098" w:type="pct"/>
                  <w:tcBorders>
                    <w:tl2br w:val="nil"/>
                    <w:tr2bl w:val="nil"/>
                  </w:tcBorders>
                  <w:noWrap w:val="0"/>
                  <w:vAlign w:val="center"/>
                </w:tcPr>
                <w:p w14:paraId="6E91A7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QA28Y-4X200</w:t>
                  </w:r>
                </w:p>
              </w:tc>
              <w:tc>
                <w:tcPr>
                  <w:tcW w:w="1109" w:type="pct"/>
                  <w:vMerge w:val="continue"/>
                  <w:tcBorders>
                    <w:tl2br w:val="nil"/>
                    <w:tr2bl w:val="nil"/>
                  </w:tcBorders>
                  <w:noWrap/>
                  <w:vAlign w:val="center"/>
                </w:tcPr>
                <w:p w14:paraId="493E4C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r>
            <w:tr w14:paraId="4E1DE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0C198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6C257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E51A38C">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全自动冲孔设备</w:t>
                  </w:r>
                </w:p>
              </w:tc>
              <w:tc>
                <w:tcPr>
                  <w:tcW w:w="444" w:type="pct"/>
                  <w:tcBorders>
                    <w:tl2br w:val="nil"/>
                    <w:tr2bl w:val="nil"/>
                  </w:tcBorders>
                  <w:noWrap w:val="0"/>
                  <w:vAlign w:val="center"/>
                </w:tcPr>
                <w:p w14:paraId="40013DB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5447A2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CKSL150400S</w:t>
                  </w:r>
                </w:p>
              </w:tc>
              <w:tc>
                <w:tcPr>
                  <w:tcW w:w="1109" w:type="pct"/>
                  <w:vMerge w:val="continue"/>
                  <w:tcBorders>
                    <w:tl2br w:val="nil"/>
                    <w:tr2bl w:val="nil"/>
                  </w:tcBorders>
                  <w:noWrap/>
                  <w:vAlign w:val="center"/>
                </w:tcPr>
                <w:p w14:paraId="12D5578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875B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6AB8E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2C3FAB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D47B8E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高速激光焊机</w:t>
                  </w:r>
                </w:p>
              </w:tc>
              <w:tc>
                <w:tcPr>
                  <w:tcW w:w="444" w:type="pct"/>
                  <w:tcBorders>
                    <w:tl2br w:val="nil"/>
                    <w:tr2bl w:val="nil"/>
                  </w:tcBorders>
                  <w:noWrap w:val="0"/>
                  <w:vAlign w:val="center"/>
                </w:tcPr>
                <w:p w14:paraId="51988B7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0AD0FB7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250DX</w:t>
                  </w:r>
                  <w:r>
                    <w:rPr>
                      <w:rStyle w:val="156"/>
                      <w:rFonts w:hint="default" w:ascii="Times New Roman" w:hAnsi="Times New Roman" w:eastAsia="宋体" w:cs="Times New Roman"/>
                      <w:color w:val="auto"/>
                      <w:sz w:val="21"/>
                      <w:szCs w:val="21"/>
                      <w:highlight w:val="none"/>
                      <w:lang w:val="en-US" w:eastAsia="zh-CN" w:bidi="ar"/>
                    </w:rPr>
                    <w:t>/350DX</w:t>
                  </w:r>
                </w:p>
              </w:tc>
              <w:tc>
                <w:tcPr>
                  <w:tcW w:w="1109" w:type="pct"/>
                  <w:vMerge w:val="continue"/>
                  <w:tcBorders>
                    <w:tl2br w:val="nil"/>
                    <w:tr2bl w:val="nil"/>
                  </w:tcBorders>
                  <w:noWrap/>
                  <w:vAlign w:val="center"/>
                </w:tcPr>
                <w:p w14:paraId="0154B7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r>
            <w:tr w14:paraId="74408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89F37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20CEF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467752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进口氩弧焊机</w:t>
                  </w:r>
                </w:p>
              </w:tc>
              <w:tc>
                <w:tcPr>
                  <w:tcW w:w="444" w:type="pct"/>
                  <w:tcBorders>
                    <w:tl2br w:val="nil"/>
                    <w:tr2bl w:val="nil"/>
                  </w:tcBorders>
                  <w:noWrap w:val="0"/>
                  <w:vAlign w:val="center"/>
                </w:tcPr>
                <w:p w14:paraId="3E12E7D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20台</w:t>
                  </w:r>
                </w:p>
              </w:tc>
              <w:tc>
                <w:tcPr>
                  <w:tcW w:w="1098" w:type="pct"/>
                  <w:tcBorders>
                    <w:tl2br w:val="nil"/>
                    <w:tr2bl w:val="nil"/>
                  </w:tcBorders>
                  <w:noWrap w:val="0"/>
                  <w:vAlign w:val="center"/>
                </w:tcPr>
                <w:p w14:paraId="207F259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BMS-8N</w:t>
                  </w:r>
                </w:p>
              </w:tc>
              <w:tc>
                <w:tcPr>
                  <w:tcW w:w="1109" w:type="pct"/>
                  <w:vMerge w:val="continue"/>
                  <w:tcBorders>
                    <w:tl2br w:val="nil"/>
                    <w:tr2bl w:val="nil"/>
                  </w:tcBorders>
                  <w:noWrap/>
                  <w:vAlign w:val="center"/>
                </w:tcPr>
                <w:p w14:paraId="23B7200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2D48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1A8A27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701F1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C5F9C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多功能焊机</w:t>
                  </w:r>
                </w:p>
              </w:tc>
              <w:tc>
                <w:tcPr>
                  <w:tcW w:w="444" w:type="pct"/>
                  <w:tcBorders>
                    <w:tl2br w:val="nil"/>
                    <w:tr2bl w:val="nil"/>
                  </w:tcBorders>
                  <w:noWrap w:val="0"/>
                  <w:vAlign w:val="center"/>
                </w:tcPr>
                <w:p w14:paraId="0390BB3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20台</w:t>
                  </w:r>
                </w:p>
              </w:tc>
              <w:tc>
                <w:tcPr>
                  <w:tcW w:w="1098" w:type="pct"/>
                  <w:tcBorders>
                    <w:tl2br w:val="nil"/>
                    <w:tr2bl w:val="nil"/>
                  </w:tcBorders>
                  <w:noWrap w:val="0"/>
                  <w:vAlign w:val="center"/>
                </w:tcPr>
                <w:p w14:paraId="1CB28E8C">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1D8D91D3">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p>
              </w:tc>
            </w:tr>
            <w:tr w14:paraId="1FA26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EB6FD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15AA1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6764E07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手磨机</w:t>
                  </w:r>
                </w:p>
              </w:tc>
              <w:tc>
                <w:tcPr>
                  <w:tcW w:w="444" w:type="pct"/>
                  <w:tcBorders>
                    <w:tl2br w:val="nil"/>
                    <w:tr2bl w:val="nil"/>
                  </w:tcBorders>
                  <w:noWrap w:val="0"/>
                  <w:vAlign w:val="center"/>
                </w:tcPr>
                <w:p w14:paraId="2DFE385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053E3450">
                  <w:pPr>
                    <w:spacing w:line="240" w:lineRule="auto"/>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w:t>
                  </w:r>
                </w:p>
              </w:tc>
              <w:tc>
                <w:tcPr>
                  <w:tcW w:w="1109" w:type="pct"/>
                  <w:tcBorders>
                    <w:tl2br w:val="nil"/>
                    <w:tr2bl w:val="nil"/>
                  </w:tcBorders>
                  <w:noWrap/>
                  <w:vAlign w:val="center"/>
                </w:tcPr>
                <w:p w14:paraId="20201129">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手工打磨</w:t>
                  </w:r>
                </w:p>
              </w:tc>
            </w:tr>
            <w:tr w14:paraId="2D997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B0B3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0"/>
                  <w:vAlign w:val="center"/>
                </w:tcPr>
                <w:p w14:paraId="0F6A0B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3B095FE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各类组装设备</w:t>
                  </w:r>
                </w:p>
              </w:tc>
              <w:tc>
                <w:tcPr>
                  <w:tcW w:w="444" w:type="pct"/>
                  <w:tcBorders>
                    <w:tl2br w:val="nil"/>
                    <w:tr2bl w:val="nil"/>
                  </w:tcBorders>
                  <w:noWrap w:val="0"/>
                  <w:vAlign w:val="center"/>
                </w:tcPr>
                <w:p w14:paraId="364BB8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2048B2A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tcBorders>
                    <w:tl2br w:val="nil"/>
                    <w:tr2bl w:val="nil"/>
                  </w:tcBorders>
                  <w:noWrap w:val="0"/>
                  <w:vAlign w:val="center"/>
                </w:tcPr>
                <w:p w14:paraId="3117AEBA">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bidi="ar"/>
                    </w:rPr>
                    <w:t>组装</w:t>
                  </w:r>
                </w:p>
              </w:tc>
            </w:tr>
            <w:tr w14:paraId="7AB76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0"/>
                  <w:vAlign w:val="center"/>
                </w:tcPr>
                <w:p w14:paraId="36BCA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803" w:type="pct"/>
                  <w:vMerge w:val="restart"/>
                  <w:tcBorders>
                    <w:tl2br w:val="nil"/>
                    <w:tr2bl w:val="nil"/>
                  </w:tcBorders>
                  <w:noWrap w:val="0"/>
                  <w:vAlign w:val="center"/>
                </w:tcPr>
                <w:p w14:paraId="08335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喷涂固化车间</w:t>
                  </w:r>
                </w:p>
              </w:tc>
              <w:tc>
                <w:tcPr>
                  <w:tcW w:w="1171" w:type="pct"/>
                  <w:tcBorders>
                    <w:tl2br w:val="nil"/>
                    <w:tr2bl w:val="nil"/>
                  </w:tcBorders>
                  <w:noWrap w:val="0"/>
                  <w:vAlign w:val="center"/>
                </w:tcPr>
                <w:p w14:paraId="7D6F455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喷粉房</w:t>
                  </w:r>
                </w:p>
              </w:tc>
              <w:tc>
                <w:tcPr>
                  <w:tcW w:w="444" w:type="pct"/>
                  <w:tcBorders>
                    <w:tl2br w:val="nil"/>
                    <w:tr2bl w:val="nil"/>
                  </w:tcBorders>
                  <w:noWrap w:val="0"/>
                  <w:vAlign w:val="center"/>
                </w:tcPr>
                <w:p w14:paraId="5FFD9E2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307909C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02DB85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5AC7C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EB12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1529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28E0C972">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手持喷枪</w:t>
                  </w:r>
                </w:p>
              </w:tc>
              <w:tc>
                <w:tcPr>
                  <w:tcW w:w="444" w:type="pct"/>
                  <w:tcBorders>
                    <w:tl2br w:val="nil"/>
                    <w:tr2bl w:val="nil"/>
                  </w:tcBorders>
                  <w:noWrap w:val="0"/>
                  <w:vAlign w:val="center"/>
                </w:tcPr>
                <w:p w14:paraId="5D77D69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25B8AD4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5E7CD29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34D0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2735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0B85A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649CA1B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精涂机</w:t>
                  </w:r>
                </w:p>
              </w:tc>
              <w:tc>
                <w:tcPr>
                  <w:tcW w:w="444" w:type="pct"/>
                  <w:tcBorders>
                    <w:tl2br w:val="nil"/>
                    <w:tr2bl w:val="nil"/>
                  </w:tcBorders>
                  <w:noWrap w:val="0"/>
                  <w:vAlign w:val="center"/>
                </w:tcPr>
                <w:p w14:paraId="2ED8FC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2台</w:t>
                  </w:r>
                </w:p>
              </w:tc>
              <w:tc>
                <w:tcPr>
                  <w:tcW w:w="1098" w:type="pct"/>
                  <w:tcBorders>
                    <w:tl2br w:val="nil"/>
                    <w:tr2bl w:val="nil"/>
                  </w:tcBorders>
                  <w:noWrap w:val="0"/>
                  <w:vAlign w:val="center"/>
                </w:tcPr>
                <w:p w14:paraId="1262862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507115F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精涂</w:t>
                  </w:r>
                </w:p>
              </w:tc>
            </w:tr>
            <w:tr w14:paraId="077CC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A6ED4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4826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8B9C69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底漆喷房</w:t>
                  </w:r>
                </w:p>
              </w:tc>
              <w:tc>
                <w:tcPr>
                  <w:tcW w:w="444" w:type="pct"/>
                  <w:tcBorders>
                    <w:tl2br w:val="nil"/>
                    <w:tr2bl w:val="nil"/>
                  </w:tcBorders>
                  <w:noWrap w:val="0"/>
                  <w:vAlign w:val="center"/>
                </w:tcPr>
                <w:p w14:paraId="7C3AA3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2台</w:t>
                  </w:r>
                </w:p>
              </w:tc>
              <w:tc>
                <w:tcPr>
                  <w:tcW w:w="1098" w:type="pct"/>
                  <w:tcBorders>
                    <w:tl2br w:val="nil"/>
                    <w:tr2bl w:val="nil"/>
                  </w:tcBorders>
                  <w:noWrap w:val="0"/>
                  <w:vAlign w:val="center"/>
                </w:tcPr>
                <w:p w14:paraId="105806C8">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64022170">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2A7CA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F293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8FE8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1E2289A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底漆流平室</w:t>
                  </w:r>
                </w:p>
              </w:tc>
              <w:tc>
                <w:tcPr>
                  <w:tcW w:w="444" w:type="pct"/>
                  <w:tcBorders>
                    <w:tl2br w:val="nil"/>
                    <w:tr2bl w:val="nil"/>
                  </w:tcBorders>
                  <w:noWrap w:val="0"/>
                  <w:vAlign w:val="center"/>
                </w:tcPr>
                <w:p w14:paraId="03B45B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5A0D93B7">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1E586168">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3E63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2D5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76F09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517E7D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面漆喷房</w:t>
                  </w:r>
                </w:p>
              </w:tc>
              <w:tc>
                <w:tcPr>
                  <w:tcW w:w="444" w:type="pct"/>
                  <w:tcBorders>
                    <w:tl2br w:val="nil"/>
                    <w:tr2bl w:val="nil"/>
                  </w:tcBorders>
                  <w:noWrap w:val="0"/>
                  <w:vAlign w:val="center"/>
                </w:tcPr>
                <w:p w14:paraId="644F5F7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744A861D">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70FABB3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2DE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30F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8B9F5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546979B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面漆流平室</w:t>
                  </w:r>
                </w:p>
              </w:tc>
              <w:tc>
                <w:tcPr>
                  <w:tcW w:w="444" w:type="pct"/>
                  <w:tcBorders>
                    <w:tl2br w:val="nil"/>
                    <w:tr2bl w:val="nil"/>
                  </w:tcBorders>
                  <w:noWrap w:val="0"/>
                  <w:vAlign w:val="center"/>
                </w:tcPr>
                <w:p w14:paraId="19211D0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5C26E75A">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2D5936C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42638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359C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24782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6518A6E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清漆喷房</w:t>
                  </w:r>
                </w:p>
              </w:tc>
              <w:tc>
                <w:tcPr>
                  <w:tcW w:w="444" w:type="pct"/>
                  <w:tcBorders>
                    <w:tl2br w:val="nil"/>
                    <w:tr2bl w:val="nil"/>
                  </w:tcBorders>
                  <w:noWrap w:val="0"/>
                  <w:vAlign w:val="center"/>
                </w:tcPr>
                <w:p w14:paraId="32E2E8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0C33CF36">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0AEE002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95E6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1E779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7D45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171581F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清漆流平室</w:t>
                  </w:r>
                </w:p>
              </w:tc>
              <w:tc>
                <w:tcPr>
                  <w:tcW w:w="444" w:type="pct"/>
                  <w:tcBorders>
                    <w:tl2br w:val="nil"/>
                    <w:tr2bl w:val="nil"/>
                  </w:tcBorders>
                  <w:noWrap w:val="0"/>
                  <w:vAlign w:val="center"/>
                </w:tcPr>
                <w:p w14:paraId="7724A71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1AA8D4EA">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7B33BC7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67C56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D1ED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46C1E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71AED2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手持喷枪</w:t>
                  </w:r>
                </w:p>
              </w:tc>
              <w:tc>
                <w:tcPr>
                  <w:tcW w:w="444" w:type="pct"/>
                  <w:tcBorders>
                    <w:tl2br w:val="nil"/>
                    <w:tr2bl w:val="nil"/>
                  </w:tcBorders>
                  <w:noWrap w:val="0"/>
                  <w:vAlign w:val="center"/>
                </w:tcPr>
                <w:p w14:paraId="135EEB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6个</w:t>
                  </w:r>
                </w:p>
              </w:tc>
              <w:tc>
                <w:tcPr>
                  <w:tcW w:w="1098" w:type="pct"/>
                  <w:tcBorders>
                    <w:tl2br w:val="nil"/>
                    <w:tr2bl w:val="nil"/>
                  </w:tcBorders>
                  <w:noWrap w:val="0"/>
                  <w:vAlign w:val="center"/>
                </w:tcPr>
                <w:p w14:paraId="12831C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7DB662EF">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8900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19F0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7ECF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CF5DFA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精涂机</w:t>
                  </w:r>
                </w:p>
              </w:tc>
              <w:tc>
                <w:tcPr>
                  <w:tcW w:w="444" w:type="pct"/>
                  <w:tcBorders>
                    <w:tl2br w:val="nil"/>
                    <w:tr2bl w:val="nil"/>
                  </w:tcBorders>
                  <w:noWrap w:val="0"/>
                  <w:vAlign w:val="center"/>
                </w:tcPr>
                <w:p w14:paraId="19B10A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6台</w:t>
                  </w:r>
                </w:p>
              </w:tc>
              <w:tc>
                <w:tcPr>
                  <w:tcW w:w="1098" w:type="pct"/>
                  <w:tcBorders>
                    <w:tl2br w:val="nil"/>
                    <w:tr2bl w:val="nil"/>
                  </w:tcBorders>
                  <w:noWrap w:val="0"/>
                  <w:vAlign w:val="center"/>
                </w:tcPr>
                <w:p w14:paraId="363FC8B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053CFFD">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精</w:t>
                  </w:r>
                  <w:r>
                    <w:rPr>
                      <w:rFonts w:hint="eastAsia" w:cs="Times New Roman"/>
                      <w:i w:val="0"/>
                      <w:color w:val="auto"/>
                      <w:kern w:val="0"/>
                      <w:sz w:val="21"/>
                      <w:szCs w:val="21"/>
                      <w:u w:val="none"/>
                      <w:lang w:val="en-US" w:eastAsia="zh-CN" w:bidi="ar"/>
                    </w:rPr>
                    <w:t>涂</w:t>
                  </w:r>
                </w:p>
              </w:tc>
            </w:tr>
            <w:tr w14:paraId="6538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83B1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26C6E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FC6EB2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调漆房</w:t>
                  </w:r>
                </w:p>
              </w:tc>
              <w:tc>
                <w:tcPr>
                  <w:tcW w:w="444" w:type="pct"/>
                  <w:tcBorders>
                    <w:tl2br w:val="nil"/>
                    <w:tr2bl w:val="nil"/>
                  </w:tcBorders>
                  <w:noWrap w:val="0"/>
                  <w:vAlign w:val="center"/>
                </w:tcPr>
                <w:p w14:paraId="5615ACF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647D86D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07BC49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调漆</w:t>
                  </w:r>
                </w:p>
              </w:tc>
            </w:tr>
            <w:tr w14:paraId="4FB94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34A6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1625D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5995D57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固化通道</w:t>
                  </w:r>
                </w:p>
              </w:tc>
              <w:tc>
                <w:tcPr>
                  <w:tcW w:w="444" w:type="pct"/>
                  <w:tcBorders>
                    <w:tl2br w:val="nil"/>
                    <w:tr2bl w:val="nil"/>
                  </w:tcBorders>
                  <w:noWrap w:val="0"/>
                  <w:vAlign w:val="center"/>
                </w:tcPr>
                <w:p w14:paraId="6C500E0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条</w:t>
                  </w:r>
                </w:p>
              </w:tc>
              <w:tc>
                <w:tcPr>
                  <w:tcW w:w="1098" w:type="pct"/>
                  <w:tcBorders>
                    <w:tl2br w:val="nil"/>
                    <w:tr2bl w:val="nil"/>
                  </w:tcBorders>
                  <w:noWrap w:val="0"/>
                  <w:vAlign w:val="center"/>
                </w:tcPr>
                <w:p w14:paraId="788B24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65m×2m</w:t>
                  </w:r>
                </w:p>
              </w:tc>
              <w:tc>
                <w:tcPr>
                  <w:tcW w:w="1109" w:type="pct"/>
                  <w:tcBorders>
                    <w:tl2br w:val="nil"/>
                    <w:tr2bl w:val="nil"/>
                  </w:tcBorders>
                  <w:noWrap w:val="0"/>
                  <w:vAlign w:val="center"/>
                </w:tcPr>
                <w:p w14:paraId="527E622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固化通道</w:t>
                  </w:r>
                </w:p>
              </w:tc>
            </w:tr>
            <w:tr w14:paraId="767A5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9B89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0F7B0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78236EC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牵引机</w:t>
                  </w:r>
                </w:p>
              </w:tc>
              <w:tc>
                <w:tcPr>
                  <w:tcW w:w="444" w:type="pct"/>
                  <w:tcBorders>
                    <w:tl2br w:val="nil"/>
                    <w:tr2bl w:val="nil"/>
                  </w:tcBorders>
                  <w:noWrap w:val="0"/>
                  <w:vAlign w:val="center"/>
                </w:tcPr>
                <w:p w14:paraId="180A8CC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1台</w:t>
                  </w:r>
                </w:p>
              </w:tc>
              <w:tc>
                <w:tcPr>
                  <w:tcW w:w="1098" w:type="pct"/>
                  <w:tcBorders>
                    <w:tl2br w:val="nil"/>
                    <w:tr2bl w:val="nil"/>
                  </w:tcBorders>
                  <w:noWrap w:val="0"/>
                  <w:vAlign w:val="center"/>
                </w:tcPr>
                <w:p w14:paraId="797B7A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3F979A6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牵引</w:t>
                  </w:r>
                </w:p>
              </w:tc>
            </w:tr>
            <w:tr w14:paraId="35F3A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F218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340B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356F3E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物料预热通道</w:t>
                  </w:r>
                </w:p>
              </w:tc>
              <w:tc>
                <w:tcPr>
                  <w:tcW w:w="444" w:type="pct"/>
                  <w:tcBorders>
                    <w:tl2br w:val="nil"/>
                    <w:tr2bl w:val="nil"/>
                  </w:tcBorders>
                  <w:noWrap w:val="0"/>
                  <w:vAlign w:val="center"/>
                </w:tcPr>
                <w:p w14:paraId="1EEFC6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1条</w:t>
                  </w:r>
                </w:p>
              </w:tc>
              <w:tc>
                <w:tcPr>
                  <w:tcW w:w="1098" w:type="pct"/>
                  <w:tcBorders>
                    <w:tl2br w:val="nil"/>
                    <w:tr2bl w:val="nil"/>
                  </w:tcBorders>
                  <w:noWrap w:val="0"/>
                  <w:vAlign w:val="center"/>
                </w:tcPr>
                <w:p w14:paraId="6B314F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194D81D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预热</w:t>
                  </w:r>
                </w:p>
              </w:tc>
            </w:tr>
            <w:tr w14:paraId="6B359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10AB8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E429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5D29BA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喷粉房</w:t>
                  </w:r>
                </w:p>
              </w:tc>
              <w:tc>
                <w:tcPr>
                  <w:tcW w:w="444" w:type="pct"/>
                  <w:tcBorders>
                    <w:tl2br w:val="nil"/>
                    <w:tr2bl w:val="nil"/>
                  </w:tcBorders>
                  <w:noWrap w:val="0"/>
                  <w:vAlign w:val="center"/>
                </w:tcPr>
                <w:p w14:paraId="7ED5D98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616F1A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2E7B39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10C25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01949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5AC9D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DD718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rPr>
                  </w:pPr>
                  <w:r>
                    <w:rPr>
                      <w:rFonts w:hint="eastAsia" w:cs="Times New Roman"/>
                      <w:i w:val="0"/>
                      <w:color w:val="auto"/>
                      <w:kern w:val="0"/>
                      <w:sz w:val="21"/>
                      <w:szCs w:val="21"/>
                      <w:u w:val="none"/>
                      <w:lang w:val="en-US" w:eastAsia="zh-CN" w:bidi="ar"/>
                    </w:rPr>
                    <w:t>固化</w:t>
                  </w:r>
                  <w:r>
                    <w:rPr>
                      <w:rFonts w:hint="default" w:ascii="Times New Roman" w:hAnsi="Times New Roman" w:eastAsia="宋体" w:cs="Times New Roman"/>
                      <w:i w:val="0"/>
                      <w:color w:val="auto"/>
                      <w:kern w:val="0"/>
                      <w:sz w:val="21"/>
                      <w:szCs w:val="21"/>
                      <w:u w:val="none"/>
                      <w:lang w:val="en-US" w:eastAsia="zh-CN" w:bidi="ar"/>
                    </w:rPr>
                    <w:t>炉</w:t>
                  </w:r>
                </w:p>
              </w:tc>
              <w:tc>
                <w:tcPr>
                  <w:tcW w:w="444" w:type="pct"/>
                  <w:tcBorders>
                    <w:tl2br w:val="nil"/>
                    <w:tr2bl w:val="nil"/>
                  </w:tcBorders>
                  <w:noWrap w:val="0"/>
                  <w:vAlign w:val="center"/>
                </w:tcPr>
                <w:p w14:paraId="609DE37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4个</w:t>
                  </w:r>
                </w:p>
              </w:tc>
              <w:tc>
                <w:tcPr>
                  <w:tcW w:w="1098" w:type="pct"/>
                  <w:tcBorders>
                    <w:tl2br w:val="nil"/>
                    <w:tr2bl w:val="nil"/>
                  </w:tcBorders>
                  <w:noWrap w:val="0"/>
                  <w:vAlign w:val="center"/>
                </w:tcPr>
                <w:p w14:paraId="7009D87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电气两用</w:t>
                  </w:r>
                </w:p>
              </w:tc>
              <w:tc>
                <w:tcPr>
                  <w:tcW w:w="1109" w:type="pct"/>
                  <w:tcBorders>
                    <w:tl2br w:val="nil"/>
                    <w:tr2bl w:val="nil"/>
                  </w:tcBorders>
                  <w:noWrap w:val="0"/>
                  <w:vAlign w:val="center"/>
                </w:tcPr>
                <w:p w14:paraId="25F98EF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烘烤固化</w:t>
                  </w:r>
                </w:p>
              </w:tc>
            </w:tr>
            <w:tr w14:paraId="25E76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0"/>
                  <w:vAlign w:val="center"/>
                </w:tcPr>
                <w:p w14:paraId="76EDA5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803" w:type="pct"/>
                  <w:tcBorders>
                    <w:tl2br w:val="nil"/>
                    <w:tr2bl w:val="nil"/>
                  </w:tcBorders>
                  <w:noWrap w:val="0"/>
                  <w:vAlign w:val="center"/>
                </w:tcPr>
                <w:p w14:paraId="5EF53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公用工程</w:t>
                  </w:r>
                </w:p>
              </w:tc>
              <w:tc>
                <w:tcPr>
                  <w:tcW w:w="1171" w:type="pct"/>
                  <w:tcBorders>
                    <w:tl2br w:val="nil"/>
                    <w:tr2bl w:val="nil"/>
                  </w:tcBorders>
                  <w:noWrap w:val="0"/>
                  <w:vAlign w:val="center"/>
                </w:tcPr>
                <w:p w14:paraId="4AD5B0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空压机</w:t>
                  </w:r>
                </w:p>
              </w:tc>
              <w:tc>
                <w:tcPr>
                  <w:tcW w:w="444" w:type="pct"/>
                  <w:tcBorders>
                    <w:tl2br w:val="nil"/>
                    <w:tr2bl w:val="nil"/>
                  </w:tcBorders>
                  <w:noWrap w:val="0"/>
                  <w:vAlign w:val="center"/>
                </w:tcPr>
                <w:p w14:paraId="540FABD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3台</w:t>
                  </w:r>
                </w:p>
              </w:tc>
              <w:tc>
                <w:tcPr>
                  <w:tcW w:w="1098" w:type="pct"/>
                  <w:tcBorders>
                    <w:tl2br w:val="nil"/>
                    <w:tr2bl w:val="nil"/>
                  </w:tcBorders>
                  <w:noWrap w:val="0"/>
                  <w:vAlign w:val="center"/>
                </w:tcPr>
                <w:p w14:paraId="24DD208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B21ED3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吹扫、气动设施</w:t>
                  </w:r>
                </w:p>
              </w:tc>
            </w:tr>
          </w:tbl>
          <w:p w14:paraId="7B760590">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49CC267D">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5、劳动定员和工作制度</w:t>
            </w:r>
          </w:p>
          <w:p w14:paraId="1BF1E840">
            <w:pPr>
              <w:widowControl/>
              <w:kinsoku/>
              <w:autoSpaceDE/>
              <w:autoSpaceDN/>
              <w:adjustRightInd/>
              <w:snapToGrid/>
              <w:spacing w:line="360" w:lineRule="auto"/>
              <w:ind w:firstLine="480" w:firstLineChars="200"/>
              <w:jc w:val="left"/>
              <w:textAlignment w:val="auto"/>
              <w:rPr>
                <w:rFonts w:hint="eastAsia" w:ascii="Times New Roman" w:hAnsi="Times New Roman" w:eastAsia="宋体" w:cs="Times New Roman"/>
                <w:b/>
                <w:bCs/>
                <w:color w:val="auto"/>
                <w:spacing w:val="-1"/>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项目劳动定员</w:t>
            </w:r>
            <w:r>
              <w:rPr>
                <w:rFonts w:hint="eastAsia" w:ascii="Times New Roman" w:hAnsi="Times New Roman" w:eastAsia="宋体" w:cs="Times New Roman"/>
                <w:color w:val="auto"/>
                <w:sz w:val="24"/>
                <w:szCs w:val="24"/>
                <w:highlight w:val="none"/>
                <w:lang w:val="en-US" w:eastAsia="zh-CN"/>
              </w:rPr>
              <w:t>160</w:t>
            </w:r>
            <w:r>
              <w:rPr>
                <w:rFonts w:hint="default" w:ascii="Times New Roman" w:hAnsi="Times New Roman" w:eastAsia="宋体" w:cs="Times New Roman"/>
                <w:color w:val="auto"/>
                <w:sz w:val="24"/>
                <w:szCs w:val="24"/>
                <w:highlight w:val="none"/>
                <w:lang w:val="en-US" w:eastAsia="zh-CN"/>
              </w:rPr>
              <w:t>人</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在厂内食宿；</w:t>
            </w:r>
            <w:r>
              <w:rPr>
                <w:rFonts w:hint="eastAsia" w:ascii="Times New Roman" w:hAnsi="Times New Roman" w:eastAsia="宋体" w:cs="Times New Roman"/>
                <w:color w:val="auto"/>
                <w:sz w:val="24"/>
                <w:szCs w:val="24"/>
                <w:highlight w:val="none"/>
                <w:lang w:val="en-US" w:eastAsia="zh-CN"/>
              </w:rPr>
              <w:t>项目工作制度为1班制，</w:t>
            </w:r>
            <w:r>
              <w:rPr>
                <w:rFonts w:hint="default" w:ascii="Times New Roman" w:hAnsi="Times New Roman" w:eastAsia="宋体" w:cs="Times New Roman"/>
                <w:color w:val="auto"/>
                <w:sz w:val="24"/>
                <w:szCs w:val="24"/>
                <w:highlight w:val="none"/>
              </w:rPr>
              <w:t>每天工作8小时，年工作天数</w:t>
            </w:r>
            <w:r>
              <w:rPr>
                <w:rFonts w:hint="eastAsia" w:ascii="Times New Roman" w:hAnsi="Times New Roman" w:eastAsia="宋体" w:cs="Times New Roman"/>
                <w:color w:val="auto"/>
                <w:sz w:val="24"/>
                <w:szCs w:val="24"/>
                <w:highlight w:val="none"/>
                <w:lang w:val="en-US" w:eastAsia="zh-CN"/>
              </w:rPr>
              <w:t>241</w:t>
            </w:r>
            <w:r>
              <w:rPr>
                <w:rFonts w:hint="default" w:ascii="Times New Roman" w:hAnsi="Times New Roman" w:eastAsia="宋体" w:cs="Times New Roman"/>
                <w:color w:val="auto"/>
                <w:sz w:val="24"/>
                <w:szCs w:val="24"/>
                <w:highlight w:val="none"/>
              </w:rPr>
              <w:t>天</w:t>
            </w:r>
            <w:r>
              <w:rPr>
                <w:rFonts w:hint="eastAsia" w:ascii="Times New Roman" w:hAnsi="Times New Roman" w:eastAsia="宋体" w:cs="Times New Roman"/>
                <w:color w:val="auto"/>
                <w:sz w:val="24"/>
                <w:szCs w:val="24"/>
                <w:highlight w:val="none"/>
                <w:lang w:eastAsia="zh-CN"/>
              </w:rPr>
              <w:t>。</w:t>
            </w:r>
          </w:p>
          <w:p w14:paraId="1DBB6E01">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6、能源和资源消耗</w:t>
            </w:r>
          </w:p>
          <w:p w14:paraId="0EB00DC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（1）供电</w:t>
            </w:r>
          </w:p>
          <w:p w14:paraId="5790F33A">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本项目用电由市政供电网提供，年用电量约</w:t>
            </w:r>
            <w:r>
              <w:rPr>
                <w:rFonts w:hint="eastAsia" w:cs="Times New Roman"/>
                <w:color w:val="auto"/>
                <w:spacing w:val="-1"/>
                <w:sz w:val="24"/>
                <w:szCs w:val="24"/>
                <w:highlight w:val="none"/>
                <w:lang w:val="en-US" w:eastAsia="zh-CN"/>
              </w:rPr>
              <w:t>235</w:t>
            </w:r>
            <w:r>
              <w:rPr>
                <w:rFonts w:hint="default" w:ascii="Times New Roman" w:hAnsi="Times New Roman" w:eastAsia="宋体" w:cs="Times New Roman"/>
                <w:color w:val="auto"/>
                <w:spacing w:val="-1"/>
                <w:sz w:val="24"/>
                <w:szCs w:val="24"/>
                <w:highlight w:val="none"/>
              </w:rPr>
              <w:t>万千瓦·时，不设备用发电机或锅炉。</w:t>
            </w:r>
          </w:p>
          <w:p w14:paraId="22C6CA7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（2）给水</w:t>
            </w:r>
          </w:p>
          <w:p w14:paraId="7125218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本项目营运期用水主要为生活用水和生产用水，废水产生主要为生活污水和生产废水。</w:t>
            </w:r>
          </w:p>
          <w:p w14:paraId="0525C2E2">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①生活用水：本项目</w:t>
            </w:r>
            <w:r>
              <w:rPr>
                <w:rFonts w:hint="default" w:ascii="Times New Roman" w:hAnsi="Times New Roman" w:cs="Times New Roman"/>
                <w:color w:val="auto"/>
                <w:sz w:val="24"/>
                <w:szCs w:val="24"/>
                <w:highlight w:val="none"/>
                <w:lang w:val="en-US" w:eastAsia="zh-CN"/>
              </w:rPr>
              <w:t>设置</w:t>
            </w:r>
            <w:r>
              <w:rPr>
                <w:rFonts w:hint="default" w:ascii="Times New Roman" w:hAnsi="Times New Roman" w:cs="Times New Roman"/>
                <w:color w:val="auto"/>
                <w:sz w:val="24"/>
                <w:szCs w:val="24"/>
                <w:highlight w:val="none"/>
              </w:rPr>
              <w:t>职工宿舍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有</w:t>
            </w:r>
            <w:r>
              <w:rPr>
                <w:rFonts w:hint="default" w:ascii="Times New Roman" w:hAnsi="Times New Roman" w:cs="Times New Roman"/>
                <w:color w:val="auto"/>
                <w:sz w:val="24"/>
                <w:szCs w:val="24"/>
                <w:highlight w:val="none"/>
                <w:lang w:val="en-US" w:eastAsia="zh-CN"/>
              </w:rPr>
              <w:t>食堂</w:t>
            </w:r>
            <w:r>
              <w:rPr>
                <w:rFonts w:hint="default" w:ascii="Times New Roman" w:hAnsi="Times New Roman" w:cs="Times New Roman"/>
                <w:color w:val="auto"/>
                <w:sz w:val="24"/>
                <w:szCs w:val="24"/>
                <w:highlight w:val="none"/>
              </w:rPr>
              <w:t>，劳动定员</w:t>
            </w:r>
            <w:r>
              <w:rPr>
                <w:rFonts w:hint="eastAsia" w:cs="Times New Roman"/>
                <w:color w:val="auto"/>
                <w:sz w:val="24"/>
                <w:szCs w:val="24"/>
                <w:highlight w:val="none"/>
                <w:lang w:val="en-US" w:eastAsia="zh-CN"/>
              </w:rPr>
              <w:t>16</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人</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在厂内食宿</w:t>
            </w:r>
            <w:r>
              <w:rPr>
                <w:rFonts w:hint="default" w:ascii="Times New Roman" w:hAnsi="Times New Roman" w:cs="Times New Roman"/>
                <w:color w:val="auto"/>
                <w:sz w:val="24"/>
                <w:szCs w:val="24"/>
                <w:highlight w:val="none"/>
              </w:rPr>
              <w:t>，年工作时间为</w:t>
            </w:r>
            <w:r>
              <w:rPr>
                <w:rFonts w:hint="eastAsia" w:cs="Times New Roman"/>
                <w:color w:val="auto"/>
                <w:sz w:val="24"/>
                <w:szCs w:val="24"/>
                <w:highlight w:val="none"/>
                <w:lang w:val="en-US" w:eastAsia="zh-CN"/>
              </w:rPr>
              <w:t>241</w:t>
            </w:r>
            <w:r>
              <w:rPr>
                <w:rFonts w:hint="default" w:ascii="Times New Roman" w:hAnsi="Times New Roman" w:cs="Times New Roman"/>
                <w:color w:val="auto"/>
                <w:sz w:val="24"/>
                <w:szCs w:val="24"/>
                <w:highlight w:val="none"/>
              </w:rPr>
              <w:t>天，每天工作8小时，生活用水量为</w:t>
            </w:r>
            <w:r>
              <w:rPr>
                <w:rFonts w:hint="eastAsia" w:cs="Times New Roman"/>
                <w:color w:val="auto"/>
                <w:sz w:val="24"/>
                <w:szCs w:val="24"/>
                <w:highlight w:val="none"/>
                <w:lang w:val="en-US" w:eastAsia="zh-CN"/>
              </w:rPr>
              <w:t>2300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p>
          <w:p w14:paraId="74C4F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②生产用水：本项目生产用水为</w:t>
            </w:r>
            <w:r>
              <w:rPr>
                <w:rFonts w:hint="eastAsia" w:ascii="Times New Roman" w:hAnsi="Times New Roman" w:cs="Times New Roman"/>
                <w:color w:val="auto"/>
                <w:sz w:val="24"/>
                <w:szCs w:val="24"/>
                <w:highlight w:val="none"/>
                <w:lang w:val="en-US" w:eastAsia="zh-CN"/>
              </w:rPr>
              <w:t>水帘柜用水、喷淋塔用水</w:t>
            </w:r>
            <w:r>
              <w:rPr>
                <w:rFonts w:hint="eastAsia" w:cs="Times New Roman"/>
                <w:color w:val="auto"/>
                <w:sz w:val="24"/>
                <w:szCs w:val="24"/>
                <w:highlight w:val="none"/>
                <w:lang w:val="en-US" w:eastAsia="zh-CN"/>
              </w:rPr>
              <w:t>和</w:t>
            </w:r>
            <w:r>
              <w:rPr>
                <w:rFonts w:hint="eastAsia" w:ascii="Times New Roman" w:hAnsi="Times New Roman" w:cs="Times New Roman"/>
                <w:color w:val="auto"/>
                <w:sz w:val="24"/>
                <w:szCs w:val="24"/>
                <w:highlight w:val="none"/>
                <w:lang w:val="en-US" w:eastAsia="zh-CN"/>
              </w:rPr>
              <w:t>前处理用水。</w:t>
            </w:r>
            <w:r>
              <w:rPr>
                <w:rFonts w:hint="eastAsia" w:cs="Times New Roman"/>
                <w:color w:val="auto"/>
                <w:sz w:val="24"/>
                <w:szCs w:val="24"/>
                <w:highlight w:val="none"/>
                <w:lang w:val="en-US" w:eastAsia="zh-CN"/>
              </w:rPr>
              <w:t>根据建设单位提供资料，项目设备自带封闭式冷却功能，无需额外设置冷却塔等敞开式冷却设备，无冷却用新鲜水。</w:t>
            </w:r>
          </w:p>
          <w:p w14:paraId="57577C14">
            <w:pPr>
              <w:pStyle w:val="34"/>
              <w:wordWrap w:val="0"/>
              <w:topLinePunct/>
              <w:spacing w:line="360" w:lineRule="auto"/>
              <w:ind w:firstLine="482"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A.水帘柜用水</w:t>
            </w:r>
          </w:p>
          <w:p w14:paraId="2AEADD5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根据</w:t>
            </w:r>
            <w:r>
              <w:rPr>
                <w:rFonts w:ascii="Times New Roman" w:hAnsi="Times New Roman" w:cs="Times New Roman"/>
                <w:color w:val="auto"/>
                <w:sz w:val="24"/>
                <w:highlight w:val="none"/>
              </w:rPr>
              <w:t>《简明通风设计手册》（孙一坚主编）第527页表10-48“各种吸收装置的技术经济比较”内容，</w:t>
            </w:r>
            <w:r>
              <w:rPr>
                <w:rFonts w:hint="eastAsia" w:ascii="Times New Roman" w:hAnsi="Times New Roman" w:cs="Times New Roman"/>
                <w:color w:val="auto"/>
                <w:sz w:val="24"/>
                <w:szCs w:val="24"/>
                <w:highlight w:val="none"/>
              </w:rPr>
              <w:t>喷淋塔的液气比0.1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～1.0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，水帘柜喷淋用水参考液气比1.0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算，本次评价取</w:t>
            </w:r>
            <w:r>
              <w:rPr>
                <w:rFonts w:hint="eastAsia" w:ascii="Times New Roman" w:hAnsi="Times New Roman" w:cs="Times New Roman"/>
                <w:color w:val="auto"/>
                <w:sz w:val="24"/>
                <w:szCs w:val="24"/>
                <w:highlight w:val="none"/>
                <w:lang w:val="en-US" w:eastAsia="zh-CN"/>
              </w:rPr>
              <w:t>1</w:t>
            </w:r>
            <w:r>
              <w:rPr>
                <w:rFonts w:ascii="Times New Roman" w:hAnsi="Times New Roman" w:cs="Times New Roman"/>
                <w:color w:val="auto"/>
                <w:sz w:val="24"/>
                <w:szCs w:val="24"/>
                <w:highlight w:val="none"/>
              </w:rPr>
              <w:t>L/m</w:t>
            </w:r>
            <w:r>
              <w:rPr>
                <w:rFonts w:ascii="Times New Roman" w:hAnsi="Times New Roman" w:cs="Times New Roman"/>
                <w:color w:val="auto"/>
                <w:sz w:val="24"/>
                <w:szCs w:val="24"/>
                <w:highlight w:val="none"/>
                <w:vertAlign w:val="superscript"/>
              </w:rPr>
              <w:t>3</w:t>
            </w:r>
            <w:r>
              <w:rPr>
                <w:rFonts w:ascii="Times New Roman" w:hAnsi="Times New Roman" w:cs="Times New Roman"/>
                <w:color w:val="auto"/>
                <w:sz w:val="24"/>
                <w:szCs w:val="24"/>
                <w:highlight w:val="none"/>
              </w:rPr>
              <w:t>计算，</w:t>
            </w:r>
            <w:r>
              <w:rPr>
                <w:rFonts w:ascii="Times New Roman" w:hAnsi="Times New Roman" w:cs="Times New Roman"/>
                <w:color w:val="auto"/>
                <w:sz w:val="24"/>
                <w:highlight w:val="none"/>
              </w:rPr>
              <w:t>在</w:t>
            </w:r>
            <w:r>
              <w:rPr>
                <w:rFonts w:hint="eastAsia" w:ascii="Times New Roman" w:hAnsi="Times New Roman" w:cs="Times New Roman"/>
                <w:color w:val="auto"/>
                <w:sz w:val="24"/>
                <w:highlight w:val="none"/>
              </w:rPr>
              <w:t>喷漆工序收集</w:t>
            </w:r>
            <w:r>
              <w:rPr>
                <w:rFonts w:ascii="Times New Roman" w:hAnsi="Times New Roman" w:cs="Times New Roman"/>
                <w:color w:val="auto"/>
                <w:sz w:val="24"/>
                <w:highlight w:val="none"/>
              </w:rPr>
              <w:t>风量为</w:t>
            </w:r>
            <w:r>
              <w:rPr>
                <w:rFonts w:hint="eastAsia" w:ascii="Times New Roman" w:hAnsi="Times New Roman" w:cs="Times New Roman"/>
                <w:color w:val="auto"/>
                <w:sz w:val="24"/>
                <w:highlight w:val="none"/>
                <w:lang w:val="en-US" w:eastAsia="zh-CN"/>
              </w:rPr>
              <w:t>181200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/h的情况下</w:t>
            </w:r>
            <w:r>
              <w:rPr>
                <w:rFonts w:hint="eastAsia" w:ascii="Times New Roman" w:hAnsi="Times New Roman" w:cs="Times New Roman"/>
                <w:color w:val="auto"/>
                <w:sz w:val="24"/>
                <w:highlight w:val="none"/>
              </w:rPr>
              <w:t>（不含固化过程）</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的</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循环用水量为</w:t>
            </w:r>
            <w:r>
              <w:rPr>
                <w:rFonts w:hint="eastAsia" w:ascii="Times New Roman" w:hAnsi="Times New Roman" w:cs="Times New Roman"/>
                <w:color w:val="auto"/>
                <w:sz w:val="24"/>
                <w:highlight w:val="none"/>
                <w:lang w:val="en-US" w:eastAsia="zh-CN"/>
              </w:rPr>
              <w:t>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349353.6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32B4AD0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喷淋损耗量根据《给水排水设计手册2-建筑集水排水》（第二版，中国建筑工业出版社）P559表7-32水量损失表，水膜、冰塔、孔流等风吹损失占循环流量的0.5~1.5%（本项目取1%），蒸发损失占循环流量的0.4~0.6%（本项目取0.</w:t>
            </w:r>
            <w:r>
              <w:rPr>
                <w:rFonts w:hint="eastAsia" w:ascii="Times New Roman" w:hAnsi="Times New Roman" w:cs="Times New Roman"/>
                <w:color w:val="auto"/>
                <w:sz w:val="24"/>
                <w:highlight w:val="none"/>
              </w:rPr>
              <w:t>5</w:t>
            </w:r>
            <w:r>
              <w:rPr>
                <w:rFonts w:ascii="Times New Roman" w:hAnsi="Times New Roman" w:cs="Times New Roman"/>
                <w:color w:val="auto"/>
                <w:sz w:val="24"/>
                <w:highlight w:val="none"/>
              </w:rPr>
              <w:t>%），即损耗量共占循环流量</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的</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循环损耗补充水量为</w:t>
            </w:r>
            <w:r>
              <w:rPr>
                <w:rFonts w:hint="eastAsia" w:ascii="Times New Roman" w:hAnsi="Times New Roman" w:cs="Times New Roman"/>
                <w:color w:val="auto"/>
                <w:sz w:val="24"/>
                <w:highlight w:val="none"/>
                <w:lang w:val="en-US" w:eastAsia="zh-CN"/>
              </w:rPr>
              <w:t>349353.6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5240.304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14171D3">
            <w:pPr>
              <w:pStyle w:val="34"/>
              <w:wordWrap w:val="0"/>
              <w:topLinePunct/>
              <w:spacing w:line="360" w:lineRule="auto"/>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喷漆房内设有</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的循环水池，</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循环水池总有效容积为</w:t>
            </w:r>
            <w:r>
              <w:rPr>
                <w:rFonts w:hint="eastAsia" w:ascii="Times New Roman" w:hAnsi="Times New Roman" w:cs="Times New Roman"/>
                <w:color w:val="auto"/>
                <w:sz w:val="24"/>
                <w:highlight w:val="none"/>
              </w:rPr>
              <w:t>16.2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，每</w:t>
            </w:r>
            <w:r>
              <w:rPr>
                <w:rFonts w:hint="eastAsia" w:ascii="Times New Roman" w:hAnsi="Times New Roman" w:cs="Times New Roman"/>
                <w:color w:val="auto"/>
                <w:sz w:val="24"/>
                <w:highlight w:val="none"/>
              </w:rPr>
              <w:t>月</w:t>
            </w:r>
            <w:r>
              <w:rPr>
                <w:rFonts w:ascii="Times New Roman" w:hAnsi="Times New Roman" w:cs="Times New Roman"/>
                <w:color w:val="auto"/>
                <w:sz w:val="24"/>
                <w:highlight w:val="none"/>
              </w:rPr>
              <w:t>更换一次，对应更换补充用水量为</w:t>
            </w:r>
            <w:r>
              <w:rPr>
                <w:rFonts w:hint="eastAsia" w:ascii="Times New Roman" w:hAnsi="Times New Roman" w:cs="Times New Roman"/>
                <w:color w:val="auto"/>
                <w:sz w:val="24"/>
                <w:highlight w:val="none"/>
              </w:rPr>
              <w:t>16.2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rPr>
              <w:t>12</w:t>
            </w:r>
            <w:r>
              <w:rPr>
                <w:rFonts w:ascii="Times New Roman" w:hAnsi="Times New Roman" w:cs="Times New Roman"/>
                <w:color w:val="auto"/>
                <w:sz w:val="24"/>
                <w:highlight w:val="none"/>
              </w:rPr>
              <w:t>次/年=</w:t>
            </w:r>
            <w:r>
              <w:rPr>
                <w:rFonts w:hint="eastAsia" w:ascii="Times New Roman" w:hAnsi="Times New Roman" w:cs="Times New Roman"/>
                <w:color w:val="auto"/>
                <w:sz w:val="24"/>
                <w:highlight w:val="none"/>
              </w:rPr>
              <w:t>194.4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/a，更换后的废水</w:t>
            </w:r>
            <w:r>
              <w:rPr>
                <w:rFonts w:hint="eastAsia" w:ascii="Times New Roman" w:hAnsi="Times New Roman" w:cs="Times New Roman"/>
                <w:color w:val="auto"/>
                <w:sz w:val="24"/>
                <w:highlight w:val="none"/>
                <w:lang w:val="en-US" w:eastAsia="zh-CN"/>
              </w:rPr>
              <w:t>交由有资质单位处置</w:t>
            </w:r>
            <w:r>
              <w:rPr>
                <w:rFonts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eastAsia="zh-CN"/>
              </w:rPr>
              <w:t>漆粉涂装线水帘柜</w:t>
            </w:r>
            <w:r>
              <w:rPr>
                <w:rFonts w:ascii="Times New Roman" w:hAnsi="Times New Roman" w:cs="Times New Roman"/>
                <w:color w:val="auto"/>
                <w:sz w:val="24"/>
                <w:highlight w:val="none"/>
              </w:rPr>
              <w:t>用水总量为：</w:t>
            </w:r>
            <w:r>
              <w:rPr>
                <w:rFonts w:hint="eastAsia" w:ascii="Times New Roman" w:hAnsi="Times New Roman" w:cs="Times New Roman"/>
                <w:color w:val="auto"/>
                <w:sz w:val="24"/>
                <w:highlight w:val="none"/>
                <w:lang w:val="en-US" w:eastAsia="zh-CN"/>
              </w:rPr>
              <w:t>5240.304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194.4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5434.704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E91286B">
            <w:pPr>
              <w:pStyle w:val="34"/>
              <w:wordWrap w:val="0"/>
              <w:topLinePunct/>
              <w:spacing w:line="360" w:lineRule="auto"/>
              <w:ind w:firstLine="482" w:firstLineChars="200"/>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B、</w:t>
            </w:r>
            <w:r>
              <w:rPr>
                <w:rFonts w:hint="eastAsia" w:ascii="Times New Roman" w:hAnsi="Times New Roman" w:cs="Times New Roman"/>
                <w:b/>
                <w:bCs/>
                <w:color w:val="auto"/>
                <w:sz w:val="24"/>
                <w:highlight w:val="none"/>
              </w:rPr>
              <w:t>喷淋塔用</w:t>
            </w:r>
            <w:r>
              <w:rPr>
                <w:rFonts w:ascii="Times New Roman" w:hAnsi="Times New Roman" w:cs="Times New Roman"/>
                <w:b/>
                <w:bCs/>
                <w:color w:val="auto"/>
                <w:sz w:val="24"/>
                <w:highlight w:val="none"/>
              </w:rPr>
              <w:t>水</w:t>
            </w:r>
          </w:p>
          <w:p w14:paraId="77B2E2E4">
            <w:pPr>
              <w:pStyle w:val="34"/>
              <w:wordWrap w:val="0"/>
              <w:topLinePunct/>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ascii="Times New Roman" w:hAnsi="Times New Roman" w:cs="Times New Roman"/>
                <w:color w:val="auto"/>
                <w:sz w:val="24"/>
                <w:highlight w:val="none"/>
              </w:rPr>
              <w:t>与</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用水计算过程相同，</w:t>
            </w:r>
            <w:r>
              <w:rPr>
                <w:rFonts w:hint="eastAsia" w:ascii="Times New Roman" w:hAnsi="Times New Roman" w:cs="Times New Roman"/>
                <w:color w:val="auto"/>
                <w:sz w:val="24"/>
                <w:highlight w:val="none"/>
                <w:lang w:val="en-US" w:eastAsia="zh-CN"/>
              </w:rPr>
              <w:t>固化废气设施喷淋塔</w:t>
            </w:r>
            <w:r>
              <w:rPr>
                <w:rFonts w:hint="eastAsia" w:ascii="Times New Roman" w:hAnsi="Times New Roman" w:cs="Times New Roman"/>
                <w:color w:val="auto"/>
                <w:sz w:val="24"/>
                <w:highlight w:val="none"/>
              </w:rPr>
              <w:t>总风量为</w:t>
            </w:r>
            <w:r>
              <w:rPr>
                <w:rFonts w:hint="eastAsia" w:ascii="Times New Roman" w:hAnsi="Times New Roman" w:cs="Times New Roman"/>
                <w:color w:val="auto"/>
                <w:sz w:val="24"/>
                <w:highlight w:val="none"/>
                <w:lang w:val="en-US" w:eastAsia="zh-CN"/>
              </w:rPr>
              <w:t>40</w:t>
            </w:r>
            <w:r>
              <w:rPr>
                <w:rFonts w:hint="eastAsia" w:ascii="Times New Roman" w:hAnsi="Times New Roman" w:cs="Times New Roman"/>
                <w:color w:val="auto"/>
                <w:sz w:val="24"/>
                <w:highlight w:val="none"/>
              </w:rPr>
              <w:t>000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w:t>
            </w:r>
            <w:r>
              <w:rPr>
                <w:rFonts w:hint="eastAsia" w:ascii="Times New Roman" w:hAnsi="Times New Roman" w:cs="Times New Roman"/>
                <w:color w:val="auto"/>
                <w:sz w:val="24"/>
                <w:highlight w:val="none"/>
              </w:rPr>
              <w:t>，对应</w:t>
            </w:r>
            <w:r>
              <w:rPr>
                <w:rFonts w:ascii="Times New Roman" w:hAnsi="Times New Roman" w:cs="Times New Roman"/>
                <w:color w:val="auto"/>
                <w:sz w:val="24"/>
                <w:highlight w:val="none"/>
              </w:rPr>
              <w:t>喷淋塔循环用水量为</w:t>
            </w:r>
            <w:r>
              <w:rPr>
                <w:rFonts w:hint="eastAsia" w:ascii="Times New Roman" w:hAnsi="Times New Roman" w:cs="Times New Roman"/>
                <w:color w:val="auto"/>
                <w:sz w:val="24"/>
                <w:highlight w:val="none"/>
                <w:lang w:val="en-US" w:eastAsia="zh-CN"/>
              </w:rPr>
              <w:t>40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77120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/a，循环损耗补充水量为</w:t>
            </w:r>
            <w:r>
              <w:rPr>
                <w:rFonts w:hint="eastAsia" w:ascii="Times New Roman" w:hAnsi="Times New Roman" w:cs="Times New Roman"/>
                <w:color w:val="auto"/>
                <w:sz w:val="24"/>
                <w:highlight w:val="none"/>
                <w:lang w:val="en-US" w:eastAsia="zh-CN"/>
              </w:rPr>
              <w:t>7712</w:t>
            </w:r>
            <w:r>
              <w:rPr>
                <w:rFonts w:ascii="Times New Roman" w:hAnsi="Times New Roman" w:cs="Times New Roman"/>
                <w:color w:val="auto"/>
                <w:sz w:val="24"/>
                <w:highlight w:val="none"/>
              </w:rPr>
              <w:t>0m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1156.8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碱液喷淋塔废气总风量为11</w:t>
            </w:r>
            <w:r>
              <w:rPr>
                <w:rFonts w:hint="eastAsia" w:ascii="Times New Roman" w:hAnsi="Times New Roman" w:cs="Times New Roman"/>
                <w:color w:val="auto"/>
                <w:sz w:val="24"/>
                <w:highlight w:val="none"/>
              </w:rPr>
              <w:t>000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w:t>
            </w:r>
            <w:r>
              <w:rPr>
                <w:rFonts w:hint="eastAsia" w:ascii="Times New Roman" w:hAnsi="Times New Roman" w:cs="Times New Roman"/>
                <w:color w:val="auto"/>
                <w:sz w:val="24"/>
                <w:highlight w:val="none"/>
              </w:rPr>
              <w:t>，对应</w:t>
            </w:r>
            <w:r>
              <w:rPr>
                <w:rFonts w:ascii="Times New Roman" w:hAnsi="Times New Roman" w:cs="Times New Roman"/>
                <w:color w:val="auto"/>
                <w:sz w:val="24"/>
                <w:highlight w:val="none"/>
              </w:rPr>
              <w:t>喷淋塔循环用水量为</w:t>
            </w:r>
            <w:r>
              <w:rPr>
                <w:rFonts w:hint="eastAsia" w:ascii="Times New Roman" w:hAnsi="Times New Roman" w:cs="Times New Roman"/>
                <w:color w:val="auto"/>
                <w:sz w:val="24"/>
                <w:highlight w:val="none"/>
                <w:lang w:val="en-US" w:eastAsia="zh-CN"/>
              </w:rPr>
              <w:t>11</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21208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/a，循环损耗补充水量为</w:t>
            </w:r>
            <w:r>
              <w:rPr>
                <w:rFonts w:hint="eastAsia" w:ascii="Times New Roman" w:hAnsi="Times New Roman" w:cs="Times New Roman"/>
                <w:color w:val="auto"/>
                <w:sz w:val="24"/>
                <w:highlight w:val="none"/>
                <w:lang w:val="en-US" w:eastAsia="zh-CN"/>
              </w:rPr>
              <w:t>21208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318.12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w:t>
            </w:r>
          </w:p>
          <w:p w14:paraId="7B9FB32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本项目废气治理设施设置</w:t>
            </w:r>
            <w:r>
              <w:rPr>
                <w:rFonts w:ascii="Times New Roman" w:hAnsi="Times New Roman" w:cs="Times New Roman"/>
                <w:color w:val="auto"/>
                <w:sz w:val="24"/>
                <w:highlight w:val="none"/>
              </w:rPr>
              <w:t>喷淋塔</w:t>
            </w:r>
            <w:r>
              <w:rPr>
                <w:rFonts w:hint="eastAsia" w:ascii="Times New Roman" w:hAnsi="Times New Roman" w:cs="Times New Roman"/>
                <w:color w:val="auto"/>
                <w:sz w:val="24"/>
                <w:highlight w:val="none"/>
                <w:lang w:val="en-US" w:eastAsia="zh-CN"/>
              </w:rPr>
              <w:t>2个</w:t>
            </w:r>
            <w:r>
              <w:rPr>
                <w:rFonts w:hint="eastAsia" w:ascii="Times New Roman" w:hAnsi="Times New Roman" w:cs="Times New Roman"/>
                <w:color w:val="auto"/>
                <w:sz w:val="24"/>
                <w:highlight w:val="none"/>
              </w:rPr>
              <w:t>，塔内</w:t>
            </w:r>
            <w:r>
              <w:rPr>
                <w:rFonts w:ascii="Times New Roman" w:hAnsi="Times New Roman" w:cs="Times New Roman"/>
                <w:color w:val="auto"/>
                <w:sz w:val="24"/>
                <w:highlight w:val="none"/>
              </w:rPr>
              <w:t>循环水吸附漆雾后污染物浓度会增大，需定期</w:t>
            </w:r>
            <w:r>
              <w:rPr>
                <w:rFonts w:hint="eastAsia" w:ascii="Times New Roman" w:hAnsi="Times New Roman" w:cs="Times New Roman"/>
                <w:color w:val="auto"/>
                <w:sz w:val="24"/>
                <w:highlight w:val="none"/>
                <w:lang w:val="en-US" w:eastAsia="zh-CN"/>
              </w:rPr>
              <w:t>捞渣</w:t>
            </w:r>
            <w:r>
              <w:rPr>
                <w:rFonts w:ascii="Times New Roman" w:hAnsi="Times New Roman" w:cs="Times New Roman"/>
                <w:color w:val="auto"/>
                <w:sz w:val="24"/>
                <w:highlight w:val="none"/>
              </w:rPr>
              <w:t>更换，预计每周更换1次，一个月更换4次，</w:t>
            </w:r>
            <w:r>
              <w:rPr>
                <w:rFonts w:hint="eastAsia" w:ascii="Times New Roman" w:hAnsi="Times New Roman" w:cs="Times New Roman"/>
                <w:color w:val="auto"/>
                <w:sz w:val="24"/>
                <w:highlight w:val="none"/>
              </w:rPr>
              <w:t>喷淋塔内</w:t>
            </w:r>
            <w:r>
              <w:rPr>
                <w:rFonts w:ascii="Times New Roman" w:hAnsi="Times New Roman" w:cs="Times New Roman"/>
                <w:color w:val="auto"/>
                <w:sz w:val="24"/>
                <w:highlight w:val="none"/>
              </w:rPr>
              <w:t>循环水箱容积约0.7t，则喷淋塔循环水更换量为</w:t>
            </w:r>
            <w:r>
              <w:rPr>
                <w:rFonts w:hint="eastAsia" w:ascii="Times New Roman" w:hAnsi="Times New Roman" w:cs="Times New Roman"/>
                <w:color w:val="auto"/>
                <w:sz w:val="24"/>
                <w:highlight w:val="none"/>
              </w:rPr>
              <w:t>1台×</w:t>
            </w:r>
            <w:r>
              <w:rPr>
                <w:rFonts w:ascii="Times New Roman" w:hAnsi="Times New Roman" w:cs="Times New Roman"/>
                <w:color w:val="auto"/>
                <w:sz w:val="24"/>
                <w:highlight w:val="none"/>
              </w:rPr>
              <w:t>0.7t×4</w:t>
            </w:r>
            <w:r>
              <w:rPr>
                <w:rFonts w:hint="eastAsia" w:ascii="Times New Roman" w:hAnsi="Times New Roman" w:cs="Times New Roman"/>
                <w:color w:val="auto"/>
                <w:sz w:val="24"/>
                <w:highlight w:val="none"/>
              </w:rPr>
              <w:t>8次/年</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67.2</w:t>
            </w:r>
            <w:r>
              <w:rPr>
                <w:rFonts w:ascii="Times New Roman" w:hAnsi="Times New Roman" w:cs="Times New Roman"/>
                <w:color w:val="auto"/>
                <w:sz w:val="24"/>
                <w:highlight w:val="none"/>
              </w:rPr>
              <w:t>t/a，更换后的废水</w:t>
            </w:r>
            <w:r>
              <w:rPr>
                <w:rFonts w:hint="eastAsia" w:ascii="Times New Roman" w:hAnsi="Times New Roman" w:cs="Times New Roman"/>
                <w:color w:val="auto"/>
                <w:sz w:val="24"/>
                <w:highlight w:val="none"/>
                <w:lang w:val="en-US" w:eastAsia="zh-CN"/>
              </w:rPr>
              <w:t>交由有资质单位处置</w:t>
            </w:r>
            <w:r>
              <w:rPr>
                <w:rFonts w:ascii="Times New Roman" w:hAnsi="Times New Roman" w:cs="Times New Roman"/>
                <w:color w:val="auto"/>
                <w:sz w:val="24"/>
                <w:highlight w:val="none"/>
              </w:rPr>
              <w:t>，本项目喷淋塔用水总量为：</w:t>
            </w:r>
            <w:r>
              <w:rPr>
                <w:rFonts w:hint="eastAsia" w:ascii="Times New Roman" w:hAnsi="Times New Roman" w:cs="Times New Roman"/>
                <w:color w:val="auto"/>
                <w:sz w:val="24"/>
                <w:highlight w:val="none"/>
                <w:lang w:val="en-US" w:eastAsia="zh-CN"/>
              </w:rPr>
              <w:t>1156.8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318.12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33.6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×2</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1542.12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76FB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C.</w:t>
            </w:r>
            <w:r>
              <w:rPr>
                <w:rFonts w:hint="eastAsia" w:ascii="Times New Roman" w:hAnsi="Times New Roman" w:cs="Times New Roman"/>
                <w:b/>
                <w:bCs/>
                <w:color w:val="auto"/>
                <w:sz w:val="24"/>
                <w:szCs w:val="24"/>
                <w:highlight w:val="none"/>
                <w:lang w:val="en-US" w:eastAsia="zh-CN"/>
              </w:rPr>
              <w:t>前处理用水</w:t>
            </w:r>
          </w:p>
          <w:p w14:paraId="2646B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本项目设置2条规模和处理能力都相同的前处理线。用水环节主要</w:t>
            </w:r>
            <w:r>
              <w:rPr>
                <w:rFonts w:hint="eastAsia" w:ascii="Times New Roman" w:hAnsi="Times New Roman" w:cs="Times New Roman"/>
                <w:color w:val="auto"/>
                <w:sz w:val="24"/>
                <w:szCs w:val="24"/>
                <w:highlight w:val="none"/>
                <w:lang w:val="en-US" w:eastAsia="zh-CN"/>
              </w:rPr>
              <w:t>包括</w:t>
            </w:r>
            <w:r>
              <w:rPr>
                <w:rFonts w:hint="default" w:ascii="Times New Roman" w:hAnsi="Times New Roman" w:cs="Times New Roman"/>
                <w:color w:val="auto"/>
                <w:sz w:val="24"/>
                <w:szCs w:val="24"/>
                <w:highlight w:val="none"/>
              </w:rPr>
              <w:t>表面预处理工序</w:t>
            </w:r>
            <w:r>
              <w:rPr>
                <w:rFonts w:hint="default" w:ascii="Times New Roman" w:hAnsi="Times New Roman" w:cs="Times New Roman"/>
                <w:color w:val="auto"/>
                <w:sz w:val="24"/>
                <w:szCs w:val="24"/>
                <w:highlight w:val="none"/>
                <w:lang w:val="en-US" w:eastAsia="zh-CN"/>
              </w:rPr>
              <w:t>喷淋补充用水、整槽更换用水和溢流用水</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前处理线总</w:t>
            </w:r>
            <w:r>
              <w:rPr>
                <w:rFonts w:hint="default" w:ascii="Times New Roman" w:hAnsi="Times New Roman" w:cs="Times New Roman"/>
                <w:color w:val="auto"/>
                <w:sz w:val="24"/>
                <w:szCs w:val="24"/>
                <w:highlight w:val="none"/>
              </w:rPr>
              <w:t>用水量为19884.63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rPr>
              <w:t>/a。</w:t>
            </w:r>
            <w:r>
              <w:rPr>
                <w:rFonts w:hint="eastAsia" w:cs="Times New Roman"/>
                <w:color w:val="auto"/>
                <w:sz w:val="24"/>
                <w:szCs w:val="24"/>
                <w:highlight w:val="none"/>
                <w:lang w:val="en-US" w:eastAsia="zh-CN"/>
              </w:rPr>
              <w:t>其中：</w:t>
            </w:r>
          </w:p>
          <w:p w14:paraId="087BE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①</w:t>
            </w:r>
            <w:r>
              <w:rPr>
                <w:rFonts w:hint="eastAsia" w:cs="Times New Roman"/>
                <w:b/>
                <w:bCs/>
                <w:color w:val="auto"/>
                <w:sz w:val="24"/>
                <w:szCs w:val="24"/>
                <w:highlight w:val="none"/>
                <w:lang w:val="en-US" w:eastAsia="zh-CN"/>
              </w:rPr>
              <w:t>循环</w:t>
            </w:r>
            <w:r>
              <w:rPr>
                <w:rFonts w:hint="default" w:ascii="Times New Roman" w:hAnsi="Times New Roman" w:cs="Times New Roman"/>
                <w:b/>
                <w:bCs/>
                <w:color w:val="auto"/>
                <w:sz w:val="24"/>
                <w:szCs w:val="24"/>
                <w:highlight w:val="none"/>
                <w:lang w:val="en-US" w:eastAsia="zh-CN"/>
              </w:rPr>
              <w:t>补充用水</w:t>
            </w:r>
          </w:p>
          <w:p w14:paraId="45E18E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本项目前处理线各池体处理方法均采用喷淋处理，喷淋过程产生用水损耗，需要定期补充用水，喷淋水损耗按循环水量的1%计算，本项目各前处理线喷淋补充用水计算见下表。</w:t>
            </w:r>
          </w:p>
          <w:p w14:paraId="25E111E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单条</w:t>
            </w:r>
            <w:r>
              <w:rPr>
                <w:rFonts w:hint="default" w:ascii="Times New Roman" w:hAnsi="Times New Roman" w:eastAsia="宋体" w:cs="Times New Roman"/>
                <w:b/>
                <w:bCs/>
                <w:color w:val="auto"/>
                <w:sz w:val="21"/>
                <w:szCs w:val="21"/>
                <w:highlight w:val="none"/>
                <w:lang w:val="en-US" w:eastAsia="zh-CN"/>
              </w:rPr>
              <w:t>前处理线</w:t>
            </w:r>
            <w:r>
              <w:rPr>
                <w:rFonts w:hint="eastAsia" w:ascii="Times New Roman" w:hAnsi="Times New Roman" w:eastAsia="宋体" w:cs="Times New Roman"/>
                <w:b/>
                <w:bCs/>
                <w:color w:val="auto"/>
                <w:sz w:val="21"/>
                <w:szCs w:val="21"/>
                <w:highlight w:val="none"/>
                <w:lang w:val="en-US" w:eastAsia="zh-CN"/>
              </w:rPr>
              <w:t>循环</w:t>
            </w:r>
            <w:r>
              <w:rPr>
                <w:rFonts w:hint="default" w:ascii="Times New Roman" w:hAnsi="Times New Roman" w:eastAsia="宋体" w:cs="Times New Roman"/>
                <w:b/>
                <w:bCs/>
                <w:color w:val="auto"/>
                <w:sz w:val="21"/>
                <w:szCs w:val="21"/>
                <w:highlight w:val="none"/>
                <w:lang w:val="en-US" w:eastAsia="zh-CN"/>
              </w:rPr>
              <w:t>补充用水计算表</w:t>
            </w:r>
          </w:p>
          <w:tbl>
            <w:tblPr>
              <w:tblStyle w:val="48"/>
              <w:tblW w:w="82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1"/>
              <w:gridCol w:w="1155"/>
              <w:gridCol w:w="743"/>
              <w:gridCol w:w="929"/>
              <w:gridCol w:w="920"/>
              <w:gridCol w:w="864"/>
              <w:gridCol w:w="947"/>
              <w:gridCol w:w="1053"/>
              <w:gridCol w:w="1053"/>
            </w:tblGrid>
            <w:tr w14:paraId="66DC2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571" w:type="dxa"/>
                  <w:tcBorders>
                    <w:top w:val="single" w:color="000000" w:sz="4" w:space="0"/>
                    <w:left w:val="single" w:color="000000" w:sz="4" w:space="0"/>
                    <w:bottom w:val="single" w:color="000000" w:sz="4" w:space="0"/>
                    <w:right w:val="single" w:color="000000" w:sz="4" w:space="0"/>
                  </w:tcBorders>
                  <w:noWrap/>
                  <w:vAlign w:val="center"/>
                </w:tcPr>
                <w:p w14:paraId="5ABC7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生产线</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3630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工序</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C868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水池水量m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A96B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运行时间h</w:t>
                  </w:r>
                </w:p>
              </w:tc>
              <w:tc>
                <w:tcPr>
                  <w:tcW w:w="920" w:type="dxa"/>
                  <w:tcBorders>
                    <w:top w:val="single" w:color="000000" w:sz="4" w:space="0"/>
                    <w:left w:val="single" w:color="000000" w:sz="4" w:space="0"/>
                    <w:bottom w:val="single" w:color="000000" w:sz="4" w:space="0"/>
                    <w:right w:val="single" w:color="000000" w:sz="4" w:space="0"/>
                  </w:tcBorders>
                  <w:noWrap w:val="0"/>
                  <w:vAlign w:val="center"/>
                </w:tcPr>
                <w:p w14:paraId="4DB13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槽液循环量m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3211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槽液循环量m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/d</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27C8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cs="Times New Roman"/>
                      <w:b/>
                      <w:bCs/>
                      <w:i w:val="0"/>
                      <w:iCs w:val="0"/>
                      <w:color w:val="auto"/>
                      <w:kern w:val="0"/>
                      <w:sz w:val="21"/>
                      <w:szCs w:val="21"/>
                      <w:highlight w:val="none"/>
                      <w:u w:val="none"/>
                      <w:lang w:val="en-US" w:eastAsia="zh-CN" w:bidi="ar"/>
                    </w:rPr>
                    <w:t>循环</w:t>
                  </w:r>
                  <w:r>
                    <w:rPr>
                      <w:rFonts w:hint="default" w:ascii="Times New Roman" w:hAnsi="Times New Roman" w:eastAsia="宋体" w:cs="Times New Roman"/>
                      <w:b/>
                      <w:bCs/>
                      <w:i w:val="0"/>
                      <w:iCs w:val="0"/>
                      <w:color w:val="auto"/>
                      <w:kern w:val="0"/>
                      <w:sz w:val="21"/>
                      <w:szCs w:val="21"/>
                      <w:highlight w:val="none"/>
                      <w:u w:val="none"/>
                      <w:lang w:val="en-US" w:eastAsia="zh-CN" w:bidi="ar"/>
                    </w:rPr>
                    <w:t>补充用水量m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D80DBCF">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工件带出水量m</w:t>
                  </w:r>
                  <w:r>
                    <w:rPr>
                      <w:rFonts w:hint="eastAsia" w:ascii="宋体" w:hAnsi="宋体" w:eastAsia="宋体" w:cs="宋体"/>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5EBD20E">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u w:val="none"/>
                      <w:lang w:val="en-US" w:eastAsia="zh-CN" w:bidi="ar"/>
                    </w:rPr>
                    <w:t>循环补充新鲜用水量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/a</w:t>
                  </w:r>
                </w:p>
              </w:tc>
            </w:tr>
            <w:tr w14:paraId="04A3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restart"/>
                  <w:tcBorders>
                    <w:top w:val="single" w:color="000000" w:sz="4" w:space="0"/>
                    <w:left w:val="single" w:color="000000" w:sz="4" w:space="0"/>
                    <w:bottom w:val="single" w:color="000000" w:sz="4" w:space="0"/>
                    <w:right w:val="single" w:color="000000" w:sz="4" w:space="0"/>
                  </w:tcBorders>
                  <w:noWrap/>
                  <w:vAlign w:val="center"/>
                </w:tcPr>
                <w:p w14:paraId="02B8A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r>
                    <w:rPr>
                      <w:rFonts w:hint="eastAsia" w:cs="Times New Roman"/>
                      <w:i w:val="0"/>
                      <w:iCs w:val="0"/>
                      <w:color w:val="auto"/>
                      <w:kern w:val="0"/>
                      <w:sz w:val="21"/>
                      <w:szCs w:val="21"/>
                      <w:highlight w:val="none"/>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D06B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71FBEB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43FB4F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D6F2C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2BD297F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0E3370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43442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B9BCF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356.78 </w:t>
                  </w:r>
                </w:p>
              </w:tc>
            </w:tr>
            <w:tr w14:paraId="3DA0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507EF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CF2F3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A04360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14A47C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9127CB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64E52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BB08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00CD0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A67AA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973.74 </w:t>
                  </w:r>
                </w:p>
              </w:tc>
            </w:tr>
            <w:tr w14:paraId="4142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1586E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A6564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D8B9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B9A53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4A7476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38003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C57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48FE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DB5AB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973.74 </w:t>
                  </w:r>
                </w:p>
              </w:tc>
            </w:tr>
            <w:tr w14:paraId="45FA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0FC0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9CDB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B8FC7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DD2CAB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11752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2BED8A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B03A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50B8B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A667E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r>
            <w:tr w14:paraId="5096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8DD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BA36D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F523F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1886A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D37984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EBA73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89C2B6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C0E1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3BAFC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r>
            <w:tr w14:paraId="33CC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339C1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A0170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38F2AF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D4345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C5ABC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0E189D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51.2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D3B76E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123.4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DF507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D2E2D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1317.13</w:t>
                  </w:r>
                </w:p>
              </w:tc>
            </w:tr>
            <w:tr w14:paraId="1D32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A185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CF09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27A10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0F0F4F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8EDE108">
                  <w:pPr>
                    <w:keepNext w:val="0"/>
                    <w:keepLines w:val="0"/>
                    <w:widowControl/>
                    <w:suppressLineNumbers w:val="0"/>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01EC6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46EC1B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EA09C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8720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486.87 </w:t>
                  </w:r>
                </w:p>
              </w:tc>
            </w:tr>
            <w:tr w14:paraId="132E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B47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13CD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942A82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8E4B2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619F6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444C0B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FBE2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080D8C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F8EA7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301.78 </w:t>
                  </w:r>
                </w:p>
              </w:tc>
            </w:tr>
            <w:tr w14:paraId="14F0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726" w:type="dxa"/>
                  <w:gridSpan w:val="2"/>
                  <w:tcBorders>
                    <w:top w:val="single" w:color="000000" w:sz="4" w:space="0"/>
                    <w:left w:val="single" w:color="000000" w:sz="4" w:space="0"/>
                    <w:bottom w:val="single" w:color="000000" w:sz="4" w:space="0"/>
                    <w:right w:val="single" w:color="000000" w:sz="4" w:space="0"/>
                  </w:tcBorders>
                  <w:noWrap/>
                  <w:vAlign w:val="center"/>
                </w:tcPr>
                <w:p w14:paraId="4E7425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81F4F3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47.2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77979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5AD57DE">
                  <w:pPr>
                    <w:keepNext w:val="0"/>
                    <w:keepLines w:val="0"/>
                    <w:widowControl/>
                    <w:suppressLineNumbers w:val="0"/>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188.8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EA099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1510.4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2C018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3640.1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86AEC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770.0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2BEBEC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4410.1 </w:t>
                  </w:r>
                </w:p>
              </w:tc>
            </w:tr>
            <w:tr w14:paraId="0183A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8235" w:type="dxa"/>
                  <w:gridSpan w:val="9"/>
                  <w:tcBorders>
                    <w:top w:val="single" w:color="000000" w:sz="4" w:space="0"/>
                    <w:left w:val="single" w:color="000000" w:sz="4" w:space="0"/>
                    <w:bottom w:val="single" w:color="000000" w:sz="4" w:space="0"/>
                    <w:right w:val="single" w:color="000000" w:sz="4" w:space="0"/>
                  </w:tcBorders>
                  <w:noWrap/>
                  <w:vAlign w:val="center"/>
                </w:tcPr>
                <w:p w14:paraId="6625F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w:t>
                  </w:r>
                  <w:r>
                    <w:rPr>
                      <w:rFonts w:hint="eastAsia" w:cs="Times New Roman"/>
                      <w:i w:val="0"/>
                      <w:iCs w:val="0"/>
                      <w:color w:val="auto"/>
                      <w:kern w:val="0"/>
                      <w:sz w:val="21"/>
                      <w:szCs w:val="21"/>
                      <w:highlight w:val="none"/>
                      <w:u w:val="none"/>
                      <w:lang w:val="en-US" w:eastAsia="zh-CN" w:bidi="ar"/>
                    </w:rPr>
                    <w:t>①</w:t>
                  </w:r>
                  <w:r>
                    <w:rPr>
                      <w:rFonts w:hint="default" w:ascii="Times New Roman" w:hAnsi="Times New Roman" w:eastAsia="宋体" w:cs="Times New Roman"/>
                      <w:i w:val="0"/>
                      <w:iCs w:val="0"/>
                      <w:color w:val="auto"/>
                      <w:kern w:val="0"/>
                      <w:sz w:val="21"/>
                      <w:szCs w:val="21"/>
                      <w:highlight w:val="none"/>
                      <w:u w:val="none"/>
                      <w:lang w:val="en-US" w:eastAsia="zh-CN" w:bidi="ar"/>
                    </w:rPr>
                    <w:t>根据设计资料，槽液每小时循环水量为池体水量的</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倍</w:t>
                  </w:r>
                  <w:r>
                    <w:rPr>
                      <w:rFonts w:hint="eastAsia" w:cs="Times New Roman"/>
                      <w:i w:val="0"/>
                      <w:iCs w:val="0"/>
                      <w:color w:val="auto"/>
                      <w:kern w:val="0"/>
                      <w:sz w:val="21"/>
                      <w:szCs w:val="21"/>
                      <w:highlight w:val="none"/>
                      <w:u w:val="none"/>
                      <w:lang w:val="en-US" w:eastAsia="zh-CN" w:bidi="ar"/>
                    </w:rPr>
                    <w:t>；采用管道循环方式，设置过滤装置。</w:t>
                  </w:r>
                </w:p>
                <w:p w14:paraId="13FAC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auto"/>
                      <w:lang w:val="en-US" w:eastAsia="zh-CN"/>
                    </w:rPr>
                  </w:pPr>
                  <w:r>
                    <w:rPr>
                      <w:rFonts w:hint="eastAsia" w:cs="Times New Roman"/>
                      <w:i w:val="0"/>
                      <w:iCs w:val="0"/>
                      <w:color w:val="auto"/>
                      <w:kern w:val="0"/>
                      <w:sz w:val="21"/>
                      <w:szCs w:val="21"/>
                      <w:highlight w:val="none"/>
                      <w:u w:val="none"/>
                      <w:lang w:val="en-US" w:eastAsia="zh-CN" w:bidi="ar"/>
                    </w:rPr>
                    <w:t>②工件水洗采用三级逆流漂洗工艺，设置 3 座漂洗槽1#水洗池、2#水洗池和清水池；新鲜水从清水洗池补给，漂洗废水逆向逐级溢流，1#水洗池产生高浓度清洗废水外排处理。该工艺可大幅降低清水消耗量，提升污染物去除效率。</w:t>
                  </w:r>
                </w:p>
              </w:tc>
            </w:tr>
          </w:tbl>
          <w:p w14:paraId="7D068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40470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bCs/>
                <w:color w:val="auto"/>
                <w:szCs w:val="21"/>
                <w:highlight w:val="none"/>
              </w:rPr>
            </w:pPr>
            <w:r>
              <w:rPr>
                <w:rFonts w:hint="default" w:ascii="Times New Roman" w:hAnsi="Times New Roman" w:cs="Times New Roman"/>
                <w:color w:val="auto"/>
                <w:kern w:val="0"/>
                <w:sz w:val="24"/>
                <w:szCs w:val="24"/>
                <w:highlight w:val="none"/>
                <w:lang w:val="en-US" w:eastAsia="zh-CN" w:bidi="ar"/>
              </w:rPr>
              <w:t>从上表计得</w:t>
            </w:r>
            <w:r>
              <w:rPr>
                <w:rFonts w:hint="eastAsia" w:cs="Times New Roman"/>
                <w:color w:val="auto"/>
                <w:kern w:val="0"/>
                <w:sz w:val="24"/>
                <w:szCs w:val="24"/>
                <w:highlight w:val="none"/>
                <w:lang w:val="en-US" w:eastAsia="zh-CN" w:bidi="ar"/>
              </w:rPr>
              <w:t>1条工件表面处理线循环补充新鲜水量为</w:t>
            </w:r>
            <w:r>
              <w:rPr>
                <w:rFonts w:hint="eastAsia" w:cs="Times New Roman"/>
                <w:i w:val="0"/>
                <w:iCs w:val="0"/>
                <w:color w:val="auto"/>
                <w:kern w:val="0"/>
                <w:sz w:val="24"/>
                <w:szCs w:val="24"/>
                <w:highlight w:val="none"/>
                <w:u w:val="none"/>
                <w:lang w:val="en-US" w:eastAsia="zh-CN" w:bidi="ar"/>
              </w:rPr>
              <w:t>4410.1</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r>
              <w:rPr>
                <w:rFonts w:hint="eastAsia" w:cs="Times New Roman"/>
                <w:color w:val="auto"/>
                <w:kern w:val="0"/>
                <w:sz w:val="24"/>
                <w:szCs w:val="24"/>
                <w:highlight w:val="none"/>
                <w:lang w:val="en-US" w:eastAsia="zh-CN" w:bidi="ar"/>
              </w:rPr>
              <w:t>，2</w:t>
            </w:r>
            <w:r>
              <w:rPr>
                <w:rFonts w:hint="default" w:ascii="Times New Roman" w:hAnsi="Times New Roman" w:cs="Times New Roman"/>
                <w:color w:val="auto"/>
                <w:kern w:val="0"/>
                <w:sz w:val="24"/>
                <w:szCs w:val="24"/>
                <w:highlight w:val="none"/>
                <w:lang w:val="en-US" w:eastAsia="zh-CN" w:bidi="ar"/>
              </w:rPr>
              <w:t>条前处理线</w:t>
            </w:r>
            <w:r>
              <w:rPr>
                <w:rFonts w:hint="eastAsia" w:cs="Times New Roman"/>
                <w:color w:val="auto"/>
                <w:kern w:val="0"/>
                <w:sz w:val="24"/>
                <w:szCs w:val="24"/>
                <w:highlight w:val="none"/>
                <w:lang w:val="en-US" w:eastAsia="zh-CN" w:bidi="ar"/>
              </w:rPr>
              <w:t>循环</w:t>
            </w:r>
            <w:r>
              <w:rPr>
                <w:rFonts w:hint="default" w:ascii="Times New Roman" w:hAnsi="Times New Roman" w:cs="Times New Roman"/>
                <w:color w:val="auto"/>
                <w:kern w:val="0"/>
                <w:sz w:val="24"/>
                <w:szCs w:val="24"/>
                <w:highlight w:val="none"/>
                <w:lang w:val="en-US" w:eastAsia="zh-CN" w:bidi="ar"/>
              </w:rPr>
              <w:t>补充水量为</w:t>
            </w:r>
            <w:r>
              <w:rPr>
                <w:rFonts w:hint="eastAsia" w:cs="Times New Roman"/>
                <w:i w:val="0"/>
                <w:iCs w:val="0"/>
                <w:color w:val="auto"/>
                <w:kern w:val="0"/>
                <w:sz w:val="24"/>
                <w:szCs w:val="24"/>
                <w:highlight w:val="none"/>
                <w:u w:val="none"/>
                <w:lang w:val="en-US" w:eastAsia="zh-CN" w:bidi="ar"/>
              </w:rPr>
              <w:t>4410.1</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r>
              <w:rPr>
                <w:rFonts w:hint="eastAsia" w:cs="Times New Roman"/>
                <w:color w:val="auto"/>
                <w:kern w:val="0"/>
                <w:sz w:val="24"/>
                <w:szCs w:val="24"/>
                <w:highlight w:val="none"/>
                <w:lang w:val="en-US" w:eastAsia="zh-CN" w:bidi="ar"/>
              </w:rPr>
              <w:t>×2=8820.128</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p>
        </w:tc>
      </w:tr>
    </w:tbl>
    <w:p w14:paraId="186D9CC2">
      <w:pPr>
        <w:pStyle w:val="45"/>
        <w:jc w:val="center"/>
        <w:rPr>
          <w:rFonts w:ascii="黑体" w:hAnsi="黑体" w:eastAsia="黑体"/>
          <w:snapToGrid w:val="0"/>
          <w:color w:val="auto"/>
          <w:sz w:val="36"/>
          <w:szCs w:val="36"/>
          <w:highlight w:val="none"/>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35"/>
      </w:tblGrid>
      <w:tr w14:paraId="0B40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top"/>
          </w:tcPr>
          <w:p w14:paraId="363BBAE2">
            <w:pPr>
              <w:pStyle w:val="45"/>
              <w:jc w:val="center"/>
              <w:rPr>
                <w:rFonts w:ascii="黑体" w:hAnsi="黑体" w:eastAsia="黑体"/>
                <w:snapToGrid w:val="0"/>
                <w:color w:val="auto"/>
                <w:sz w:val="36"/>
                <w:szCs w:val="36"/>
                <w:highlight w:val="none"/>
                <w:vertAlign w:val="baseline"/>
              </w:rPr>
            </w:pPr>
          </w:p>
        </w:tc>
        <w:tc>
          <w:tcPr>
            <w:tcW w:w="13335" w:type="dxa"/>
            <w:noWrap w:val="0"/>
            <w:vAlign w:val="top"/>
          </w:tcPr>
          <w:p w14:paraId="6E035FA6">
            <w:pPr>
              <w:pStyle w:val="27"/>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eastAsia" w:cs="Times New Roman"/>
                <w:color w:val="auto"/>
                <w:sz w:val="24"/>
                <w:szCs w:val="24"/>
                <w:highlight w:val="none"/>
                <w:lang w:val="en-US" w:eastAsia="zh-CN"/>
              </w:rPr>
            </w:pPr>
            <w:r>
              <w:rPr>
                <w:rFonts w:hint="eastAsia" w:cs="Times New Roman"/>
                <w:b/>
                <w:bCs/>
                <w:color w:val="auto"/>
                <w:sz w:val="24"/>
                <w:szCs w:val="24"/>
                <w:highlight w:val="none"/>
                <w:lang w:val="en-US" w:eastAsia="zh-CN"/>
              </w:rPr>
              <w:t>②单条前处理线</w:t>
            </w:r>
            <w:r>
              <w:rPr>
                <w:rFonts w:hint="default" w:ascii="Times New Roman" w:hAnsi="Times New Roman" w:cs="Times New Roman"/>
                <w:b/>
                <w:bCs/>
                <w:color w:val="auto"/>
                <w:sz w:val="24"/>
                <w:szCs w:val="24"/>
                <w:highlight w:val="none"/>
                <w:lang w:val="en-US" w:eastAsia="zh-CN"/>
              </w:rPr>
              <w:t>整槽更换用水、溢流用水</w:t>
            </w:r>
          </w:p>
          <w:p w14:paraId="13DDC4B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预</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池、水洗池</w:t>
            </w:r>
            <w:r>
              <w:rPr>
                <w:rFonts w:hint="eastAsia" w:cs="Times New Roman"/>
                <w:color w:val="auto"/>
                <w:sz w:val="24"/>
                <w:szCs w:val="24"/>
                <w:highlight w:val="none"/>
                <w:lang w:val="en-US" w:eastAsia="zh-CN"/>
              </w:rPr>
              <w:t>1#~3#、</w:t>
            </w:r>
            <w:r>
              <w:rPr>
                <w:rFonts w:hint="default" w:ascii="Times New Roman" w:hAnsi="Times New Roman" w:cs="Times New Roman"/>
                <w:color w:val="auto"/>
                <w:sz w:val="24"/>
                <w:szCs w:val="24"/>
                <w:highlight w:val="none"/>
                <w:lang w:val="en-US" w:eastAsia="zh-CN"/>
              </w:rPr>
              <w:t>无铬钝化池和</w:t>
            </w:r>
            <w:r>
              <w:rPr>
                <w:rFonts w:hint="eastAsia" w:ascii="Times New Roman" w:hAnsi="Times New Roman" w:cs="Times New Roman"/>
                <w:color w:val="auto"/>
                <w:sz w:val="24"/>
                <w:szCs w:val="24"/>
                <w:highlight w:val="none"/>
                <w:lang w:val="en-US" w:eastAsia="zh-CN"/>
              </w:rPr>
              <w:t>清水池</w:t>
            </w:r>
            <w:r>
              <w:rPr>
                <w:rFonts w:hint="default" w:ascii="Times New Roman" w:hAnsi="Times New Roman" w:cs="Times New Roman"/>
                <w:color w:val="auto"/>
                <w:sz w:val="24"/>
                <w:szCs w:val="24"/>
                <w:highlight w:val="none"/>
                <w:lang w:val="en-US" w:eastAsia="zh-CN"/>
              </w:rPr>
              <w:t>水</w:t>
            </w:r>
            <w:r>
              <w:rPr>
                <w:rFonts w:hint="eastAsia" w:cs="Times New Roman"/>
                <w:color w:val="auto"/>
                <w:sz w:val="24"/>
                <w:szCs w:val="24"/>
                <w:highlight w:val="none"/>
                <w:lang w:val="en-US" w:eastAsia="zh-CN"/>
              </w:rPr>
              <w:t>体</w:t>
            </w:r>
            <w:r>
              <w:rPr>
                <w:rFonts w:hint="default" w:ascii="Times New Roman" w:hAnsi="Times New Roman" w:cs="Times New Roman"/>
                <w:color w:val="auto"/>
                <w:sz w:val="24"/>
                <w:szCs w:val="24"/>
                <w:highlight w:val="none"/>
                <w:lang w:val="en-US" w:eastAsia="zh-CN"/>
              </w:rPr>
              <w:t>循环使用，并适当补充新鲜水</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药剂，定期整池更换。其中为了保证水洗的清洗效果，水洗池同时采用连续溢流的排水方式，其余的预</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池、无铬钝化池仅定期整池更换。</w:t>
            </w:r>
          </w:p>
          <w:p w14:paraId="065F4B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w:t>项目前处理整槽更换用水、溢流用水</w:t>
            </w:r>
            <w:r>
              <w:rPr>
                <w:rFonts w:hint="eastAsia" w:cs="Times New Roman"/>
                <w:color w:val="auto"/>
                <w:sz w:val="24"/>
                <w:szCs w:val="24"/>
                <w:highlight w:val="none"/>
                <w:lang w:val="en-US" w:eastAsia="zh-CN"/>
              </w:rPr>
              <w:t>量</w:t>
            </w:r>
            <w:r>
              <w:rPr>
                <w:rFonts w:hint="default" w:ascii="Times New Roman" w:hAnsi="Times New Roman" w:cs="Times New Roman"/>
                <w:color w:val="auto"/>
                <w:sz w:val="24"/>
                <w:szCs w:val="24"/>
                <w:highlight w:val="none"/>
              </w:rPr>
              <w:t>情况详见下表。</w:t>
            </w:r>
          </w:p>
          <w:p w14:paraId="65A6F88B">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单条前处理线</w:t>
            </w:r>
            <w:r>
              <w:rPr>
                <w:rFonts w:hint="default" w:ascii="Times New Roman" w:hAnsi="Times New Roman" w:eastAsia="宋体" w:cs="Times New Roman"/>
                <w:b/>
                <w:bCs/>
                <w:color w:val="auto"/>
                <w:sz w:val="21"/>
                <w:szCs w:val="21"/>
                <w:highlight w:val="none"/>
                <w:lang w:val="en-US" w:eastAsia="zh-CN"/>
              </w:rPr>
              <w:t>整槽更换</w:t>
            </w:r>
            <w:r>
              <w:rPr>
                <w:rFonts w:hint="eastAsia" w:ascii="Times New Roman" w:hAnsi="Times New Roman" w:eastAsia="宋体" w:cs="Times New Roman"/>
                <w:b/>
                <w:bCs/>
                <w:color w:val="auto"/>
                <w:sz w:val="21"/>
                <w:szCs w:val="21"/>
                <w:highlight w:val="none"/>
                <w:lang w:val="en-US" w:eastAsia="zh-CN"/>
              </w:rPr>
              <w:t>用</w:t>
            </w:r>
            <w:r>
              <w:rPr>
                <w:rFonts w:hint="default" w:ascii="Times New Roman" w:hAnsi="Times New Roman" w:eastAsia="宋体" w:cs="Times New Roman"/>
                <w:b/>
                <w:bCs/>
                <w:color w:val="auto"/>
                <w:sz w:val="21"/>
                <w:szCs w:val="21"/>
                <w:highlight w:val="none"/>
                <w:lang w:val="en-US" w:eastAsia="zh-CN"/>
              </w:rPr>
              <w:t>水和溢流</w:t>
            </w:r>
            <w:r>
              <w:rPr>
                <w:rFonts w:hint="eastAsia" w:ascii="Times New Roman" w:hAnsi="Times New Roman" w:eastAsia="宋体" w:cs="Times New Roman"/>
                <w:b/>
                <w:bCs/>
                <w:color w:val="auto"/>
                <w:sz w:val="21"/>
                <w:szCs w:val="21"/>
                <w:highlight w:val="none"/>
                <w:lang w:val="en-US" w:eastAsia="zh-CN"/>
              </w:rPr>
              <w:t>用</w:t>
            </w:r>
            <w:r>
              <w:rPr>
                <w:rFonts w:hint="default" w:ascii="Times New Roman" w:hAnsi="Times New Roman" w:eastAsia="宋体" w:cs="Times New Roman"/>
                <w:b/>
                <w:bCs/>
                <w:color w:val="auto"/>
                <w:sz w:val="21"/>
                <w:szCs w:val="21"/>
                <w:highlight w:val="none"/>
                <w:lang w:val="en-US" w:eastAsia="zh-CN"/>
              </w:rPr>
              <w:t>水一览表 单位t/a</w:t>
            </w:r>
          </w:p>
          <w:tbl>
            <w:tblPr>
              <w:tblStyle w:val="48"/>
              <w:tblW w:w="13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991"/>
              <w:gridCol w:w="623"/>
              <w:gridCol w:w="509"/>
              <w:gridCol w:w="416"/>
              <w:gridCol w:w="417"/>
              <w:gridCol w:w="1036"/>
              <w:gridCol w:w="683"/>
              <w:gridCol w:w="623"/>
              <w:gridCol w:w="1025"/>
              <w:gridCol w:w="991"/>
              <w:gridCol w:w="870"/>
              <w:gridCol w:w="1560"/>
              <w:gridCol w:w="1088"/>
              <w:gridCol w:w="918"/>
              <w:gridCol w:w="918"/>
            </w:tblGrid>
            <w:tr w14:paraId="6BE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47" w:type="pct"/>
                  <w:vMerge w:val="restart"/>
                  <w:noWrap w:val="0"/>
                  <w:vAlign w:val="center"/>
                </w:tcPr>
                <w:p w14:paraId="196166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379" w:type="pct"/>
                  <w:vMerge w:val="restart"/>
                  <w:noWrap w:val="0"/>
                  <w:vAlign w:val="center"/>
                </w:tcPr>
                <w:p w14:paraId="422BCE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槽体名称</w:t>
                  </w:r>
                </w:p>
              </w:tc>
              <w:tc>
                <w:tcPr>
                  <w:tcW w:w="238" w:type="pct"/>
                  <w:vMerge w:val="restart"/>
                  <w:noWrap w:val="0"/>
                  <w:vAlign w:val="center"/>
                </w:tcPr>
                <w:p w14:paraId="6E44D9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r>
                    <w:rPr>
                      <w:rFonts w:hint="default" w:ascii="Times New Roman" w:hAnsi="Times New Roman" w:eastAsia="宋体" w:cs="Times New Roman"/>
                      <w:b/>
                      <w:bCs/>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bCs/>
                      <w:i w:val="0"/>
                      <w:iCs w:val="0"/>
                      <w:color w:val="auto"/>
                      <w:kern w:val="0"/>
                      <w:sz w:val="21"/>
                      <w:szCs w:val="21"/>
                      <w:highlight w:val="none"/>
                      <w:u w:val="none"/>
                      <w:lang w:val="en-US" w:eastAsia="zh-CN" w:bidi="ar"/>
                    </w:rPr>
                    <w:t>(个)</w:t>
                  </w:r>
                </w:p>
              </w:tc>
              <w:tc>
                <w:tcPr>
                  <w:tcW w:w="514" w:type="pct"/>
                  <w:gridSpan w:val="3"/>
                  <w:noWrap w:val="0"/>
                  <w:vAlign w:val="center"/>
                </w:tcPr>
                <w:p w14:paraId="0FCF19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尺寸（m）</w:t>
                  </w:r>
                </w:p>
              </w:tc>
              <w:tc>
                <w:tcPr>
                  <w:tcW w:w="396" w:type="pct"/>
                  <w:vMerge w:val="restart"/>
                  <w:noWrap w:val="0"/>
                  <w:vAlign w:val="center"/>
                </w:tcPr>
                <w:p w14:paraId="7B0A0A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添加药剂名称</w:t>
                  </w:r>
                </w:p>
              </w:tc>
              <w:tc>
                <w:tcPr>
                  <w:tcW w:w="261" w:type="pct"/>
                  <w:vMerge w:val="restart"/>
                  <w:noWrap w:val="0"/>
                  <w:vAlign w:val="center"/>
                </w:tcPr>
                <w:p w14:paraId="4146AA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槽液量(m³)</w:t>
                  </w:r>
                </w:p>
              </w:tc>
              <w:tc>
                <w:tcPr>
                  <w:tcW w:w="238" w:type="pct"/>
                  <w:vMerge w:val="restart"/>
                  <w:noWrap w:val="0"/>
                  <w:vAlign w:val="center"/>
                </w:tcPr>
                <w:p w14:paraId="08D0CF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温度(℃)</w:t>
                  </w:r>
                </w:p>
              </w:tc>
              <w:tc>
                <w:tcPr>
                  <w:tcW w:w="772" w:type="pct"/>
                  <w:gridSpan w:val="2"/>
                  <w:noWrap w:val="0"/>
                  <w:vAlign w:val="center"/>
                </w:tcPr>
                <w:p w14:paraId="71451E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cs="Times New Roman"/>
                      <w:b/>
                      <w:bCs/>
                      <w:i w:val="0"/>
                      <w:iCs w:val="0"/>
                      <w:color w:val="auto"/>
                      <w:sz w:val="21"/>
                      <w:szCs w:val="21"/>
                      <w:highlight w:val="none"/>
                      <w:u w:val="none"/>
                      <w:lang w:val="en-US" w:eastAsia="zh-CN"/>
                    </w:rPr>
                    <w:t>设计参数</w:t>
                  </w:r>
                </w:p>
              </w:tc>
              <w:tc>
                <w:tcPr>
                  <w:tcW w:w="333" w:type="pct"/>
                  <w:vMerge w:val="restart"/>
                  <w:noWrap w:val="0"/>
                  <w:vAlign w:val="center"/>
                </w:tcPr>
                <w:p w14:paraId="14B377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排水方式</w:t>
                  </w:r>
                </w:p>
              </w:tc>
              <w:tc>
                <w:tcPr>
                  <w:tcW w:w="597" w:type="pct"/>
                  <w:vMerge w:val="restart"/>
                  <w:noWrap w:val="0"/>
                  <w:vAlign w:val="center"/>
                </w:tcPr>
                <w:p w14:paraId="2E9A8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更换频率</w:t>
                  </w:r>
                </w:p>
              </w:tc>
              <w:tc>
                <w:tcPr>
                  <w:tcW w:w="416" w:type="pct"/>
                  <w:vMerge w:val="restart"/>
                  <w:noWrap w:val="0"/>
                  <w:vAlign w:val="center"/>
                </w:tcPr>
                <w:p w14:paraId="4B1A10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整槽更换用水量(m³/a)</w:t>
                  </w:r>
                </w:p>
              </w:tc>
              <w:tc>
                <w:tcPr>
                  <w:tcW w:w="351" w:type="pct"/>
                  <w:vMerge w:val="restart"/>
                  <w:noWrap w:val="0"/>
                  <w:vAlign w:val="center"/>
                </w:tcPr>
                <w:p w14:paraId="7C414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w:t>
                  </w:r>
                  <w:r>
                    <w:rPr>
                      <w:rFonts w:hint="eastAsia" w:cs="Times New Roman"/>
                      <w:b/>
                      <w:bCs/>
                      <w:i w:val="0"/>
                      <w:iCs w:val="0"/>
                      <w:color w:val="auto"/>
                      <w:kern w:val="0"/>
                      <w:sz w:val="21"/>
                      <w:szCs w:val="21"/>
                      <w:highlight w:val="none"/>
                      <w:u w:val="none"/>
                      <w:lang w:val="en-US" w:eastAsia="zh-CN" w:bidi="ar"/>
                    </w:rPr>
                    <w:t>用</w:t>
                  </w:r>
                  <w:r>
                    <w:rPr>
                      <w:rFonts w:hint="default" w:ascii="Times New Roman" w:hAnsi="Times New Roman" w:eastAsia="宋体" w:cs="Times New Roman"/>
                      <w:b/>
                      <w:bCs/>
                      <w:i w:val="0"/>
                      <w:iCs w:val="0"/>
                      <w:color w:val="auto"/>
                      <w:kern w:val="0"/>
                      <w:sz w:val="21"/>
                      <w:szCs w:val="21"/>
                      <w:highlight w:val="none"/>
                      <w:u w:val="none"/>
                      <w:lang w:val="en-US" w:eastAsia="zh-CN" w:bidi="ar"/>
                    </w:rPr>
                    <w:t>水量(m³/</w:t>
                  </w:r>
                  <w:r>
                    <w:rPr>
                      <w:rFonts w:hint="eastAsia" w:cs="Times New Roman"/>
                      <w:b/>
                      <w:bCs/>
                      <w:i w:val="0"/>
                      <w:iCs w:val="0"/>
                      <w:color w:val="auto"/>
                      <w:kern w:val="0"/>
                      <w:sz w:val="21"/>
                      <w:szCs w:val="21"/>
                      <w:highlight w:val="none"/>
                      <w:u w:val="none"/>
                      <w:lang w:val="en-US" w:eastAsia="zh-CN" w:bidi="ar"/>
                    </w:rPr>
                    <w:t>a</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351" w:type="pct"/>
                  <w:vMerge w:val="restart"/>
                  <w:noWrap w:val="0"/>
                  <w:vAlign w:val="center"/>
                </w:tcPr>
                <w:p w14:paraId="3E3A9A0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溢流排水量(m³/a)</w:t>
                  </w:r>
                </w:p>
              </w:tc>
            </w:tr>
            <w:tr w14:paraId="1F2A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2A120E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79" w:type="pct"/>
                  <w:vMerge w:val="continue"/>
                  <w:noWrap w:val="0"/>
                  <w:vAlign w:val="center"/>
                </w:tcPr>
                <w:p w14:paraId="3CD9A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38" w:type="pct"/>
                  <w:vMerge w:val="continue"/>
                  <w:noWrap w:val="0"/>
                  <w:vAlign w:val="center"/>
                </w:tcPr>
                <w:p w14:paraId="583FF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194" w:type="pct"/>
                  <w:noWrap w:val="0"/>
                  <w:vAlign w:val="center"/>
                </w:tcPr>
                <w:p w14:paraId="2A0210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长</w:t>
                  </w:r>
                </w:p>
              </w:tc>
              <w:tc>
                <w:tcPr>
                  <w:tcW w:w="159" w:type="pct"/>
                  <w:noWrap w:val="0"/>
                  <w:vAlign w:val="center"/>
                </w:tcPr>
                <w:p w14:paraId="37BFC5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宽</w:t>
                  </w:r>
                </w:p>
              </w:tc>
              <w:tc>
                <w:tcPr>
                  <w:tcW w:w="159" w:type="pct"/>
                  <w:noWrap w:val="0"/>
                  <w:vAlign w:val="center"/>
                </w:tcPr>
                <w:p w14:paraId="5D94E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深</w:t>
                  </w:r>
                </w:p>
              </w:tc>
              <w:tc>
                <w:tcPr>
                  <w:tcW w:w="396" w:type="pct"/>
                  <w:vMerge w:val="continue"/>
                  <w:noWrap w:val="0"/>
                  <w:vAlign w:val="center"/>
                </w:tcPr>
                <w:p w14:paraId="7C6215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61" w:type="pct"/>
                  <w:vMerge w:val="continue"/>
                  <w:noWrap w:val="0"/>
                  <w:vAlign w:val="center"/>
                </w:tcPr>
                <w:p w14:paraId="6342C8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38" w:type="pct"/>
                  <w:vMerge w:val="continue"/>
                  <w:noWrap w:val="0"/>
                  <w:vAlign w:val="center"/>
                </w:tcPr>
                <w:p w14:paraId="58B060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92" w:type="pct"/>
                  <w:noWrap w:val="0"/>
                  <w:vAlign w:val="center"/>
                </w:tcPr>
                <w:p w14:paraId="1E67B1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溢流速度(L/min)</w:t>
                  </w:r>
                </w:p>
              </w:tc>
              <w:tc>
                <w:tcPr>
                  <w:tcW w:w="379" w:type="pct"/>
                  <w:noWrap w:val="0"/>
                  <w:vAlign w:val="center"/>
                </w:tcPr>
                <w:p w14:paraId="532619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溢流用水量(m³/d)</w:t>
                  </w:r>
                </w:p>
              </w:tc>
              <w:tc>
                <w:tcPr>
                  <w:tcW w:w="333" w:type="pct"/>
                  <w:vMerge w:val="continue"/>
                  <w:noWrap w:val="0"/>
                  <w:vAlign w:val="center"/>
                </w:tcPr>
                <w:p w14:paraId="7A9B10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597" w:type="pct"/>
                  <w:vMerge w:val="continue"/>
                  <w:noWrap w:val="0"/>
                  <w:vAlign w:val="center"/>
                </w:tcPr>
                <w:p w14:paraId="5550A4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6" w:type="pct"/>
                  <w:vMerge w:val="continue"/>
                  <w:noWrap w:val="0"/>
                  <w:vAlign w:val="center"/>
                </w:tcPr>
                <w:p w14:paraId="1A37D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51" w:type="pct"/>
                  <w:vMerge w:val="continue"/>
                  <w:noWrap w:val="0"/>
                  <w:vAlign w:val="center"/>
                </w:tcPr>
                <w:p w14:paraId="1FEE1D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51" w:type="pct"/>
                  <w:vMerge w:val="continue"/>
                  <w:noWrap w:val="0"/>
                  <w:vAlign w:val="center"/>
                </w:tcPr>
                <w:p w14:paraId="71BB2C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r>
            <w:tr w14:paraId="083C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restart"/>
                  <w:noWrap w:val="0"/>
                  <w:vAlign w:val="center"/>
                </w:tcPr>
                <w:p w14:paraId="423DD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p>
              </w:tc>
              <w:tc>
                <w:tcPr>
                  <w:tcW w:w="379" w:type="pct"/>
                  <w:noWrap w:val="0"/>
                  <w:vAlign w:val="center"/>
                </w:tcPr>
                <w:p w14:paraId="78DF6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238" w:type="pct"/>
                  <w:noWrap w:val="0"/>
                  <w:vAlign w:val="center"/>
                </w:tcPr>
                <w:p w14:paraId="709C02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3ED9BACB">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2</w:t>
                  </w:r>
                </w:p>
              </w:tc>
              <w:tc>
                <w:tcPr>
                  <w:tcW w:w="159" w:type="pct"/>
                  <w:noWrap w:val="0"/>
                  <w:vAlign w:val="center"/>
                </w:tcPr>
                <w:p w14:paraId="5FD0A362">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AEA2CC5">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3C43D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2B9C79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238" w:type="pct"/>
                  <w:noWrap w:val="0"/>
                  <w:vAlign w:val="center"/>
                </w:tcPr>
                <w:p w14:paraId="4E6767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4E289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5E11B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7B7BE7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18FBD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388180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351" w:type="pct"/>
                  <w:noWrap w:val="0"/>
                  <w:vAlign w:val="center"/>
                </w:tcPr>
                <w:p w14:paraId="1A96C0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45B578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7CD1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ED998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CC45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238" w:type="pct"/>
                  <w:noWrap w:val="0"/>
                  <w:vAlign w:val="center"/>
                </w:tcPr>
                <w:p w14:paraId="12ED8E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7F83A796">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7</w:t>
                  </w:r>
                </w:p>
              </w:tc>
              <w:tc>
                <w:tcPr>
                  <w:tcW w:w="159" w:type="pct"/>
                  <w:noWrap w:val="0"/>
                  <w:vAlign w:val="center"/>
                </w:tcPr>
                <w:p w14:paraId="3090435C">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6FB44B15">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006CF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w:t>
                  </w:r>
                  <w:r>
                    <w:rPr>
                      <w:rFonts w:hint="default" w:ascii="Times New Roman" w:hAnsi="Times New Roman" w:eastAsia="宋体" w:cs="Times New Roman"/>
                      <w:i w:val="0"/>
                      <w:iCs w:val="0"/>
                      <w:color w:val="auto"/>
                      <w:kern w:val="0"/>
                      <w:sz w:val="21"/>
                      <w:szCs w:val="21"/>
                      <w:highlight w:val="none"/>
                      <w:u w:val="none"/>
                      <w:lang w:val="en-US" w:eastAsia="zh-CN" w:bidi="ar"/>
                    </w:rPr>
                    <w:t>剂</w:t>
                  </w:r>
                </w:p>
              </w:tc>
              <w:tc>
                <w:tcPr>
                  <w:tcW w:w="261" w:type="pct"/>
                  <w:noWrap w:val="0"/>
                  <w:vAlign w:val="center"/>
                </w:tcPr>
                <w:p w14:paraId="39840E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238" w:type="pct"/>
                  <w:noWrap w:val="0"/>
                  <w:vAlign w:val="center"/>
                </w:tcPr>
                <w:p w14:paraId="4FE41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常温</w:t>
                  </w:r>
                </w:p>
              </w:tc>
              <w:tc>
                <w:tcPr>
                  <w:tcW w:w="392" w:type="pct"/>
                  <w:noWrap w:val="0"/>
                  <w:vAlign w:val="center"/>
                </w:tcPr>
                <w:p w14:paraId="4F40E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303F95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32E4B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3D6B1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266F50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351" w:type="pct"/>
                  <w:noWrap w:val="0"/>
                  <w:vAlign w:val="center"/>
                </w:tcPr>
                <w:p w14:paraId="390A93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253B56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69A2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E8C4E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26C7D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238" w:type="pct"/>
                  <w:noWrap w:val="0"/>
                  <w:vAlign w:val="center"/>
                </w:tcPr>
                <w:p w14:paraId="452BF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01F641E2">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color w:val="auto"/>
                      <w:kern w:val="0"/>
                      <w:sz w:val="21"/>
                      <w:szCs w:val="21"/>
                      <w:highlight w:val="none"/>
                      <w:lang w:val="en-US" w:eastAsia="zh-CN" w:bidi="ar"/>
                    </w:rPr>
                    <w:t>7</w:t>
                  </w:r>
                </w:p>
              </w:tc>
              <w:tc>
                <w:tcPr>
                  <w:tcW w:w="159" w:type="pct"/>
                  <w:noWrap w:val="0"/>
                  <w:vAlign w:val="center"/>
                </w:tcPr>
                <w:p w14:paraId="05590B11">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448C401">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766F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w:t>
                  </w:r>
                  <w:r>
                    <w:rPr>
                      <w:rFonts w:hint="default" w:ascii="Times New Roman" w:hAnsi="Times New Roman" w:eastAsia="宋体" w:cs="Times New Roman"/>
                      <w:i w:val="0"/>
                      <w:iCs w:val="0"/>
                      <w:color w:val="auto"/>
                      <w:kern w:val="0"/>
                      <w:sz w:val="21"/>
                      <w:szCs w:val="21"/>
                      <w:highlight w:val="none"/>
                      <w:u w:val="none"/>
                      <w:lang w:val="en-US" w:eastAsia="zh-CN" w:bidi="ar"/>
                    </w:rPr>
                    <w:t>剂</w:t>
                  </w:r>
                </w:p>
              </w:tc>
              <w:tc>
                <w:tcPr>
                  <w:tcW w:w="261" w:type="pct"/>
                  <w:noWrap w:val="0"/>
                  <w:vAlign w:val="center"/>
                </w:tcPr>
                <w:p w14:paraId="5F26B5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238" w:type="pct"/>
                  <w:noWrap w:val="0"/>
                  <w:vAlign w:val="center"/>
                </w:tcPr>
                <w:p w14:paraId="49FF0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常温</w:t>
                  </w:r>
                </w:p>
              </w:tc>
              <w:tc>
                <w:tcPr>
                  <w:tcW w:w="392" w:type="pct"/>
                  <w:noWrap w:val="0"/>
                  <w:vAlign w:val="center"/>
                </w:tcPr>
                <w:p w14:paraId="6548FC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383E1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38FCC8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2289E6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6E71DD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351" w:type="pct"/>
                  <w:noWrap w:val="0"/>
                  <w:vAlign w:val="center"/>
                </w:tcPr>
                <w:p w14:paraId="381200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521757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67E1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C16C7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AF61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0B15CA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71DD4A3A">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159" w:type="pct"/>
                  <w:noWrap w:val="0"/>
                  <w:vAlign w:val="center"/>
                </w:tcPr>
                <w:p w14:paraId="4DE54437">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7FF71986">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0831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4C0EFE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3E6188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38967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386A4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47B95E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22DFE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3698F2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351" w:type="pct"/>
                  <w:noWrap w:val="0"/>
                  <w:vAlign w:val="center"/>
                </w:tcPr>
                <w:p w14:paraId="1A4D52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7346B6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30D5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D026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69E95F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701CC0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57C4E68E">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159" w:type="pct"/>
                  <w:noWrap w:val="0"/>
                  <w:vAlign w:val="center"/>
                </w:tcPr>
                <w:p w14:paraId="2AEEF84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1CF2F62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695F1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69975E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3A654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154EC4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60150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4598BE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D562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2A1191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351" w:type="pct"/>
                  <w:noWrap w:val="0"/>
                  <w:vAlign w:val="center"/>
                </w:tcPr>
                <w:p w14:paraId="0412C6F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284401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3109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34EDB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0F7FF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60F528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00611FD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1</w:t>
                  </w:r>
                </w:p>
              </w:tc>
              <w:tc>
                <w:tcPr>
                  <w:tcW w:w="159" w:type="pct"/>
                  <w:noWrap w:val="0"/>
                  <w:vAlign w:val="center"/>
                </w:tcPr>
                <w:p w14:paraId="04D3F16C">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0DAA289E">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79CF1D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411313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238" w:type="pct"/>
                  <w:noWrap w:val="0"/>
                  <w:vAlign w:val="center"/>
                </w:tcPr>
                <w:p w14:paraId="51433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73A46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B8C97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73FCCF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592A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4E30C5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19.2</w:t>
                  </w:r>
                </w:p>
              </w:tc>
              <w:tc>
                <w:tcPr>
                  <w:tcW w:w="351" w:type="pct"/>
                  <w:noWrap w:val="0"/>
                  <w:vAlign w:val="center"/>
                </w:tcPr>
                <w:p w14:paraId="564C83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551CAA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657B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 w:type="pct"/>
                  <w:vMerge w:val="continue"/>
                  <w:noWrap w:val="0"/>
                  <w:vAlign w:val="center"/>
                </w:tcPr>
                <w:p w14:paraId="2A67C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42C4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238" w:type="pct"/>
                  <w:noWrap w:val="0"/>
                  <w:vAlign w:val="center"/>
                </w:tcPr>
                <w:p w14:paraId="5D48AA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22DD8B0D">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val="en-US" w:eastAsia="zh-CN" w:bidi="ar"/>
                    </w:rPr>
                    <w:t>.5</w:t>
                  </w:r>
                </w:p>
              </w:tc>
              <w:tc>
                <w:tcPr>
                  <w:tcW w:w="159" w:type="pct"/>
                  <w:noWrap w:val="0"/>
                  <w:vAlign w:val="center"/>
                </w:tcPr>
                <w:p w14:paraId="360C272A">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52445708">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D938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无铬钝化剂</w:t>
                  </w:r>
                </w:p>
              </w:tc>
              <w:tc>
                <w:tcPr>
                  <w:tcW w:w="261" w:type="pct"/>
                  <w:noWrap w:val="0"/>
                  <w:vAlign w:val="center"/>
                </w:tcPr>
                <w:p w14:paraId="44EBA8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5A7523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480E78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439AD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586F88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28358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1A7415C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22.4</w:t>
                  </w:r>
                  <w:r>
                    <w:rPr>
                      <w:rFonts w:hint="eastAsia" w:cs="Times New Roman"/>
                      <w:i w:val="0"/>
                      <w:iCs w:val="0"/>
                      <w:color w:val="auto"/>
                      <w:kern w:val="0"/>
                      <w:sz w:val="21"/>
                      <w:szCs w:val="21"/>
                      <w:highlight w:val="none"/>
                      <w:u w:val="none"/>
                      <w:lang w:val="en-US" w:eastAsia="zh-CN" w:bidi="ar"/>
                    </w:rPr>
                    <w:t>（按危废处置）</w:t>
                  </w:r>
                </w:p>
              </w:tc>
              <w:tc>
                <w:tcPr>
                  <w:tcW w:w="351" w:type="pct"/>
                  <w:noWrap w:val="0"/>
                  <w:vAlign w:val="center"/>
                </w:tcPr>
                <w:p w14:paraId="679291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13F51A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7DEC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6582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54006A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1347E2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25871A9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2</w:t>
                  </w:r>
                </w:p>
              </w:tc>
              <w:tc>
                <w:tcPr>
                  <w:tcW w:w="159" w:type="pct"/>
                  <w:noWrap w:val="0"/>
                  <w:vAlign w:val="center"/>
                </w:tcPr>
                <w:p w14:paraId="3214BA58">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ABBF00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77540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c>
                <w:tcPr>
                  <w:tcW w:w="261" w:type="pct"/>
                  <w:noWrap w:val="0"/>
                  <w:vAlign w:val="center"/>
                </w:tcPr>
                <w:p w14:paraId="54FF44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238" w:type="pct"/>
                  <w:noWrap w:val="0"/>
                  <w:vAlign w:val="center"/>
                </w:tcPr>
                <w:p w14:paraId="5961B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268F4D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F9D20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511FCE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3DE24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769A30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351" w:type="pct"/>
                  <w:noWrap w:val="0"/>
                  <w:vAlign w:val="center"/>
                </w:tcPr>
                <w:p w14:paraId="658C57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7C40BA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1D99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880" w:type="pct"/>
                  <w:gridSpan w:val="13"/>
                  <w:noWrap w:val="0"/>
                  <w:vAlign w:val="center"/>
                </w:tcPr>
                <w:p w14:paraId="6724F7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416" w:type="pct"/>
                  <w:noWrap/>
                  <w:vAlign w:val="center"/>
                </w:tcPr>
                <w:p w14:paraId="743F67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20</w:t>
                  </w:r>
                </w:p>
              </w:tc>
              <w:tc>
                <w:tcPr>
                  <w:tcW w:w="351" w:type="pct"/>
                  <w:noWrap w:val="0"/>
                  <w:vAlign w:val="center"/>
                </w:tcPr>
                <w:p w14:paraId="29C45B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8676</w:t>
                  </w:r>
                </w:p>
              </w:tc>
              <w:tc>
                <w:tcPr>
                  <w:tcW w:w="918" w:type="dxa"/>
                  <w:noWrap w:val="0"/>
                  <w:vAlign w:val="center"/>
                </w:tcPr>
                <w:p w14:paraId="35D866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5205.6 </w:t>
                  </w:r>
                </w:p>
              </w:tc>
            </w:tr>
            <w:tr w14:paraId="4D13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000" w:type="pct"/>
                  <w:gridSpan w:val="16"/>
                  <w:noWrap w:val="0"/>
                  <w:vAlign w:val="center"/>
                </w:tcPr>
                <w:p w14:paraId="33F57E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备注：①整槽更换槽液=槽液量×更换频率（槽液更换不考虑</w:t>
                  </w:r>
                  <w:r>
                    <w:rPr>
                      <w:rFonts w:hint="eastAsia" w:cs="Times New Roman"/>
                      <w:i w:val="0"/>
                      <w:iCs w:val="0"/>
                      <w:color w:val="auto"/>
                      <w:kern w:val="0"/>
                      <w:sz w:val="21"/>
                      <w:szCs w:val="21"/>
                      <w:highlight w:val="none"/>
                      <w:u w:val="none"/>
                      <w:lang w:val="en-US" w:eastAsia="zh-CN" w:bidi="ar"/>
                    </w:rPr>
                    <w:t>损耗</w:t>
                  </w:r>
                  <w:r>
                    <w:rPr>
                      <w:rFonts w:hint="default" w:ascii="Times New Roman" w:hAnsi="Times New Roman" w:eastAsia="宋体" w:cs="Times New Roman"/>
                      <w:i w:val="0"/>
                      <w:iCs w:val="0"/>
                      <w:color w:val="auto"/>
                      <w:kern w:val="0"/>
                      <w:sz w:val="21"/>
                      <w:szCs w:val="21"/>
                      <w:highlight w:val="none"/>
                      <w:u w:val="none"/>
                      <w:lang w:val="en-US" w:eastAsia="zh-CN" w:bidi="ar"/>
                    </w:rPr>
                    <w:t>）；</w:t>
                  </w:r>
                </w:p>
                <w:p w14:paraId="3191A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②预脱脂池、脱脂池整槽更换用水量中含除油剂使用量，无铬钝化池整槽更换用水量中含无铬钝化剂使用量，以上数据统一体现在水平衡图表内容中。</w:t>
                  </w:r>
                </w:p>
              </w:tc>
            </w:tr>
          </w:tbl>
          <w:p w14:paraId="4437FB56">
            <w:pPr>
              <w:pStyle w:val="45"/>
              <w:jc w:val="center"/>
              <w:rPr>
                <w:rFonts w:ascii="黑体" w:hAnsi="黑体" w:eastAsia="黑体"/>
                <w:snapToGrid w:val="0"/>
                <w:color w:val="auto"/>
                <w:sz w:val="36"/>
                <w:szCs w:val="36"/>
                <w:highlight w:val="none"/>
                <w:vertAlign w:val="baseline"/>
              </w:rPr>
            </w:pPr>
          </w:p>
        </w:tc>
      </w:tr>
    </w:tbl>
    <w:p w14:paraId="6E5B8F2B">
      <w:pPr>
        <w:pStyle w:val="45"/>
        <w:jc w:val="center"/>
        <w:rPr>
          <w:rFonts w:ascii="黑体" w:hAnsi="黑体" w:eastAsia="黑体"/>
          <w:snapToGrid w:val="0"/>
          <w:color w:val="auto"/>
          <w:sz w:val="36"/>
          <w:szCs w:val="36"/>
          <w:highlight w:val="none"/>
        </w:rPr>
        <w:sectPr>
          <w:pgSz w:w="16838" w:h="11906" w:orient="landscape"/>
          <w:pgMar w:top="1531" w:right="1644" w:bottom="153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8485"/>
      </w:tblGrid>
      <w:tr w14:paraId="49EB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75" w:type="dxa"/>
            <w:noWrap w:val="0"/>
            <w:vAlign w:val="center"/>
          </w:tcPr>
          <w:p w14:paraId="0AE46452">
            <w:pPr>
              <w:pStyle w:val="45"/>
              <w:adjustRightInd w:val="0"/>
              <w:snapToGrid w:val="0"/>
              <w:spacing w:before="0" w:beforeAutospacing="0" w:after="0" w:afterAutospacing="0"/>
              <w:jc w:val="center"/>
              <w:rPr>
                <w:rFonts w:hint="default" w:ascii="Times New Roman" w:hAnsi="Times New Roman" w:cs="Times New Roman"/>
                <w:color w:val="auto"/>
                <w:szCs w:val="24"/>
                <w:highlight w:val="none"/>
              </w:rPr>
            </w:pPr>
          </w:p>
        </w:tc>
        <w:tc>
          <w:tcPr>
            <w:tcW w:w="8485" w:type="dxa"/>
            <w:noWrap w:val="0"/>
            <w:vAlign w:val="top"/>
          </w:tcPr>
          <w:p w14:paraId="3016EB64">
            <w:pPr>
              <w:pStyle w:val="27"/>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从上表计得</w:t>
            </w:r>
            <w:r>
              <w:rPr>
                <w:rFonts w:hint="eastAsia" w:cs="Times New Roman"/>
                <w:color w:val="auto"/>
                <w:sz w:val="24"/>
                <w:szCs w:val="24"/>
                <w:highlight w:val="none"/>
                <w:lang w:val="en-US" w:eastAsia="zh-CN"/>
              </w:rPr>
              <w:t>2条</w:t>
            </w:r>
            <w:r>
              <w:rPr>
                <w:rFonts w:hint="default" w:cs="Times New Roman"/>
                <w:color w:val="auto"/>
                <w:sz w:val="24"/>
                <w:szCs w:val="24"/>
                <w:highlight w:val="none"/>
                <w:lang w:val="en-US" w:eastAsia="zh-CN"/>
              </w:rPr>
              <w:t>前处理线整槽更换用水和溢流用水为</w:t>
            </w:r>
            <w:r>
              <w:rPr>
                <w:rFonts w:hint="eastAsia" w:cs="Times New Roman"/>
                <w:color w:val="auto"/>
                <w:sz w:val="24"/>
                <w:szCs w:val="24"/>
                <w:highlight w:val="none"/>
                <w:lang w:val="en-US" w:eastAsia="zh-CN"/>
              </w:rPr>
              <w:t>（</w:t>
            </w:r>
            <w:r>
              <w:rPr>
                <w:rFonts w:hint="default" w:cs="Times New Roman"/>
                <w:color w:val="auto"/>
                <w:sz w:val="24"/>
                <w:szCs w:val="24"/>
                <w:highlight w:val="none"/>
                <w:lang w:val="en-US" w:eastAsia="zh-CN"/>
              </w:rPr>
              <w:t>3</w:t>
            </w:r>
            <w:r>
              <w:rPr>
                <w:rFonts w:hint="eastAsia" w:cs="Times New Roman"/>
                <w:color w:val="auto"/>
                <w:sz w:val="24"/>
                <w:szCs w:val="24"/>
                <w:highlight w:val="none"/>
                <w:lang w:val="en-US" w:eastAsia="zh-CN"/>
              </w:rPr>
              <w:t>20</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r>
              <w:rPr>
                <w:rFonts w:hint="eastAsia" w:cs="Times New Roman"/>
                <w:color w:val="auto"/>
                <w:sz w:val="24"/>
                <w:szCs w:val="24"/>
                <w:highlight w:val="none"/>
                <w:lang w:val="en-US" w:eastAsia="zh-CN"/>
              </w:rPr>
              <w:t>+5205.6</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r>
              <w:rPr>
                <w:rFonts w:hint="eastAsia" w:cs="Times New Roman"/>
                <w:color w:val="auto"/>
                <w:sz w:val="24"/>
                <w:szCs w:val="24"/>
                <w:highlight w:val="none"/>
                <w:lang w:val="en-US" w:eastAsia="zh-CN"/>
              </w:rPr>
              <w:t>）×2=11051.2</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p>
          <w:p w14:paraId="0B2EAB3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用水量一览表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5"/>
              <w:gridCol w:w="1391"/>
              <w:gridCol w:w="5310"/>
            </w:tblGrid>
            <w:tr w14:paraId="38B04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214FA46B">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用水情形</w:t>
                  </w:r>
                </w:p>
              </w:tc>
              <w:tc>
                <w:tcPr>
                  <w:tcW w:w="842" w:type="pct"/>
                  <w:noWrap w:val="0"/>
                  <w:vAlign w:val="center"/>
                </w:tcPr>
                <w:p w14:paraId="23CF5F64">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用量m</w:t>
                  </w:r>
                  <w:r>
                    <w:rPr>
                      <w:rFonts w:hint="default" w:ascii="Times New Roman" w:hAnsi="Times New Roman" w:cs="Times New Roman"/>
                      <w:b/>
                      <w:bCs/>
                      <w:color w:val="auto"/>
                      <w:kern w:val="2"/>
                      <w:sz w:val="21"/>
                      <w:szCs w:val="21"/>
                      <w:highlight w:val="none"/>
                      <w:vertAlign w:val="superscript"/>
                    </w:rPr>
                    <w:t>3</w:t>
                  </w:r>
                  <w:r>
                    <w:rPr>
                      <w:rFonts w:hint="default" w:ascii="Times New Roman" w:hAnsi="Times New Roman" w:cs="Times New Roman"/>
                      <w:b/>
                      <w:bCs/>
                      <w:color w:val="auto"/>
                      <w:kern w:val="2"/>
                      <w:sz w:val="21"/>
                      <w:szCs w:val="21"/>
                      <w:highlight w:val="none"/>
                    </w:rPr>
                    <w:t>/a</w:t>
                  </w:r>
                </w:p>
              </w:tc>
              <w:tc>
                <w:tcPr>
                  <w:tcW w:w="3215" w:type="pct"/>
                  <w:noWrap w:val="0"/>
                  <w:vAlign w:val="center"/>
                </w:tcPr>
                <w:p w14:paraId="21D95083">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说明</w:t>
                  </w:r>
                </w:p>
              </w:tc>
            </w:tr>
            <w:tr w14:paraId="25F9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502AFAE8">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cs="Times New Roman"/>
                      <w:color w:val="auto"/>
                      <w:kern w:val="2"/>
                      <w:sz w:val="21"/>
                      <w:szCs w:val="21"/>
                      <w:highlight w:val="none"/>
                    </w:rPr>
                    <w:t>生活用水</w:t>
                  </w:r>
                </w:p>
              </w:tc>
              <w:tc>
                <w:tcPr>
                  <w:tcW w:w="842" w:type="pct"/>
                  <w:noWrap w:val="0"/>
                  <w:vAlign w:val="center"/>
                </w:tcPr>
                <w:p w14:paraId="60496CEE">
                  <w:pPr>
                    <w:keepNext w:val="0"/>
                    <w:keepLines w:val="0"/>
                    <w:widowControl/>
                    <w:suppressLineNumbers w:val="0"/>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2300</w:t>
                  </w:r>
                </w:p>
              </w:tc>
              <w:tc>
                <w:tcPr>
                  <w:tcW w:w="3215" w:type="pct"/>
                  <w:noWrap w:val="0"/>
                  <w:vAlign w:val="center"/>
                </w:tcPr>
                <w:p w14:paraId="6AC1A868">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共160</w:t>
                  </w:r>
                  <w:r>
                    <w:rPr>
                      <w:rFonts w:hint="default" w:ascii="Times New Roman" w:hAnsi="Times New Roman" w:cs="Times New Roman"/>
                      <w:color w:val="auto"/>
                      <w:sz w:val="21"/>
                      <w:szCs w:val="21"/>
                      <w:highlight w:val="none"/>
                    </w:rPr>
                    <w:t>人，</w:t>
                  </w:r>
                  <w:r>
                    <w:rPr>
                      <w:rFonts w:hint="eastAsia" w:cs="Times New Roman"/>
                      <w:color w:val="auto"/>
                      <w:sz w:val="21"/>
                      <w:szCs w:val="21"/>
                      <w:highlight w:val="none"/>
                      <w:lang w:val="en-US" w:eastAsia="zh-CN"/>
                    </w:rPr>
                    <w:t>其中140人住宿</w:t>
                  </w:r>
                </w:p>
              </w:tc>
            </w:tr>
            <w:tr w14:paraId="5B099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47E46CB7">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前处理</w:t>
                  </w:r>
                  <w:r>
                    <w:rPr>
                      <w:rFonts w:hint="default" w:ascii="Times New Roman" w:hAnsi="Times New Roman" w:cs="Times New Roman"/>
                      <w:color w:val="auto"/>
                      <w:sz w:val="21"/>
                      <w:szCs w:val="21"/>
                      <w:highlight w:val="none"/>
                    </w:rPr>
                    <w:t>用水</w:t>
                  </w:r>
                </w:p>
              </w:tc>
              <w:tc>
                <w:tcPr>
                  <w:tcW w:w="842" w:type="pct"/>
                  <w:noWrap w:val="0"/>
                  <w:vAlign w:val="center"/>
                </w:tcPr>
                <w:p w14:paraId="1A711505">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19884.63 </w:t>
                  </w:r>
                </w:p>
              </w:tc>
              <w:tc>
                <w:tcPr>
                  <w:tcW w:w="3215" w:type="pct"/>
                  <w:noWrap w:val="0"/>
                  <w:vAlign w:val="center"/>
                </w:tcPr>
                <w:p w14:paraId="4821FA93">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前处理用水（新鲜用水）=</w:t>
                  </w:r>
                  <w:r>
                    <w:rPr>
                      <w:rFonts w:hint="default" w:ascii="Times New Roman" w:hAnsi="Times New Roman" w:cs="Times New Roman"/>
                      <w:color w:val="auto"/>
                      <w:sz w:val="21"/>
                      <w:szCs w:val="21"/>
                      <w:highlight w:val="none"/>
                      <w:lang w:val="en-US" w:eastAsia="zh-CN"/>
                    </w:rPr>
                    <w:t>前处理线</w:t>
                  </w:r>
                  <w:r>
                    <w:rPr>
                      <w:rFonts w:hint="eastAsia" w:cs="Times New Roman"/>
                      <w:color w:val="auto"/>
                      <w:sz w:val="21"/>
                      <w:szCs w:val="21"/>
                      <w:highlight w:val="none"/>
                      <w:lang w:val="en-US" w:eastAsia="zh-CN"/>
                    </w:rPr>
                    <w:t>总</w:t>
                  </w:r>
                  <w:r>
                    <w:rPr>
                      <w:rFonts w:hint="default" w:ascii="Times New Roman" w:hAnsi="Times New Roman" w:cs="Times New Roman"/>
                      <w:color w:val="auto"/>
                      <w:sz w:val="21"/>
                      <w:szCs w:val="21"/>
                      <w:highlight w:val="none"/>
                      <w:lang w:val="en-US" w:eastAsia="zh-CN"/>
                    </w:rPr>
                    <w:t>用水</w:t>
                  </w:r>
                  <w:r>
                    <w:rPr>
                      <w:rFonts w:hint="eastAsia" w:cs="Times New Roman"/>
                      <w:color w:val="auto"/>
                      <w:sz w:val="21"/>
                      <w:szCs w:val="21"/>
                      <w:highlight w:val="none"/>
                      <w:lang w:val="en-US" w:eastAsia="zh-CN"/>
                    </w:rPr>
                    <w:t>量-（除油剂年用量+无铬钝化剂年用量）=19916.128-（27.746+3.750）=19884.63</w:t>
                  </w:r>
                </w:p>
              </w:tc>
            </w:tr>
            <w:tr w14:paraId="302A1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2B10052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水帘柜用水</w:t>
                  </w:r>
                </w:p>
              </w:tc>
              <w:tc>
                <w:tcPr>
                  <w:tcW w:w="842" w:type="pct"/>
                  <w:noWrap w:val="0"/>
                  <w:vAlign w:val="center"/>
                </w:tcPr>
                <w:p w14:paraId="4360B957">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5434.704</w:t>
                  </w:r>
                </w:p>
              </w:tc>
              <w:tc>
                <w:tcPr>
                  <w:tcW w:w="3215" w:type="pct"/>
                  <w:noWrap w:val="0"/>
                  <w:vAlign w:val="center"/>
                </w:tcPr>
                <w:p w14:paraId="21AF39C0">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3ECAA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1" w:type="pct"/>
                  <w:noWrap w:val="0"/>
                  <w:vAlign w:val="center"/>
                </w:tcPr>
                <w:p w14:paraId="29CDCEC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喷淋塔用水</w:t>
                  </w:r>
                </w:p>
              </w:tc>
              <w:tc>
                <w:tcPr>
                  <w:tcW w:w="842" w:type="pct"/>
                  <w:noWrap w:val="0"/>
                  <w:vAlign w:val="center"/>
                </w:tcPr>
                <w:p w14:paraId="53A82A35">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1542.12</w:t>
                  </w:r>
                </w:p>
              </w:tc>
              <w:tc>
                <w:tcPr>
                  <w:tcW w:w="3215" w:type="pct"/>
                  <w:noWrap w:val="0"/>
                  <w:vAlign w:val="center"/>
                </w:tcPr>
                <w:p w14:paraId="42D0C206">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01965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300A31D8">
                  <w:pPr>
                    <w:keepNext w:val="0"/>
                    <w:keepLines w:val="0"/>
                    <w:widowControl/>
                    <w:suppressLineNumbers w:val="0"/>
                    <w:jc w:val="left"/>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生产用水合计</w:t>
                  </w:r>
                </w:p>
              </w:tc>
              <w:tc>
                <w:tcPr>
                  <w:tcW w:w="842" w:type="pct"/>
                  <w:noWrap w:val="0"/>
                  <w:vAlign w:val="center"/>
                </w:tcPr>
                <w:p w14:paraId="1966988D">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26861.4562</w:t>
                  </w:r>
                </w:p>
              </w:tc>
              <w:tc>
                <w:tcPr>
                  <w:tcW w:w="3215" w:type="pct"/>
                  <w:noWrap w:val="0"/>
                  <w:vAlign w:val="center"/>
                </w:tcPr>
                <w:p w14:paraId="1F2F7557">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u w:val="none"/>
                      <w:lang w:val="en-US" w:eastAsia="zh-CN" w:bidi="ar"/>
                    </w:rPr>
                    <w:t>/</w:t>
                  </w:r>
                </w:p>
              </w:tc>
            </w:tr>
            <w:tr w14:paraId="625F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10A9A7A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总用水</w:t>
                  </w:r>
                </w:p>
              </w:tc>
              <w:tc>
                <w:tcPr>
                  <w:tcW w:w="842" w:type="pct"/>
                  <w:noWrap w:val="0"/>
                  <w:vAlign w:val="center"/>
                </w:tcPr>
                <w:p w14:paraId="5F54FB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29161.4562</w:t>
                  </w:r>
                </w:p>
              </w:tc>
              <w:tc>
                <w:tcPr>
                  <w:tcW w:w="3215" w:type="pct"/>
                  <w:noWrap w:val="0"/>
                  <w:vAlign w:val="center"/>
                </w:tcPr>
                <w:p w14:paraId="6B82A54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8E701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2BD2817F">
            <w:pPr>
              <w:pStyle w:val="21"/>
              <w:widowControl/>
              <w:numPr>
                <w:ilvl w:val="4"/>
                <w:numId w:val="0"/>
              </w:numPr>
              <w:suppressLineNumbers w:val="0"/>
              <w:spacing w:before="0" w:beforeAutospacing="0" w:after="0" w:afterAutospacing="0" w:line="360" w:lineRule="auto"/>
              <w:ind w:left="-960" w:right="0" w:firstLine="144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（3）排水</w:t>
            </w:r>
          </w:p>
          <w:p w14:paraId="74A4F4D5">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本项目实行雨污分流制的排水体制。</w:t>
            </w:r>
          </w:p>
          <w:p w14:paraId="5E59BF20">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雨水：雨水经厂区雨水管网收集后，排入市政雨水管网；</w:t>
            </w:r>
          </w:p>
          <w:p w14:paraId="76A3EE66">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生活污水：本项目生活污水排放量为</w:t>
            </w:r>
            <w:r>
              <w:rPr>
                <w:rFonts w:hint="eastAsia" w:cs="Times New Roman"/>
                <w:color w:val="auto"/>
                <w:sz w:val="24"/>
                <w:szCs w:val="24"/>
                <w:highlight w:val="none"/>
                <w:lang w:val="en-US" w:eastAsia="zh-CN"/>
              </w:rPr>
              <w:t>2070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/a，经三级化粪池</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预处理后，排入园区污水处理厂进一步处理，达标后排放至武江；</w:t>
            </w:r>
          </w:p>
          <w:p w14:paraId="1B9A1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生产废水：</w:t>
            </w:r>
            <w:r>
              <w:rPr>
                <w:rFonts w:hint="eastAsia" w:ascii="Times New Roman" w:hAnsi="Times New Roman" w:cs="Times New Roman"/>
                <w:color w:val="auto"/>
                <w:sz w:val="24"/>
                <w:szCs w:val="24"/>
                <w:highlight w:val="none"/>
                <w:lang w:val="en-US" w:eastAsia="zh-CN"/>
              </w:rPr>
              <w:t>包括水帘柜废水、喷淋塔废水和前处理废水。</w:t>
            </w:r>
          </w:p>
          <w:p w14:paraId="2C537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auto"/>
                <w:sz w:val="24"/>
                <w:szCs w:val="24"/>
              </w:rPr>
            </w:pPr>
            <w:r>
              <w:rPr>
                <w:rFonts w:hint="eastAsia"/>
                <w:b/>
                <w:bCs/>
                <w:color w:val="auto"/>
                <w:sz w:val="24"/>
                <w:szCs w:val="24"/>
                <w:lang w:val="en-US" w:eastAsia="zh-CN"/>
              </w:rPr>
              <w:t>A.水帘柜废水：</w:t>
            </w:r>
            <w:r>
              <w:rPr>
                <w:color w:val="auto"/>
                <w:sz w:val="24"/>
                <w:szCs w:val="24"/>
              </w:rPr>
              <w:t>喷漆房内设有水帘</w:t>
            </w:r>
            <w:r>
              <w:rPr>
                <w:rFonts w:hint="eastAsia"/>
                <w:color w:val="auto"/>
                <w:sz w:val="24"/>
                <w:szCs w:val="24"/>
                <w:lang w:val="en-US" w:eastAsia="zh-CN"/>
              </w:rPr>
              <w:t>柜</w:t>
            </w:r>
            <w:r>
              <w:rPr>
                <w:color w:val="auto"/>
                <w:sz w:val="24"/>
                <w:szCs w:val="24"/>
              </w:rPr>
              <w:t>的循环水池，总有效容积为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，每</w:t>
            </w:r>
            <w:r>
              <w:rPr>
                <w:rFonts w:hint="eastAsia"/>
                <w:color w:val="auto"/>
                <w:sz w:val="24"/>
                <w:szCs w:val="24"/>
                <w:lang w:eastAsia="zh-CN"/>
              </w:rPr>
              <w:t>月</w:t>
            </w:r>
            <w:r>
              <w:rPr>
                <w:color w:val="auto"/>
                <w:sz w:val="24"/>
                <w:szCs w:val="24"/>
              </w:rPr>
              <w:t>更换一次，对应更换补充用水量为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w:t>
            </w:r>
            <w:r>
              <w:rPr>
                <w:rFonts w:hint="eastAsia"/>
                <w:color w:val="auto"/>
                <w:sz w:val="24"/>
                <w:szCs w:val="24"/>
                <w:lang w:val="en-US" w:eastAsia="zh-CN"/>
              </w:rPr>
              <w:t>12</w:t>
            </w:r>
            <w:r>
              <w:rPr>
                <w:color w:val="auto"/>
                <w:sz w:val="24"/>
                <w:szCs w:val="24"/>
              </w:rPr>
              <w:t>次/年=</w:t>
            </w:r>
            <w:r>
              <w:rPr>
                <w:rFonts w:hint="eastAsia"/>
                <w:color w:val="auto"/>
                <w:sz w:val="24"/>
                <w:szCs w:val="24"/>
                <w:lang w:val="en-US" w:eastAsia="zh-CN"/>
              </w:rPr>
              <w:t>194.4</w:t>
            </w:r>
            <w:r>
              <w:rPr>
                <w:color w:val="auto"/>
                <w:sz w:val="24"/>
                <w:szCs w:val="24"/>
              </w:rPr>
              <w:t>m</w:t>
            </w:r>
            <w:r>
              <w:rPr>
                <w:color w:val="auto"/>
                <w:sz w:val="24"/>
                <w:szCs w:val="24"/>
                <w:vertAlign w:val="superscript"/>
              </w:rPr>
              <w:t>3</w:t>
            </w:r>
            <w:r>
              <w:rPr>
                <w:color w:val="auto"/>
                <w:sz w:val="24"/>
                <w:szCs w:val="24"/>
              </w:rPr>
              <w:t>/a，更换后的废水</w:t>
            </w:r>
            <w:r>
              <w:rPr>
                <w:rFonts w:hint="eastAsia"/>
                <w:color w:val="auto"/>
                <w:sz w:val="24"/>
                <w:szCs w:val="24"/>
                <w:lang w:val="en-US" w:eastAsia="zh-CN"/>
              </w:rPr>
              <w:t>交由有危险废物处置资质单位处置</w:t>
            </w:r>
            <w:r>
              <w:rPr>
                <w:color w:val="auto"/>
                <w:sz w:val="24"/>
                <w:szCs w:val="24"/>
              </w:rPr>
              <w:t>；</w:t>
            </w:r>
          </w:p>
          <w:p w14:paraId="3A66B74D">
            <w:pPr>
              <w:keepNext w:val="0"/>
              <w:keepLines w:val="0"/>
              <w:suppressLineNumbers w:val="0"/>
              <w:adjustRightInd w:val="0"/>
              <w:spacing w:before="0" w:beforeAutospacing="0" w:after="0" w:afterAutospacing="0" w:line="360" w:lineRule="auto"/>
              <w:ind w:left="0" w:right="0" w:firstLine="482" w:firstLineChars="200"/>
              <w:rPr>
                <w:color w:val="auto"/>
                <w:sz w:val="24"/>
                <w:szCs w:val="24"/>
                <w:highlight w:val="none"/>
              </w:rPr>
            </w:pPr>
            <w:r>
              <w:rPr>
                <w:rFonts w:hint="eastAsia" w:ascii="Times New Roman" w:hAnsi="Times New Roman" w:cs="Times New Roman"/>
                <w:b/>
                <w:bCs/>
                <w:color w:val="auto"/>
                <w:sz w:val="24"/>
                <w:szCs w:val="24"/>
                <w:highlight w:val="none"/>
                <w:lang w:val="en-US" w:eastAsia="zh-CN"/>
              </w:rPr>
              <w:t>B.喷淋塔废水：</w:t>
            </w:r>
            <w:r>
              <w:rPr>
                <w:rFonts w:hint="eastAsia" w:ascii="Times New Roman" w:hAnsi="Times New Roman" w:cs="Times New Roman"/>
                <w:color w:val="auto"/>
                <w:sz w:val="24"/>
                <w:szCs w:val="24"/>
                <w:highlight w:val="none"/>
                <w:lang w:val="en-US" w:eastAsia="zh-CN"/>
              </w:rPr>
              <w:t>本项目废气治理设施设置有</w:t>
            </w:r>
            <w:r>
              <w:rPr>
                <w:rFonts w:hint="eastAsia"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台</w:t>
            </w:r>
            <w:r>
              <w:rPr>
                <w:rFonts w:ascii="Times New Roman" w:hAnsi="Times New Roman" w:cs="Times New Roman"/>
                <w:color w:val="auto"/>
                <w:sz w:val="24"/>
                <w:szCs w:val="24"/>
                <w:highlight w:val="none"/>
              </w:rPr>
              <w:t>喷淋塔</w:t>
            </w:r>
            <w:r>
              <w:rPr>
                <w:rFonts w:hint="eastAsia" w:ascii="Times New Roman" w:hAnsi="Times New Roman" w:cs="Times New Roman"/>
                <w:color w:val="auto"/>
                <w:sz w:val="24"/>
                <w:szCs w:val="24"/>
                <w:highlight w:val="none"/>
                <w:lang w:eastAsia="zh-CN"/>
              </w:rPr>
              <w:t>，</w:t>
            </w:r>
            <w:r>
              <w:rPr>
                <w:color w:val="auto"/>
                <w:sz w:val="24"/>
                <w:szCs w:val="24"/>
                <w:highlight w:val="none"/>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auto"/>
                <w:sz w:val="24"/>
                <w:szCs w:val="24"/>
                <w:highlight w:val="none"/>
                <w:lang w:val="en-US" w:eastAsia="zh-CN"/>
              </w:rPr>
              <w:t>1台×</w:t>
            </w:r>
            <w:r>
              <w:rPr>
                <w:rFonts w:ascii="Times New Roman" w:hAnsi="Times New Roman" w:cs="Times New Roman"/>
                <w:color w:val="auto"/>
                <w:sz w:val="24"/>
                <w:szCs w:val="24"/>
                <w:highlight w:val="none"/>
              </w:rPr>
              <w:t>0.7t×4</w:t>
            </w:r>
            <w:r>
              <w:rPr>
                <w:rFonts w:hint="eastAsia" w:ascii="Times New Roman" w:hAnsi="Times New Roman" w:cs="Times New Roman"/>
                <w:color w:val="auto"/>
                <w:sz w:val="24"/>
                <w:szCs w:val="24"/>
                <w:highlight w:val="none"/>
                <w:lang w:val="en-US" w:eastAsia="zh-CN"/>
              </w:rPr>
              <w:t>8次/年</w:t>
            </w:r>
            <w:r>
              <w:rPr>
                <w:rFonts w:hint="eastAsia" w:cs="Times New Roman"/>
                <w:color w:val="auto"/>
                <w:sz w:val="24"/>
                <w:szCs w:val="24"/>
                <w:highlight w:val="none"/>
                <w:lang w:val="en-US" w:eastAsia="zh-CN"/>
              </w:rPr>
              <w:t>×2</w:t>
            </w:r>
            <w:r>
              <w:rPr>
                <w:rFonts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67.2</w:t>
            </w:r>
            <w:r>
              <w:rPr>
                <w:color w:val="auto"/>
                <w:sz w:val="24"/>
                <w:szCs w:val="24"/>
              </w:rPr>
              <w:t>m</w:t>
            </w:r>
            <w:r>
              <w:rPr>
                <w:color w:val="auto"/>
                <w:sz w:val="24"/>
                <w:szCs w:val="24"/>
                <w:vertAlign w:val="superscript"/>
              </w:rPr>
              <w:t>3</w:t>
            </w:r>
            <w:r>
              <w:rPr>
                <w:color w:val="auto"/>
                <w:sz w:val="24"/>
                <w:szCs w:val="24"/>
              </w:rPr>
              <w:t>/a</w:t>
            </w:r>
            <w:r>
              <w:rPr>
                <w:color w:val="auto"/>
                <w:sz w:val="24"/>
                <w:szCs w:val="24"/>
                <w:highlight w:val="none"/>
              </w:rPr>
              <w:t>，更换的废水</w:t>
            </w:r>
            <w:r>
              <w:rPr>
                <w:rFonts w:hint="eastAsia"/>
                <w:color w:val="auto"/>
                <w:sz w:val="24"/>
                <w:szCs w:val="24"/>
                <w:lang w:val="en-US" w:eastAsia="zh-CN"/>
              </w:rPr>
              <w:t>交由有危险废物处置资质单位处置</w:t>
            </w:r>
            <w:r>
              <w:rPr>
                <w:color w:val="auto"/>
                <w:sz w:val="24"/>
                <w:szCs w:val="24"/>
                <w:highlight w:val="none"/>
              </w:rPr>
              <w:t>。</w:t>
            </w:r>
          </w:p>
          <w:p w14:paraId="49CBB412">
            <w:pPr>
              <w:keepNext w:val="0"/>
              <w:keepLines w:val="0"/>
              <w:suppressLineNumbers w:val="0"/>
              <w:adjustRightInd w:val="0"/>
              <w:spacing w:before="0" w:beforeAutospacing="0" w:after="0" w:afterAutospacing="0" w:line="360" w:lineRule="auto"/>
              <w:ind w:left="0" w:right="0" w:firstLine="482" w:firstLineChars="200"/>
              <w:rPr>
                <w:rFonts w:hint="default" w:ascii="Times New Roman" w:hAnsi="Times New Roman" w:cs="Times New Roman"/>
                <w:color w:val="auto"/>
                <w:sz w:val="24"/>
                <w:szCs w:val="24"/>
                <w:highlight w:val="none"/>
              </w:rPr>
            </w:pPr>
            <w:r>
              <w:rPr>
                <w:rFonts w:hint="eastAsia"/>
                <w:b/>
                <w:bCs/>
                <w:color w:val="auto"/>
                <w:sz w:val="24"/>
                <w:szCs w:val="24"/>
                <w:highlight w:val="none"/>
                <w:lang w:val="en-US" w:eastAsia="zh-CN"/>
              </w:rPr>
              <w:t>C.前处理废水：</w:t>
            </w:r>
            <w:r>
              <w:rPr>
                <w:rFonts w:hint="eastAsia"/>
                <w:color w:val="auto"/>
                <w:sz w:val="24"/>
                <w:szCs w:val="24"/>
                <w:highlight w:val="none"/>
                <w:lang w:val="en-US" w:eastAsia="zh-CN"/>
              </w:rPr>
              <w:t>由前文计算可知，</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w:t>
            </w:r>
            <w:r>
              <w:rPr>
                <w:rFonts w:hint="eastAsia"/>
                <w:color w:val="auto"/>
                <w:sz w:val="24"/>
                <w:szCs w:val="24"/>
                <w:highlight w:val="none"/>
                <w:lang w:val="en-US" w:eastAsia="zh-CN"/>
              </w:rPr>
              <w:t>前处理废水</w:t>
            </w:r>
            <w:r>
              <w:rPr>
                <w:rFonts w:hint="default" w:ascii="Times New Roman" w:hAnsi="Times New Roman" w:cs="Times New Roman"/>
                <w:color w:val="auto"/>
                <w:sz w:val="24"/>
                <w:szCs w:val="24"/>
                <w:highlight w:val="none"/>
              </w:rPr>
              <w:t>排放量</w:t>
            </w:r>
            <w:r>
              <w:rPr>
                <w:rFonts w:hint="eastAsia" w:ascii="Times New Roman" w:hAnsi="Times New Roman" w:cs="Times New Roman"/>
                <w:color w:val="auto"/>
                <w:sz w:val="24"/>
                <w:szCs w:val="24"/>
                <w:highlight w:val="none"/>
                <w:lang w:val="en-US" w:eastAsia="zh-CN"/>
              </w:rPr>
              <w:t>合计</w:t>
            </w:r>
            <w:r>
              <w:rPr>
                <w:rFonts w:hint="default" w:ascii="Times New Roman" w:hAnsi="Times New Roman" w:cs="Times New Roman"/>
                <w:color w:val="auto"/>
                <w:sz w:val="24"/>
                <w:szCs w:val="24"/>
                <w:highlight w:val="none"/>
              </w:rPr>
              <w:t>为</w:t>
            </w:r>
            <w:r>
              <w:rPr>
                <w:rFonts w:hint="eastAsia" w:cs="Times New Roman"/>
                <w:color w:val="auto"/>
                <w:sz w:val="24"/>
                <w:szCs w:val="24"/>
                <w:highlight w:val="none"/>
                <w:lang w:val="en-US" w:eastAsia="zh-CN"/>
              </w:rPr>
              <w:t>10010.08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/a，折算为</w:t>
            </w:r>
            <w:r>
              <w:rPr>
                <w:rFonts w:hint="eastAsia" w:cs="Times New Roman"/>
                <w:color w:val="auto"/>
                <w:sz w:val="24"/>
                <w:szCs w:val="24"/>
                <w:highlight w:val="none"/>
                <w:lang w:val="en-US" w:eastAsia="zh-CN"/>
              </w:rPr>
              <w:t>41.54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/d。经自建污水处理站（工艺为“</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”）处理后，排入园区污水处理厂进一步处理，处理达标后排放至武江。</w:t>
            </w:r>
          </w:p>
          <w:p w14:paraId="2999C42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排水量一览表</w:t>
            </w:r>
          </w:p>
          <w:tbl>
            <w:tblPr>
              <w:tblStyle w:val="4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93"/>
              <w:gridCol w:w="1467"/>
              <w:gridCol w:w="1127"/>
              <w:gridCol w:w="4072"/>
            </w:tblGrid>
            <w:tr w14:paraId="02C08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964" w:type="pct"/>
                  <w:noWrap w:val="0"/>
                  <w:vAlign w:val="center"/>
                </w:tcPr>
                <w:p w14:paraId="5101E15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排水情形</w:t>
                  </w:r>
                </w:p>
              </w:tc>
              <w:tc>
                <w:tcPr>
                  <w:tcW w:w="888" w:type="pct"/>
                  <w:noWrap w:val="0"/>
                  <w:vAlign w:val="center"/>
                </w:tcPr>
                <w:p w14:paraId="6CBE9D8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排水定额</w:t>
                  </w:r>
                </w:p>
              </w:tc>
              <w:tc>
                <w:tcPr>
                  <w:tcW w:w="682" w:type="pct"/>
                  <w:noWrap w:val="0"/>
                  <w:vAlign w:val="center"/>
                </w:tcPr>
                <w:p w14:paraId="6F84FE7A">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排水量t/a</w:t>
                  </w:r>
                </w:p>
              </w:tc>
              <w:tc>
                <w:tcPr>
                  <w:tcW w:w="2464" w:type="pct"/>
                  <w:noWrap w:val="0"/>
                  <w:vAlign w:val="center"/>
                </w:tcPr>
                <w:p w14:paraId="23F2FC3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说明</w:t>
                  </w:r>
                </w:p>
              </w:tc>
            </w:tr>
            <w:tr w14:paraId="3E5E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58AF625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888" w:type="pct"/>
                  <w:noWrap w:val="0"/>
                  <w:vAlign w:val="center"/>
                </w:tcPr>
                <w:p w14:paraId="7882A92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按生活用水量的90%</w:t>
                  </w:r>
                </w:p>
              </w:tc>
              <w:tc>
                <w:tcPr>
                  <w:tcW w:w="1161" w:type="dxa"/>
                  <w:noWrap w:val="0"/>
                  <w:vAlign w:val="center"/>
                </w:tcPr>
                <w:p w14:paraId="286832C5">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2070</w:t>
                  </w:r>
                </w:p>
              </w:tc>
              <w:tc>
                <w:tcPr>
                  <w:tcW w:w="2464" w:type="pct"/>
                  <w:noWrap w:val="0"/>
                  <w:vAlign w:val="center"/>
                </w:tcPr>
                <w:p w14:paraId="108AE515">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三级化粪池、隔油隔渣池处理</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园区污水处理厂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武江</w:t>
                  </w:r>
                </w:p>
              </w:tc>
            </w:tr>
            <w:tr w14:paraId="719BC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7195762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前处理</w:t>
                  </w:r>
                  <w:r>
                    <w:rPr>
                      <w:rFonts w:hint="default" w:ascii="Times New Roman" w:hAnsi="Times New Roman" w:cs="Times New Roman"/>
                      <w:color w:val="auto"/>
                      <w:sz w:val="21"/>
                      <w:szCs w:val="21"/>
                      <w:highlight w:val="none"/>
                    </w:rPr>
                    <w:t>废水</w:t>
                  </w:r>
                </w:p>
              </w:tc>
              <w:tc>
                <w:tcPr>
                  <w:tcW w:w="888" w:type="pct"/>
                  <w:noWrap w:val="0"/>
                  <w:vAlign w:val="center"/>
                </w:tcPr>
                <w:p w14:paraId="6D81017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1" w:type="dxa"/>
                  <w:noWrap w:val="0"/>
                  <w:vAlign w:val="center"/>
                </w:tcPr>
                <w:p w14:paraId="6FB38B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2464" w:type="pct"/>
                  <w:noWrap w:val="0"/>
                  <w:vAlign w:val="center"/>
                </w:tcPr>
                <w:p w14:paraId="7CFB4DAD">
                  <w:pPr>
                    <w:keepNext w:val="0"/>
                    <w:keepLines w:val="0"/>
                    <w:widowControl/>
                    <w:suppressLineNumbers w:val="0"/>
                    <w:jc w:val="left"/>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自建污水处理站预处理</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园区污水处理厂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武江</w:t>
                  </w:r>
                </w:p>
              </w:tc>
            </w:tr>
            <w:tr w14:paraId="68411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603400FE">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水帘柜废水</w:t>
                  </w:r>
                </w:p>
              </w:tc>
              <w:tc>
                <w:tcPr>
                  <w:tcW w:w="888" w:type="pct"/>
                  <w:noWrap w:val="0"/>
                  <w:vAlign w:val="center"/>
                </w:tcPr>
                <w:p w14:paraId="2021AD37">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1C632E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194.4</w:t>
                  </w:r>
                </w:p>
              </w:tc>
              <w:tc>
                <w:tcPr>
                  <w:tcW w:w="2464" w:type="pct"/>
                  <w:vMerge w:val="restart"/>
                  <w:noWrap w:val="0"/>
                  <w:vAlign w:val="center"/>
                </w:tcPr>
                <w:p w14:paraId="2BEACB04">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交由有危险废物处置资质单位处置</w:t>
                  </w:r>
                </w:p>
              </w:tc>
            </w:tr>
            <w:tr w14:paraId="44CE5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4" w:type="pct"/>
                  <w:noWrap w:val="0"/>
                  <w:vAlign w:val="center"/>
                </w:tcPr>
                <w:p w14:paraId="41E58C6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喷淋塔废水</w:t>
                  </w:r>
                </w:p>
              </w:tc>
              <w:tc>
                <w:tcPr>
                  <w:tcW w:w="888" w:type="pct"/>
                  <w:noWrap w:val="0"/>
                  <w:vAlign w:val="center"/>
                </w:tcPr>
                <w:p w14:paraId="62E9C19F">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2367DA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67.2</w:t>
                  </w:r>
                </w:p>
              </w:tc>
              <w:tc>
                <w:tcPr>
                  <w:tcW w:w="2464" w:type="pct"/>
                  <w:vMerge w:val="continue"/>
                  <w:noWrap w:val="0"/>
                  <w:vAlign w:val="center"/>
                </w:tcPr>
                <w:p w14:paraId="22A6BE62">
                  <w:pPr>
                    <w:jc w:val="center"/>
                    <w:rPr>
                      <w:rFonts w:hint="default" w:ascii="Times New Roman" w:hAnsi="Times New Roman" w:cs="Times New Roman"/>
                      <w:bCs/>
                      <w:color w:val="auto"/>
                      <w:sz w:val="21"/>
                      <w:szCs w:val="21"/>
                      <w:highlight w:val="none"/>
                    </w:rPr>
                  </w:pPr>
                </w:p>
              </w:tc>
            </w:tr>
            <w:tr w14:paraId="6C96B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964" w:type="pct"/>
                  <w:noWrap w:val="0"/>
                  <w:vAlign w:val="center"/>
                </w:tcPr>
                <w:p w14:paraId="11B4D10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cs="宋体"/>
                      <w:i w:val="0"/>
                      <w:iCs w:val="0"/>
                      <w:color w:val="auto"/>
                      <w:kern w:val="0"/>
                      <w:sz w:val="21"/>
                      <w:szCs w:val="21"/>
                      <w:u w:val="none"/>
                      <w:lang w:val="en-US" w:eastAsia="zh-CN" w:bidi="ar"/>
                    </w:rPr>
                    <w:t>外排</w:t>
                  </w:r>
                  <w:r>
                    <w:rPr>
                      <w:rFonts w:hint="eastAsia" w:ascii="宋体" w:hAnsi="宋体" w:eastAsia="宋体" w:cs="宋体"/>
                      <w:i w:val="0"/>
                      <w:iCs w:val="0"/>
                      <w:color w:val="auto"/>
                      <w:kern w:val="0"/>
                      <w:sz w:val="21"/>
                      <w:szCs w:val="21"/>
                      <w:u w:val="none"/>
                      <w:lang w:val="en-US" w:eastAsia="zh-CN" w:bidi="ar"/>
                    </w:rPr>
                    <w:t>生产废水合计</w:t>
                  </w:r>
                </w:p>
              </w:tc>
              <w:tc>
                <w:tcPr>
                  <w:tcW w:w="888" w:type="pct"/>
                  <w:noWrap w:val="0"/>
                  <w:vAlign w:val="center"/>
                </w:tcPr>
                <w:p w14:paraId="1828F1BD">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4B348F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2464" w:type="pct"/>
                  <w:noWrap w:val="0"/>
                  <w:vAlign w:val="center"/>
                </w:tcPr>
                <w:p w14:paraId="0D2E6B77">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60FCD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30C2BFD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总排水</w:t>
                  </w:r>
                </w:p>
              </w:tc>
              <w:tc>
                <w:tcPr>
                  <w:tcW w:w="888" w:type="pct"/>
                  <w:noWrap w:val="0"/>
                  <w:vAlign w:val="center"/>
                </w:tcPr>
                <w:p w14:paraId="208092E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161" w:type="dxa"/>
                  <w:noWrap w:val="0"/>
                  <w:vAlign w:val="center"/>
                </w:tcPr>
                <w:p w14:paraId="38C11B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12080.08</w:t>
                  </w:r>
                </w:p>
              </w:tc>
              <w:tc>
                <w:tcPr>
                  <w:tcW w:w="2464" w:type="pct"/>
                  <w:noWrap w:val="0"/>
                  <w:vAlign w:val="center"/>
                </w:tcPr>
                <w:p w14:paraId="21C3BFE9">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81A4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73EF018D">
            <w:pPr>
              <w:pStyle w:val="21"/>
              <w:widowControl/>
              <w:numPr>
                <w:ilvl w:val="4"/>
                <w:numId w:val="0"/>
              </w:numPr>
              <w:suppressLineNumbers w:val="0"/>
              <w:spacing w:before="0" w:beforeAutospacing="0" w:after="0" w:afterAutospacing="0"/>
              <w:ind w:left="0" w:right="0" w:firstLine="480" w:firstLineChars="200"/>
              <w:rPr>
                <w:rFonts w:hint="default" w:ascii="Times New Roman" w:hAnsi="Times New Roman" w:cs="Times New Roman"/>
                <w:color w:val="auto"/>
                <w:kern w:val="2"/>
                <w:highlight w:val="none"/>
              </w:rPr>
            </w:pPr>
            <w:r>
              <w:rPr>
                <w:rFonts w:hint="default" w:ascii="Times New Roman" w:hAnsi="Times New Roman" w:cs="Times New Roman"/>
                <w:b w:val="0"/>
                <w:bCs w:val="0"/>
                <w:color w:val="auto"/>
                <w:kern w:val="2"/>
                <w:highlight w:val="none"/>
              </w:rPr>
              <w:t>综上，本项目用水情况见下表。</w:t>
            </w:r>
          </w:p>
          <w:p w14:paraId="1630A5CD">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项目用水情况统计表</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1200"/>
              <w:gridCol w:w="1045"/>
              <w:gridCol w:w="1015"/>
              <w:gridCol w:w="1270"/>
              <w:gridCol w:w="2424"/>
            </w:tblGrid>
            <w:tr w14:paraId="366E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56F0C7D3">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0"/>
                      <w:szCs w:val="20"/>
                      <w:highlight w:val="none"/>
                    </w:rPr>
                  </w:pPr>
                  <w:r>
                    <w:rPr>
                      <w:rFonts w:hint="default" w:ascii="Times New Roman" w:hAnsi="Times New Roman" w:cs="Times New Roman"/>
                      <w:b/>
                      <w:bCs/>
                      <w:color w:val="auto"/>
                      <w:kern w:val="2"/>
                      <w:sz w:val="20"/>
                      <w:szCs w:val="20"/>
                      <w:highlight w:val="none"/>
                    </w:rPr>
                    <w:t>用水单元</w:t>
                  </w:r>
                </w:p>
              </w:tc>
              <w:tc>
                <w:tcPr>
                  <w:tcW w:w="727" w:type="pct"/>
                  <w:noWrap w:val="0"/>
                  <w:tcMar>
                    <w:top w:w="0" w:type="dxa"/>
                    <w:left w:w="0" w:type="dxa"/>
                    <w:bottom w:w="0" w:type="dxa"/>
                    <w:right w:w="0" w:type="dxa"/>
                  </w:tcMar>
                  <w:vAlign w:val="center"/>
                </w:tcPr>
                <w:p w14:paraId="11CFB2D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val="en-US" w:eastAsia="zh-CN"/>
                    </w:rPr>
                  </w:pPr>
                  <w:r>
                    <w:rPr>
                      <w:rFonts w:hint="default" w:ascii="Times New Roman" w:hAnsi="Times New Roman" w:cs="Times New Roman"/>
                      <w:b/>
                      <w:bCs/>
                      <w:color w:val="auto"/>
                      <w:kern w:val="2"/>
                      <w:sz w:val="20"/>
                      <w:szCs w:val="20"/>
                      <w:highlight w:val="none"/>
                    </w:rPr>
                    <w:t>新鲜用水量m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default" w:ascii="Times New Roman" w:hAnsi="Times New Roman" w:cs="Times New Roman"/>
                      <w:b/>
                      <w:bCs/>
                      <w:color w:val="auto"/>
                      <w:kern w:val="2"/>
                      <w:sz w:val="20"/>
                      <w:szCs w:val="20"/>
                      <w:highlight w:val="none"/>
                      <w:lang w:val="en-US" w:eastAsia="zh-CN"/>
                    </w:rPr>
                    <w:t>a</w:t>
                  </w:r>
                </w:p>
              </w:tc>
              <w:tc>
                <w:tcPr>
                  <w:tcW w:w="633" w:type="pct"/>
                  <w:noWrap w:val="0"/>
                  <w:tcMar>
                    <w:top w:w="0" w:type="dxa"/>
                    <w:left w:w="0" w:type="dxa"/>
                    <w:bottom w:w="0" w:type="dxa"/>
                    <w:right w:w="0" w:type="dxa"/>
                  </w:tcMar>
                  <w:vAlign w:val="center"/>
                </w:tcPr>
                <w:p w14:paraId="59ABF5BC">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eastAsia="zh-CN"/>
                    </w:rPr>
                  </w:pPr>
                  <w:r>
                    <w:rPr>
                      <w:rFonts w:hint="default" w:ascii="Times New Roman" w:hAnsi="Times New Roman" w:cs="Times New Roman"/>
                      <w:b/>
                      <w:bCs/>
                      <w:color w:val="auto"/>
                      <w:kern w:val="2"/>
                      <w:sz w:val="20"/>
                      <w:szCs w:val="20"/>
                      <w:highlight w:val="none"/>
                    </w:rPr>
                    <w:t>损耗量m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default" w:ascii="Times New Roman" w:hAnsi="Times New Roman" w:cs="Times New Roman"/>
                      <w:b/>
                      <w:bCs/>
                      <w:color w:val="auto"/>
                      <w:kern w:val="2"/>
                      <w:sz w:val="20"/>
                      <w:szCs w:val="20"/>
                      <w:highlight w:val="none"/>
                      <w:lang w:val="en-US" w:eastAsia="zh-CN"/>
                    </w:rPr>
                    <w:t>a</w:t>
                  </w:r>
                </w:p>
              </w:tc>
              <w:tc>
                <w:tcPr>
                  <w:tcW w:w="614" w:type="pct"/>
                  <w:noWrap w:val="0"/>
                  <w:tcMar>
                    <w:top w:w="0" w:type="dxa"/>
                    <w:left w:w="0" w:type="dxa"/>
                    <w:bottom w:w="0" w:type="dxa"/>
                    <w:right w:w="0" w:type="dxa"/>
                  </w:tcMar>
                  <w:vAlign w:val="center"/>
                </w:tcPr>
                <w:p w14:paraId="083B1439">
                  <w:pPr>
                    <w:keepNext w:val="0"/>
                    <w:keepLines w:val="0"/>
                    <w:widowControl/>
                    <w:suppressLineNumbers w:val="0"/>
                    <w:jc w:val="center"/>
                    <w:textAlignment w:val="center"/>
                    <w:rPr>
                      <w:rFonts w:hint="default" w:ascii="Times New Roman" w:hAnsi="Times New Roman" w:cs="Times New Roman"/>
                      <w:b/>
                      <w:bCs/>
                      <w:color w:val="auto"/>
                      <w:kern w:val="2"/>
                      <w:sz w:val="20"/>
                      <w:szCs w:val="20"/>
                      <w:highlight w:val="none"/>
                    </w:rPr>
                  </w:pPr>
                  <w:r>
                    <w:rPr>
                      <w:rFonts w:hint="eastAsia" w:ascii="宋体" w:hAnsi="宋体" w:eastAsia="宋体" w:cs="宋体"/>
                      <w:b/>
                      <w:bCs/>
                      <w:i w:val="0"/>
                      <w:iCs w:val="0"/>
                      <w:color w:val="auto"/>
                      <w:kern w:val="0"/>
                      <w:sz w:val="20"/>
                      <w:szCs w:val="20"/>
                      <w:u w:val="none"/>
                      <w:lang w:val="en-US" w:eastAsia="zh-CN" w:bidi="ar"/>
                    </w:rPr>
                    <w:t>循环用水量m</w:t>
                  </w:r>
                  <w:r>
                    <w:rPr>
                      <w:rFonts w:hint="eastAsia" w:ascii="宋体" w:hAnsi="宋体" w:eastAsia="宋体" w:cs="宋体"/>
                      <w:b/>
                      <w:bCs/>
                      <w:i w:val="0"/>
                      <w:iCs w:val="0"/>
                      <w:color w:val="auto"/>
                      <w:kern w:val="0"/>
                      <w:sz w:val="20"/>
                      <w:szCs w:val="20"/>
                      <w:u w:val="none"/>
                      <w:vertAlign w:val="superscript"/>
                      <w:lang w:val="en-US" w:eastAsia="zh-CN" w:bidi="ar"/>
                    </w:rPr>
                    <w:t>3</w:t>
                  </w:r>
                  <w:r>
                    <w:rPr>
                      <w:rFonts w:hint="eastAsia" w:ascii="宋体" w:hAnsi="宋体" w:eastAsia="宋体" w:cs="宋体"/>
                      <w:b/>
                      <w:bCs/>
                      <w:i w:val="0"/>
                      <w:iCs w:val="0"/>
                      <w:color w:val="auto"/>
                      <w:kern w:val="0"/>
                      <w:sz w:val="20"/>
                      <w:szCs w:val="20"/>
                      <w:u w:val="none"/>
                      <w:lang w:val="en-US" w:eastAsia="zh-CN" w:bidi="ar"/>
                    </w:rPr>
                    <w:t>/a</w:t>
                  </w:r>
                </w:p>
              </w:tc>
              <w:tc>
                <w:tcPr>
                  <w:tcW w:w="769" w:type="pct"/>
                  <w:noWrap w:val="0"/>
                  <w:tcMar>
                    <w:top w:w="0" w:type="dxa"/>
                    <w:left w:w="0" w:type="dxa"/>
                    <w:bottom w:w="0" w:type="dxa"/>
                    <w:right w:w="0" w:type="dxa"/>
                  </w:tcMar>
                  <w:vAlign w:val="center"/>
                </w:tcPr>
                <w:p w14:paraId="4DB915C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val="en-US" w:eastAsia="zh-CN"/>
                    </w:rPr>
                  </w:pPr>
                  <w:r>
                    <w:rPr>
                      <w:rFonts w:hint="default" w:ascii="Times New Roman" w:hAnsi="Times New Roman" w:cs="Times New Roman"/>
                      <w:b/>
                      <w:bCs/>
                      <w:color w:val="auto"/>
                      <w:kern w:val="2"/>
                      <w:sz w:val="20"/>
                      <w:szCs w:val="20"/>
                      <w:highlight w:val="none"/>
                    </w:rPr>
                    <w:t>废水外排量m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eastAsia" w:cs="Times New Roman"/>
                      <w:b/>
                      <w:bCs/>
                      <w:color w:val="auto"/>
                      <w:kern w:val="2"/>
                      <w:sz w:val="20"/>
                      <w:szCs w:val="20"/>
                      <w:highlight w:val="none"/>
                      <w:lang w:val="en-US" w:eastAsia="zh-CN"/>
                    </w:rPr>
                    <w:t>a</w:t>
                  </w:r>
                </w:p>
              </w:tc>
              <w:tc>
                <w:tcPr>
                  <w:tcW w:w="1468" w:type="pct"/>
                  <w:noWrap w:val="0"/>
                  <w:tcMar>
                    <w:top w:w="0" w:type="dxa"/>
                    <w:left w:w="0" w:type="dxa"/>
                    <w:bottom w:w="0" w:type="dxa"/>
                    <w:right w:w="0" w:type="dxa"/>
                  </w:tcMar>
                  <w:vAlign w:val="center"/>
                </w:tcPr>
                <w:p w14:paraId="31B18F0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auto"/>
                      <w:kern w:val="2"/>
                      <w:sz w:val="20"/>
                      <w:szCs w:val="20"/>
                      <w:highlight w:val="none"/>
                      <w:lang w:val="en-US" w:eastAsia="zh-CN"/>
                    </w:rPr>
                  </w:pPr>
                  <w:r>
                    <w:rPr>
                      <w:rFonts w:hint="eastAsia" w:ascii="Times New Roman" w:hAnsi="Times New Roman" w:cs="Times New Roman"/>
                      <w:b/>
                      <w:bCs/>
                      <w:color w:val="auto"/>
                      <w:kern w:val="2"/>
                      <w:sz w:val="20"/>
                      <w:szCs w:val="20"/>
                      <w:highlight w:val="none"/>
                      <w:lang w:val="en-US" w:eastAsia="zh-CN"/>
                    </w:rPr>
                    <w:t>备注</w:t>
                  </w:r>
                </w:p>
              </w:tc>
            </w:tr>
            <w:tr w14:paraId="2EFE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65074F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员工办公生活用水</w:t>
                  </w:r>
                </w:p>
              </w:tc>
              <w:tc>
                <w:tcPr>
                  <w:tcW w:w="727" w:type="pct"/>
                  <w:noWrap w:val="0"/>
                  <w:tcMar>
                    <w:top w:w="0" w:type="dxa"/>
                    <w:left w:w="0" w:type="dxa"/>
                    <w:bottom w:w="0" w:type="dxa"/>
                    <w:right w:w="0" w:type="dxa"/>
                  </w:tcMar>
                  <w:vAlign w:val="center"/>
                </w:tcPr>
                <w:p w14:paraId="088B7670">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2300</w:t>
                  </w:r>
                </w:p>
              </w:tc>
              <w:tc>
                <w:tcPr>
                  <w:tcW w:w="633" w:type="pct"/>
                  <w:noWrap w:val="0"/>
                  <w:tcMar>
                    <w:top w:w="0" w:type="dxa"/>
                    <w:left w:w="0" w:type="dxa"/>
                    <w:bottom w:w="0" w:type="dxa"/>
                    <w:right w:w="0" w:type="dxa"/>
                  </w:tcMar>
                  <w:vAlign w:val="center"/>
                </w:tcPr>
                <w:p w14:paraId="6A0A91C5">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230</w:t>
                  </w:r>
                </w:p>
              </w:tc>
              <w:tc>
                <w:tcPr>
                  <w:tcW w:w="614" w:type="pct"/>
                  <w:noWrap w:val="0"/>
                  <w:tcMar>
                    <w:top w:w="0" w:type="dxa"/>
                    <w:left w:w="0" w:type="dxa"/>
                    <w:bottom w:w="0" w:type="dxa"/>
                    <w:right w:w="0" w:type="dxa"/>
                  </w:tcMar>
                  <w:vAlign w:val="center"/>
                </w:tcPr>
                <w:p w14:paraId="66B59ADB">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769" w:type="pct"/>
                  <w:noWrap w:val="0"/>
                  <w:tcMar>
                    <w:top w:w="0" w:type="dxa"/>
                    <w:left w:w="0" w:type="dxa"/>
                    <w:bottom w:w="0" w:type="dxa"/>
                    <w:right w:w="0" w:type="dxa"/>
                  </w:tcMar>
                  <w:vAlign w:val="center"/>
                </w:tcPr>
                <w:p w14:paraId="4614C336">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2070</w:t>
                  </w:r>
                </w:p>
              </w:tc>
              <w:tc>
                <w:tcPr>
                  <w:tcW w:w="1468" w:type="pct"/>
                  <w:noWrap w:val="0"/>
                  <w:tcMar>
                    <w:top w:w="0" w:type="dxa"/>
                    <w:left w:w="0" w:type="dxa"/>
                    <w:bottom w:w="0" w:type="dxa"/>
                    <w:right w:w="0" w:type="dxa"/>
                  </w:tcMar>
                  <w:vAlign w:val="center"/>
                </w:tcPr>
                <w:p w14:paraId="732B0C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0071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7170D0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kern w:val="0"/>
                      <w:sz w:val="20"/>
                      <w:szCs w:val="20"/>
                      <w:highlight w:val="none"/>
                      <w:lang w:val="en-US" w:eastAsia="zh-CN" w:bidi="ar"/>
                    </w:rPr>
                    <w:t>前处理</w:t>
                  </w:r>
                  <w:r>
                    <w:rPr>
                      <w:rFonts w:hint="default" w:ascii="Times New Roman" w:hAnsi="Times New Roman" w:cs="Times New Roman"/>
                      <w:color w:val="auto"/>
                      <w:kern w:val="0"/>
                      <w:sz w:val="20"/>
                      <w:szCs w:val="20"/>
                      <w:highlight w:val="none"/>
                      <w:lang w:bidi="ar"/>
                    </w:rPr>
                    <w:t>清洗用水</w:t>
                  </w:r>
                </w:p>
              </w:tc>
              <w:tc>
                <w:tcPr>
                  <w:tcW w:w="727" w:type="pct"/>
                  <w:noWrap w:val="0"/>
                  <w:tcMar>
                    <w:top w:w="0" w:type="dxa"/>
                    <w:left w:w="0" w:type="dxa"/>
                    <w:bottom w:w="0" w:type="dxa"/>
                    <w:right w:w="0" w:type="dxa"/>
                  </w:tcMar>
                  <w:vAlign w:val="center"/>
                </w:tcPr>
                <w:p w14:paraId="331B3B4B">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19884.63 </w:t>
                  </w:r>
                </w:p>
              </w:tc>
              <w:tc>
                <w:tcPr>
                  <w:tcW w:w="633" w:type="pct"/>
                  <w:noWrap w:val="0"/>
                  <w:tcMar>
                    <w:top w:w="0" w:type="dxa"/>
                    <w:left w:w="0" w:type="dxa"/>
                    <w:bottom w:w="0" w:type="dxa"/>
                    <w:right w:w="0" w:type="dxa"/>
                  </w:tcMar>
                  <w:vAlign w:val="center"/>
                </w:tcPr>
                <w:p w14:paraId="47EB6797">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9861.25 </w:t>
                  </w:r>
                </w:p>
              </w:tc>
              <w:tc>
                <w:tcPr>
                  <w:tcW w:w="614" w:type="pct"/>
                  <w:noWrap w:val="0"/>
                  <w:tcMar>
                    <w:top w:w="0" w:type="dxa"/>
                    <w:left w:w="0" w:type="dxa"/>
                    <w:bottom w:w="0" w:type="dxa"/>
                    <w:right w:w="0" w:type="dxa"/>
                  </w:tcMar>
                  <w:vAlign w:val="center"/>
                </w:tcPr>
                <w:p w14:paraId="40B9E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1270937.60 </w:t>
                  </w:r>
                </w:p>
              </w:tc>
              <w:tc>
                <w:tcPr>
                  <w:tcW w:w="769" w:type="pct"/>
                  <w:noWrap w:val="0"/>
                  <w:tcMar>
                    <w:top w:w="0" w:type="dxa"/>
                    <w:left w:w="0" w:type="dxa"/>
                    <w:bottom w:w="0" w:type="dxa"/>
                    <w:right w:w="0" w:type="dxa"/>
                  </w:tcMar>
                  <w:vAlign w:val="center"/>
                </w:tcPr>
                <w:p w14:paraId="432FC4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1468" w:type="pct"/>
                  <w:noWrap w:val="0"/>
                  <w:tcMar>
                    <w:top w:w="0" w:type="dxa"/>
                    <w:left w:w="0" w:type="dxa"/>
                    <w:bottom w:w="0" w:type="dxa"/>
                    <w:right w:w="0" w:type="dxa"/>
                  </w:tcMar>
                  <w:vAlign w:val="center"/>
                </w:tcPr>
                <w:p w14:paraId="5E8209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olor w:val="auto"/>
                      <w:lang w:val="en-US" w:eastAsia="zh-CN"/>
                    </w:rPr>
                    <w:t>另外添加除油剂27.746t/a、无铬钝化剂3.750t/a，同时无铬钝化池废槽液交由有危险废物处置资质单位</w:t>
                  </w:r>
                </w:p>
              </w:tc>
            </w:tr>
            <w:tr w14:paraId="6E1A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2D9D46EA">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水帘柜用水</w:t>
                  </w:r>
                </w:p>
              </w:tc>
              <w:tc>
                <w:tcPr>
                  <w:tcW w:w="727" w:type="pct"/>
                  <w:noWrap w:val="0"/>
                  <w:tcMar>
                    <w:top w:w="0" w:type="dxa"/>
                    <w:left w:w="0" w:type="dxa"/>
                    <w:bottom w:w="0" w:type="dxa"/>
                    <w:right w:w="0" w:type="dxa"/>
                  </w:tcMar>
                  <w:vAlign w:val="center"/>
                </w:tcPr>
                <w:p w14:paraId="0CC7B581">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5434.70 </w:t>
                  </w:r>
                </w:p>
              </w:tc>
              <w:tc>
                <w:tcPr>
                  <w:tcW w:w="633" w:type="pct"/>
                  <w:noWrap w:val="0"/>
                  <w:tcMar>
                    <w:top w:w="0" w:type="dxa"/>
                    <w:left w:w="0" w:type="dxa"/>
                    <w:bottom w:w="0" w:type="dxa"/>
                    <w:right w:w="0" w:type="dxa"/>
                  </w:tcMar>
                  <w:vAlign w:val="center"/>
                </w:tcPr>
                <w:p w14:paraId="0680970C">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5240.30 </w:t>
                  </w:r>
                </w:p>
              </w:tc>
              <w:tc>
                <w:tcPr>
                  <w:tcW w:w="614" w:type="pct"/>
                  <w:noWrap w:val="0"/>
                  <w:tcMar>
                    <w:top w:w="0" w:type="dxa"/>
                    <w:left w:w="0" w:type="dxa"/>
                    <w:bottom w:w="0" w:type="dxa"/>
                    <w:right w:w="0" w:type="dxa"/>
                  </w:tcMar>
                  <w:vAlign w:val="center"/>
                </w:tcPr>
                <w:p w14:paraId="2B2B97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349353.60 </w:t>
                  </w:r>
                </w:p>
              </w:tc>
              <w:tc>
                <w:tcPr>
                  <w:tcW w:w="769" w:type="pct"/>
                  <w:noWrap w:val="0"/>
                  <w:tcMar>
                    <w:top w:w="0" w:type="dxa"/>
                    <w:left w:w="0" w:type="dxa"/>
                    <w:bottom w:w="0" w:type="dxa"/>
                    <w:right w:w="0" w:type="dxa"/>
                  </w:tcMar>
                  <w:vAlign w:val="center"/>
                </w:tcPr>
                <w:p w14:paraId="29C066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194.4</w:t>
                  </w:r>
                </w:p>
              </w:tc>
              <w:tc>
                <w:tcPr>
                  <w:tcW w:w="1468" w:type="pct"/>
                  <w:noWrap w:val="0"/>
                  <w:tcMar>
                    <w:top w:w="0" w:type="dxa"/>
                    <w:left w:w="0" w:type="dxa"/>
                    <w:bottom w:w="0" w:type="dxa"/>
                    <w:right w:w="0" w:type="dxa"/>
                  </w:tcMar>
                  <w:vAlign w:val="center"/>
                </w:tcPr>
                <w:p w14:paraId="78A012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5028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2AFAED9A">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喷淋塔用水</w:t>
                  </w:r>
                </w:p>
              </w:tc>
              <w:tc>
                <w:tcPr>
                  <w:tcW w:w="727" w:type="pct"/>
                  <w:noWrap w:val="0"/>
                  <w:tcMar>
                    <w:top w:w="0" w:type="dxa"/>
                    <w:left w:w="0" w:type="dxa"/>
                    <w:bottom w:w="0" w:type="dxa"/>
                    <w:right w:w="0" w:type="dxa"/>
                  </w:tcMar>
                  <w:vAlign w:val="center"/>
                </w:tcPr>
                <w:p w14:paraId="74180A3F">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1542.12 </w:t>
                  </w:r>
                </w:p>
              </w:tc>
              <w:tc>
                <w:tcPr>
                  <w:tcW w:w="633" w:type="pct"/>
                  <w:noWrap w:val="0"/>
                  <w:tcMar>
                    <w:top w:w="0" w:type="dxa"/>
                    <w:left w:w="0" w:type="dxa"/>
                    <w:bottom w:w="0" w:type="dxa"/>
                    <w:right w:w="0" w:type="dxa"/>
                  </w:tcMar>
                  <w:vAlign w:val="center"/>
                </w:tcPr>
                <w:p w14:paraId="688C0698">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1474.92 </w:t>
                  </w:r>
                </w:p>
              </w:tc>
              <w:tc>
                <w:tcPr>
                  <w:tcW w:w="614" w:type="pct"/>
                  <w:noWrap w:val="0"/>
                  <w:tcMar>
                    <w:top w:w="0" w:type="dxa"/>
                    <w:left w:w="0" w:type="dxa"/>
                    <w:bottom w:w="0" w:type="dxa"/>
                    <w:right w:w="0" w:type="dxa"/>
                  </w:tcMar>
                  <w:vAlign w:val="center"/>
                </w:tcPr>
                <w:p w14:paraId="5E33CF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98328.00 </w:t>
                  </w:r>
                </w:p>
              </w:tc>
              <w:tc>
                <w:tcPr>
                  <w:tcW w:w="769" w:type="pct"/>
                  <w:noWrap w:val="0"/>
                  <w:tcMar>
                    <w:top w:w="0" w:type="dxa"/>
                    <w:left w:w="0" w:type="dxa"/>
                    <w:bottom w:w="0" w:type="dxa"/>
                    <w:right w:w="0" w:type="dxa"/>
                  </w:tcMar>
                  <w:vAlign w:val="center"/>
                </w:tcPr>
                <w:p w14:paraId="71DBBEC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w:t>
                  </w:r>
                </w:p>
              </w:tc>
              <w:tc>
                <w:tcPr>
                  <w:tcW w:w="1468" w:type="pct"/>
                  <w:noWrap w:val="0"/>
                  <w:tcMar>
                    <w:top w:w="0" w:type="dxa"/>
                    <w:left w:w="0" w:type="dxa"/>
                    <w:bottom w:w="0" w:type="dxa"/>
                    <w:right w:w="0" w:type="dxa"/>
                  </w:tcMar>
                  <w:vAlign w:val="center"/>
                </w:tcPr>
                <w:p w14:paraId="42AFF9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2659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55A39A85">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生产用水合计</w:t>
                  </w:r>
                </w:p>
              </w:tc>
              <w:tc>
                <w:tcPr>
                  <w:tcW w:w="727" w:type="pct"/>
                  <w:noWrap w:val="0"/>
                  <w:tcMar>
                    <w:top w:w="0" w:type="dxa"/>
                    <w:left w:w="0" w:type="dxa"/>
                    <w:bottom w:w="0" w:type="dxa"/>
                    <w:right w:w="0" w:type="dxa"/>
                  </w:tcMar>
                  <w:vAlign w:val="center"/>
                </w:tcPr>
                <w:p w14:paraId="5E69A3EB">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26861.46 </w:t>
                  </w:r>
                </w:p>
              </w:tc>
              <w:tc>
                <w:tcPr>
                  <w:tcW w:w="633" w:type="pct"/>
                  <w:noWrap w:val="0"/>
                  <w:tcMar>
                    <w:top w:w="0" w:type="dxa"/>
                    <w:left w:w="0" w:type="dxa"/>
                    <w:bottom w:w="0" w:type="dxa"/>
                    <w:right w:w="0" w:type="dxa"/>
                  </w:tcMar>
                  <w:vAlign w:val="center"/>
                </w:tcPr>
                <w:p w14:paraId="66039AAB">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16576.47 </w:t>
                  </w:r>
                </w:p>
              </w:tc>
              <w:tc>
                <w:tcPr>
                  <w:tcW w:w="614" w:type="pct"/>
                  <w:noWrap w:val="0"/>
                  <w:tcMar>
                    <w:top w:w="0" w:type="dxa"/>
                    <w:left w:w="0" w:type="dxa"/>
                    <w:bottom w:w="0" w:type="dxa"/>
                    <w:right w:w="0" w:type="dxa"/>
                  </w:tcMar>
                  <w:vAlign w:val="center"/>
                </w:tcPr>
                <w:p w14:paraId="324BE0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1718619.20 </w:t>
                  </w:r>
                </w:p>
              </w:tc>
              <w:tc>
                <w:tcPr>
                  <w:tcW w:w="769" w:type="pct"/>
                  <w:noWrap w:val="0"/>
                  <w:tcMar>
                    <w:top w:w="0" w:type="dxa"/>
                    <w:left w:w="0" w:type="dxa"/>
                    <w:bottom w:w="0" w:type="dxa"/>
                    <w:right w:w="0" w:type="dxa"/>
                  </w:tcMar>
                  <w:vAlign w:val="center"/>
                </w:tcPr>
                <w:p w14:paraId="5FE61FE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1468" w:type="pct"/>
                  <w:noWrap w:val="0"/>
                  <w:tcMar>
                    <w:top w:w="0" w:type="dxa"/>
                    <w:left w:w="0" w:type="dxa"/>
                    <w:bottom w:w="0" w:type="dxa"/>
                    <w:right w:w="0" w:type="dxa"/>
                  </w:tcMar>
                  <w:vAlign w:val="center"/>
                </w:tcPr>
                <w:p w14:paraId="690514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65C3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86" w:type="pct"/>
                  <w:noWrap w:val="0"/>
                  <w:tcMar>
                    <w:top w:w="0" w:type="dxa"/>
                    <w:left w:w="0" w:type="dxa"/>
                    <w:bottom w:w="0" w:type="dxa"/>
                    <w:right w:w="0" w:type="dxa"/>
                  </w:tcMar>
                  <w:vAlign w:val="center"/>
                </w:tcPr>
                <w:p w14:paraId="0A814E4D">
                  <w:pPr>
                    <w:keepNext w:val="0"/>
                    <w:keepLines w:val="0"/>
                    <w:widowControl/>
                    <w:suppressLineNumbers w:val="0"/>
                    <w:jc w:val="center"/>
                    <w:textAlignment w:val="center"/>
                    <w:rPr>
                      <w:rFonts w:hint="default" w:ascii="Times New Roman" w:hAnsi="Times New Roman" w:cs="Times New Roman"/>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合计</w:t>
                  </w:r>
                </w:p>
              </w:tc>
              <w:tc>
                <w:tcPr>
                  <w:tcW w:w="727" w:type="pct"/>
                  <w:noWrap w:val="0"/>
                  <w:tcMar>
                    <w:top w:w="0" w:type="dxa"/>
                    <w:left w:w="0" w:type="dxa"/>
                    <w:bottom w:w="0" w:type="dxa"/>
                    <w:right w:w="0" w:type="dxa"/>
                  </w:tcMar>
                  <w:vAlign w:val="center"/>
                </w:tcPr>
                <w:p w14:paraId="2507C68B">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29161.46 </w:t>
                  </w:r>
                </w:p>
              </w:tc>
              <w:tc>
                <w:tcPr>
                  <w:tcW w:w="633" w:type="pct"/>
                  <w:noWrap w:val="0"/>
                  <w:tcMar>
                    <w:top w:w="0" w:type="dxa"/>
                    <w:left w:w="0" w:type="dxa"/>
                    <w:bottom w:w="0" w:type="dxa"/>
                    <w:right w:w="0" w:type="dxa"/>
                  </w:tcMar>
                  <w:vAlign w:val="center"/>
                </w:tcPr>
                <w:p w14:paraId="454206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16806.47 </w:t>
                  </w:r>
                </w:p>
              </w:tc>
              <w:tc>
                <w:tcPr>
                  <w:tcW w:w="614" w:type="pct"/>
                  <w:noWrap w:val="0"/>
                  <w:tcMar>
                    <w:top w:w="0" w:type="dxa"/>
                    <w:left w:w="0" w:type="dxa"/>
                    <w:bottom w:w="0" w:type="dxa"/>
                    <w:right w:w="0" w:type="dxa"/>
                  </w:tcMar>
                  <w:vAlign w:val="center"/>
                </w:tcPr>
                <w:p w14:paraId="29A069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1718619.20 </w:t>
                  </w:r>
                </w:p>
              </w:tc>
              <w:tc>
                <w:tcPr>
                  <w:tcW w:w="769" w:type="pct"/>
                  <w:noWrap w:val="0"/>
                  <w:tcMar>
                    <w:top w:w="0" w:type="dxa"/>
                    <w:left w:w="0" w:type="dxa"/>
                    <w:bottom w:w="0" w:type="dxa"/>
                    <w:right w:w="0" w:type="dxa"/>
                  </w:tcMar>
                  <w:vAlign w:val="center"/>
                </w:tcPr>
                <w:p w14:paraId="000F79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12080.08</w:t>
                  </w:r>
                </w:p>
              </w:tc>
              <w:tc>
                <w:tcPr>
                  <w:tcW w:w="1468" w:type="pct"/>
                  <w:noWrap w:val="0"/>
                  <w:tcMar>
                    <w:top w:w="0" w:type="dxa"/>
                    <w:left w:w="0" w:type="dxa"/>
                    <w:bottom w:w="0" w:type="dxa"/>
                    <w:right w:w="0" w:type="dxa"/>
                  </w:tcMar>
                  <w:vAlign w:val="center"/>
                </w:tcPr>
                <w:p w14:paraId="4F33C9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bl>
          <w:p w14:paraId="3BFA66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7A1D316A">
            <w:pPr>
              <w:pStyle w:val="21"/>
              <w:widowControl/>
              <w:numPr>
                <w:ilvl w:val="4"/>
                <w:numId w:val="0"/>
              </w:numPr>
              <w:suppressLineNumbers w:val="0"/>
              <w:spacing w:before="0" w:beforeAutospacing="0" w:after="0" w:afterAutospacing="0" w:line="240" w:lineRule="auto"/>
              <w:ind w:left="-960" w:right="0" w:firstLine="1440"/>
              <w:rPr>
                <w:rFonts w:hint="eastAsia" w:cs="Times New Roman"/>
                <w:color w:val="auto"/>
                <w:kern w:val="2"/>
                <w:highlight w:val="none"/>
                <w:lang w:val="en-US" w:eastAsia="zh-CN"/>
              </w:rPr>
            </w:pPr>
            <w:r>
              <w:rPr>
                <w:rFonts w:hint="default" w:ascii="Times New Roman" w:hAnsi="Times New Roman" w:cs="Times New Roman"/>
                <w:color w:val="auto"/>
                <w:kern w:val="2"/>
                <w:highlight w:val="none"/>
                <w:lang w:val="en-US" w:eastAsia="zh-CN"/>
              </w:rPr>
              <w:t>项目水平衡图如下</w:t>
            </w:r>
            <w:r>
              <w:rPr>
                <w:rFonts w:hint="eastAsia" w:cs="Times New Roman"/>
                <w:color w:val="auto"/>
                <w:kern w:val="2"/>
                <w:highlight w:val="none"/>
                <w:lang w:val="en-US" w:eastAsia="zh-CN"/>
              </w:rPr>
              <w:t>：</w:t>
            </w:r>
          </w:p>
          <w:p w14:paraId="6F72DCE4">
            <w:pPr>
              <w:rPr>
                <w:rFonts w:hint="default" w:ascii="Times New Roman" w:hAnsi="Times New Roman" w:eastAsia="宋体" w:cs="Times New Roman"/>
                <w:color w:val="auto"/>
                <w:kern w:val="2"/>
                <w:sz w:val="21"/>
                <w:szCs w:val="21"/>
                <w:highlight w:val="none"/>
                <w:lang w:val="en-US" w:eastAsia="zh-CN"/>
              </w:rPr>
            </w:pPr>
            <w:r>
              <w:rPr>
                <w:rFonts w:hint="default"/>
                <w:color w:val="auto"/>
                <w:lang w:val="en-US" w:eastAsia="zh-CN"/>
              </w:rPr>
              <w:object>
                <v:shape id="_x0000_i1025" o:spt="75" type="#_x0000_t75" style="height:316.65pt;width:407.1pt;" o:ole="t" filled="f" o:preferrelative="t" stroked="f" coordsize="21600,21600">
                  <v:path/>
                  <v:fill on="f" focussize="0,0"/>
                  <v:stroke on="f"/>
                  <v:imagedata r:id="rId21" o:title=""/>
                  <o:lock v:ext="edit" aspectratio="f"/>
                  <w10:wrap type="none"/>
                  <w10:anchorlock/>
                </v:shape>
                <o:OLEObject Type="Embed" ProgID="Visio.Drawing.15" ShapeID="_x0000_i1025" DrawAspect="Content" ObjectID="_1468075725" r:id="rId20">
                  <o:LockedField>false</o:LockedField>
                </o:OLEObject>
              </w:object>
            </w:r>
          </w:p>
          <w:p w14:paraId="2A03CDA4">
            <w:pPr>
              <w:pStyle w:val="16"/>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240" w:lineRule="auto"/>
              <w:ind w:left="0" w:leftChars="0" w:right="0" w:firstLine="0" w:firstLineChars="0"/>
              <w:jc w:val="center"/>
              <w:outlineLvl w:val="9"/>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lang w:val="en-US" w:eastAsia="zh-CN"/>
              </w:rPr>
              <w:t>本项目水平衡图（单位m</w:t>
            </w:r>
            <w:r>
              <w:rPr>
                <w:rFonts w:hint="default" w:ascii="Times New Roman" w:hAnsi="Times New Roman" w:eastAsia="宋体" w:cs="Times New Roman"/>
                <w:b/>
                <w:bCs/>
                <w:color w:val="auto"/>
                <w:kern w:val="2"/>
                <w:sz w:val="24"/>
                <w:szCs w:val="24"/>
                <w:highlight w:val="none"/>
                <w:vertAlign w:val="superscript"/>
                <w:lang w:val="en-US" w:eastAsia="zh-CN"/>
              </w:rPr>
              <w:t>3</w:t>
            </w:r>
            <w:r>
              <w:rPr>
                <w:rFonts w:hint="default" w:ascii="Times New Roman" w:hAnsi="Times New Roman" w:eastAsia="宋体" w:cs="Times New Roman"/>
                <w:b/>
                <w:bCs/>
                <w:color w:val="auto"/>
                <w:kern w:val="2"/>
                <w:sz w:val="24"/>
                <w:szCs w:val="24"/>
                <w:highlight w:val="none"/>
                <w:lang w:val="en-US" w:eastAsia="zh-CN"/>
              </w:rPr>
              <w:t>/a）</w:t>
            </w:r>
          </w:p>
          <w:p w14:paraId="1CB1406C">
            <w:pPr>
              <w:wordWrap w:val="0"/>
              <w:topLinePunct/>
              <w:spacing w:line="360" w:lineRule="auto"/>
              <w:ind w:firstLine="482" w:firstLineChars="200"/>
              <w:outlineLvl w:val="4"/>
              <w:rPr>
                <w:rFonts w:hint="default" w:eastAsia="宋体"/>
                <w:b/>
                <w:color w:val="auto"/>
                <w:sz w:val="24"/>
                <w:szCs w:val="24"/>
                <w:highlight w:val="none"/>
                <w:lang w:val="en-US" w:eastAsia="zh-CN"/>
              </w:rPr>
            </w:pPr>
            <w:r>
              <w:rPr>
                <w:b/>
                <w:color w:val="auto"/>
                <w:sz w:val="24"/>
                <w:szCs w:val="24"/>
                <w:highlight w:val="none"/>
              </w:rPr>
              <w:t>（</w:t>
            </w:r>
            <w:r>
              <w:rPr>
                <w:rFonts w:hint="eastAsia"/>
                <w:b/>
                <w:color w:val="auto"/>
                <w:sz w:val="24"/>
                <w:szCs w:val="24"/>
                <w:highlight w:val="none"/>
                <w:lang w:val="en-US" w:eastAsia="zh-CN"/>
              </w:rPr>
              <w:t>4</w:t>
            </w:r>
            <w:r>
              <w:rPr>
                <w:b/>
                <w:color w:val="auto"/>
                <w:sz w:val="24"/>
                <w:szCs w:val="24"/>
                <w:highlight w:val="none"/>
              </w:rPr>
              <w:t>）</w:t>
            </w:r>
            <w:r>
              <w:rPr>
                <w:rFonts w:hint="eastAsia"/>
                <w:b/>
                <w:color w:val="auto"/>
                <w:sz w:val="24"/>
                <w:szCs w:val="24"/>
                <w:highlight w:val="none"/>
                <w:lang w:val="en-US" w:eastAsia="zh-CN"/>
              </w:rPr>
              <w:t>漆用量核算</w:t>
            </w:r>
          </w:p>
          <w:p w14:paraId="5552262A">
            <w:pPr>
              <w:pStyle w:val="27"/>
              <w:ind w:firstLine="480"/>
              <w:rPr>
                <w:rFonts w:hint="eastAsia" w:eastAsia="宋体" w:cs="Times New Roman"/>
                <w:b/>
                <w:bCs/>
                <w:color w:val="auto"/>
                <w:highlight w:val="none"/>
                <w:lang w:val="en-US" w:eastAsia="zh-CN"/>
              </w:rPr>
            </w:pPr>
            <w:r>
              <w:rPr>
                <w:rFonts w:hint="eastAsia"/>
                <w:color w:val="auto"/>
                <w:sz w:val="24"/>
                <w:szCs w:val="24"/>
                <w:highlight w:val="none"/>
                <w:lang w:val="en-US" w:eastAsia="zh-CN"/>
              </w:rPr>
              <w:t>本项目涂料实际用量采用计算公式：涂料实际用量（L）=喷涂面积×干膜厚度/（10×体积固体含量×100×上漆率）。</w:t>
            </w:r>
          </w:p>
          <w:p w14:paraId="4152271E">
            <w:pPr>
              <w:pageBreakBefore w:val="0"/>
              <w:wordWrap w:val="0"/>
              <w:overflowPunct/>
              <w:bidi w:val="0"/>
              <w:spacing w:line="360" w:lineRule="auto"/>
              <w:ind w:firstLine="482" w:firstLineChars="200"/>
              <w:rPr>
                <w:b/>
                <w:color w:val="auto"/>
                <w:sz w:val="24"/>
                <w:highlight w:val="none"/>
              </w:rPr>
            </w:pPr>
            <w:r>
              <w:rPr>
                <w:rFonts w:hint="eastAsia"/>
                <w:b/>
                <w:color w:val="auto"/>
                <w:sz w:val="24"/>
                <w:highlight w:val="none"/>
                <w:lang w:val="en-US" w:eastAsia="zh-CN"/>
              </w:rPr>
              <w:t>①</w:t>
            </w:r>
            <w:r>
              <w:rPr>
                <w:b/>
                <w:color w:val="auto"/>
                <w:sz w:val="24"/>
                <w:highlight w:val="none"/>
              </w:rPr>
              <w:t>调配后各漆料用料核算</w:t>
            </w:r>
          </w:p>
          <w:p w14:paraId="70D3E2E1">
            <w:pPr>
              <w:pageBreakBefore w:val="0"/>
              <w:widowControl w:val="0"/>
              <w:numPr>
                <w:ilvl w:val="0"/>
                <w:numId w:val="10"/>
              </w:numPr>
              <w:wordWrap w:val="0"/>
              <w:overflowPunct/>
              <w:bidi w:val="0"/>
              <w:spacing w:line="240" w:lineRule="auto"/>
              <w:ind w:left="0" w:leftChars="0" w:firstLine="40" w:firstLineChars="0"/>
              <w:jc w:val="center"/>
              <w:rPr>
                <w:b/>
                <w:color w:val="auto"/>
                <w:sz w:val="21"/>
                <w:szCs w:val="21"/>
                <w:highlight w:val="none"/>
              </w:rPr>
            </w:pPr>
            <w:r>
              <w:rPr>
                <w:rFonts w:hint="default" w:ascii="Times New Roman" w:hAnsi="Times New Roman" w:cs="Times New Roman"/>
                <w:b/>
                <w:bCs/>
                <w:color w:val="auto"/>
                <w:sz w:val="21"/>
                <w:szCs w:val="21"/>
                <w:highlight w:val="none"/>
              </w:rPr>
              <w:t xml:space="preserve"> </w:t>
            </w:r>
            <w:r>
              <w:rPr>
                <w:b/>
                <w:bCs/>
                <w:color w:val="auto"/>
                <w:sz w:val="21"/>
                <w:szCs w:val="21"/>
                <w:highlight w:val="none"/>
              </w:rPr>
              <w:t>调配后各漆料用料一览表</w:t>
            </w:r>
          </w:p>
          <w:tbl>
            <w:tblPr>
              <w:tblStyle w:val="48"/>
              <w:tblW w:w="83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1"/>
              <w:gridCol w:w="1075"/>
              <w:gridCol w:w="1086"/>
              <w:gridCol w:w="1435"/>
              <w:gridCol w:w="1217"/>
              <w:gridCol w:w="1228"/>
              <w:gridCol w:w="1215"/>
            </w:tblGrid>
            <w:tr w14:paraId="6B47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648" w:type="pct"/>
                  <w:tcBorders>
                    <w:top w:val="single" w:color="000000" w:sz="4" w:space="0"/>
                    <w:left w:val="single" w:color="000000" w:sz="4" w:space="0"/>
                    <w:bottom w:val="single" w:color="000000" w:sz="4" w:space="0"/>
                    <w:right w:val="single" w:color="000000" w:sz="4" w:space="0"/>
                  </w:tcBorders>
                  <w:noWrap w:val="0"/>
                  <w:vAlign w:val="center"/>
                </w:tcPr>
                <w:p w14:paraId="41B166D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Style w:val="168"/>
                      <w:color w:val="auto"/>
                      <w:lang w:val="en-US" w:eastAsia="zh-CN" w:bidi="ar"/>
                    </w:rPr>
                    <w:t>原料</w:t>
                  </w:r>
                  <w:r>
                    <w:rPr>
                      <w:rStyle w:val="168"/>
                      <w:rFonts w:hint="eastAsia"/>
                      <w:color w:val="auto"/>
                      <w:lang w:val="en-US" w:eastAsia="zh-CN" w:bidi="ar"/>
                    </w:rPr>
                    <w:t>种类</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42697C6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喷涂面积</w:t>
                  </w:r>
                  <w:r>
                    <w:rPr>
                      <w:rFonts w:hint="default" w:ascii="Times New Roman" w:hAnsi="Times New Roman" w:eastAsia="宋体" w:cs="Times New Roman"/>
                      <w:b/>
                      <w:bCs/>
                      <w:i w:val="0"/>
                      <w:iCs w:val="0"/>
                      <w:color w:val="auto"/>
                      <w:kern w:val="0"/>
                      <w:sz w:val="21"/>
                      <w:szCs w:val="21"/>
                      <w:u w:val="none"/>
                      <w:lang w:val="en-US" w:eastAsia="zh-CN" w:bidi="ar"/>
                    </w:rPr>
                    <w:t>m</w:t>
                  </w:r>
                  <w:r>
                    <w:rPr>
                      <w:rStyle w:val="169"/>
                      <w:rFonts w:eastAsia="宋体"/>
                      <w:color w:val="auto"/>
                      <w:lang w:val="en-US" w:eastAsia="zh-CN" w:bidi="ar"/>
                    </w:rPr>
                    <w:t>2</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3B64872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喷涂厚度</w:t>
                  </w:r>
                  <w:r>
                    <w:rPr>
                      <w:rFonts w:hint="default" w:ascii="Times New Roman" w:hAnsi="Times New Roman" w:eastAsia="宋体" w:cs="Times New Roman"/>
                      <w:b/>
                      <w:bCs/>
                      <w:i w:val="0"/>
                      <w:iCs w:val="0"/>
                      <w:color w:val="auto"/>
                      <w:kern w:val="0"/>
                      <w:sz w:val="21"/>
                      <w:szCs w:val="21"/>
                      <w:u w:val="none"/>
                      <w:lang w:val="en-US" w:eastAsia="zh-CN" w:bidi="ar"/>
                    </w:rPr>
                    <w:t>μm</w:t>
                  </w:r>
                </w:p>
              </w:tc>
              <w:tc>
                <w:tcPr>
                  <w:tcW w:w="860" w:type="pct"/>
                  <w:tcBorders>
                    <w:top w:val="single" w:color="000000" w:sz="4" w:space="0"/>
                    <w:left w:val="single" w:color="000000" w:sz="4" w:space="0"/>
                    <w:bottom w:val="single" w:color="000000" w:sz="4" w:space="0"/>
                    <w:right w:val="single" w:color="000000" w:sz="4" w:space="0"/>
                  </w:tcBorders>
                  <w:noWrap w:val="0"/>
                  <w:vAlign w:val="center"/>
                </w:tcPr>
                <w:p w14:paraId="41AB4C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rFonts w:hint="eastAsia"/>
                      <w:color w:val="auto"/>
                      <w:lang w:val="en-US" w:eastAsia="zh-CN" w:bidi="ar"/>
                    </w:rPr>
                    <w:t>干膜</w:t>
                  </w:r>
                  <w:r>
                    <w:rPr>
                      <w:rStyle w:val="168"/>
                      <w:color w:val="auto"/>
                      <w:lang w:val="en-US" w:eastAsia="zh-CN" w:bidi="ar"/>
                    </w:rPr>
                    <w:t>密度</w:t>
                  </w:r>
                  <w:r>
                    <w:rPr>
                      <w:rFonts w:hint="default" w:ascii="Times New Roman" w:hAnsi="Times New Roman" w:eastAsia="宋体" w:cs="Times New Roman"/>
                      <w:b/>
                      <w:bCs/>
                      <w:i w:val="0"/>
                      <w:iCs w:val="0"/>
                      <w:color w:val="auto"/>
                      <w:kern w:val="0"/>
                      <w:sz w:val="21"/>
                      <w:szCs w:val="21"/>
                      <w:u w:val="none"/>
                      <w:lang w:val="en-US" w:eastAsia="zh-CN" w:bidi="ar"/>
                    </w:rPr>
                    <w:t>g/cm</w:t>
                  </w:r>
                  <w:r>
                    <w:rPr>
                      <w:rStyle w:val="169"/>
                      <w:rFonts w:eastAsia="宋体"/>
                      <w:color w:val="auto"/>
                      <w:lang w:val="en-US" w:eastAsia="zh-CN" w:bidi="ar"/>
                    </w:rPr>
                    <w:t>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F2702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固含量</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A1FFE4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rFonts w:hint="eastAsia"/>
                      <w:color w:val="auto"/>
                      <w:lang w:val="en-US" w:eastAsia="zh-CN" w:bidi="ar"/>
                    </w:rPr>
                    <w:t>利用</w:t>
                  </w:r>
                  <w:r>
                    <w:rPr>
                      <w:rStyle w:val="168"/>
                      <w:color w:val="auto"/>
                      <w:lang w:val="en-US" w:eastAsia="zh-CN" w:bidi="ar"/>
                    </w:rPr>
                    <w:t>率</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74931B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原料使用量</w:t>
                  </w:r>
                  <w:r>
                    <w:rPr>
                      <w:rFonts w:hint="default" w:ascii="Times New Roman" w:hAnsi="Times New Roman" w:eastAsia="宋体" w:cs="Times New Roman"/>
                      <w:b/>
                      <w:bCs/>
                      <w:i w:val="0"/>
                      <w:iCs w:val="0"/>
                      <w:color w:val="auto"/>
                      <w:kern w:val="0"/>
                      <w:sz w:val="21"/>
                      <w:szCs w:val="21"/>
                      <w:u w:val="none"/>
                      <w:lang w:val="en-US" w:eastAsia="zh-CN" w:bidi="ar"/>
                    </w:rPr>
                    <w:t>t/a</w:t>
                  </w:r>
                </w:p>
              </w:tc>
            </w:tr>
            <w:tr w14:paraId="797A1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591865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6F77F4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10630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B193B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1.4076</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7C846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69.29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74085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12800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4.605 </w:t>
                  </w:r>
                </w:p>
              </w:tc>
            </w:tr>
            <w:tr w14:paraId="1C2B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067F3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B41A2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ign w:val="center"/>
                </w:tcPr>
                <w:p w14:paraId="74BD5B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435" w:type="dxa"/>
                  <w:tcBorders>
                    <w:top w:val="single" w:color="000000" w:sz="4" w:space="0"/>
                    <w:left w:val="single" w:color="000000" w:sz="4" w:space="0"/>
                    <w:bottom w:val="single" w:color="000000" w:sz="4" w:space="0"/>
                    <w:right w:val="single" w:color="000000" w:sz="4" w:space="0"/>
                  </w:tcBorders>
                  <w:noWrap/>
                  <w:vAlign w:val="center"/>
                </w:tcPr>
                <w:p w14:paraId="7B0A78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1.2852</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C2AA1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57.81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7C9E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3DAC8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4.031 </w:t>
                  </w:r>
                </w:p>
              </w:tc>
            </w:tr>
            <w:tr w14:paraId="32FE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625B43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09BE8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ign w:val="center"/>
                </w:tcPr>
                <w:p w14:paraId="2D6C66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noWrap/>
                  <w:vAlign w:val="center"/>
                </w:tcPr>
                <w:p w14:paraId="246997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1.4076</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163235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65.61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27EC7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4E58EA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1.216 </w:t>
                  </w:r>
                </w:p>
              </w:tc>
            </w:tr>
            <w:tr w14:paraId="2F50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271" w:type="pct"/>
                  <w:gridSpan w:val="6"/>
                  <w:tcBorders>
                    <w:top w:val="single" w:color="000000" w:sz="4" w:space="0"/>
                    <w:left w:val="single" w:color="000000" w:sz="4" w:space="0"/>
                    <w:bottom w:val="single" w:color="000000" w:sz="4" w:space="0"/>
                    <w:right w:val="single" w:color="000000" w:sz="4" w:space="0"/>
                  </w:tcBorders>
                  <w:noWrap/>
                  <w:vAlign w:val="center"/>
                </w:tcPr>
                <w:p w14:paraId="20170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40540B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r>
                    <w:rPr>
                      <w:rFonts w:hint="eastAsia" w:cs="Times New Roman"/>
                      <w:i w:val="0"/>
                      <w:iCs w:val="0"/>
                      <w:color w:val="auto"/>
                      <w:kern w:val="0"/>
                      <w:sz w:val="21"/>
                      <w:szCs w:val="21"/>
                      <w:u w:val="none"/>
                      <w:lang w:val="en-US" w:eastAsia="zh-CN" w:bidi="ar"/>
                    </w:rPr>
                    <w:t>852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63A9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2B0B0653">
                  <w:pPr>
                    <w:keepNext w:val="0"/>
                    <w:keepLines w:val="0"/>
                    <w:widowControl/>
                    <w:suppressLineNumbers w:val="0"/>
                    <w:spacing w:line="240" w:lineRule="auto"/>
                    <w:jc w:val="left"/>
                    <w:textAlignment w:val="center"/>
                    <w:rPr>
                      <w:rStyle w:val="152"/>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rPr>
                    <w:t>注：1、</w:t>
                  </w:r>
                  <w:r>
                    <w:rPr>
                      <w:rFonts w:hint="eastAsia" w:cs="Times New Roman"/>
                      <w:i w:val="0"/>
                      <w:iCs w:val="0"/>
                      <w:color w:val="auto"/>
                      <w:kern w:val="0"/>
                      <w:sz w:val="21"/>
                      <w:szCs w:val="21"/>
                      <w:u w:val="none"/>
                      <w:lang w:val="en-US" w:eastAsia="zh-CN"/>
                    </w:rPr>
                    <w:t>本</w:t>
                  </w:r>
                  <w:r>
                    <w:rPr>
                      <w:rFonts w:hint="default" w:ascii="Times New Roman" w:hAnsi="Times New Roman" w:eastAsia="宋体" w:cs="Times New Roman"/>
                      <w:i w:val="0"/>
                      <w:iCs w:val="0"/>
                      <w:color w:val="auto"/>
                      <w:kern w:val="0"/>
                      <w:sz w:val="21"/>
                      <w:szCs w:val="21"/>
                      <w:u w:val="none"/>
                      <w:lang w:val="en-US" w:eastAsia="zh-CN"/>
                    </w:rPr>
                    <w:t>项目</w:t>
                  </w:r>
                  <w:r>
                    <w:rPr>
                      <w:rFonts w:hint="eastAsia" w:cs="Times New Roman"/>
                      <w:i w:val="0"/>
                      <w:iCs w:val="0"/>
                      <w:color w:val="auto"/>
                      <w:kern w:val="0"/>
                      <w:sz w:val="21"/>
                      <w:szCs w:val="21"/>
                      <w:u w:val="none"/>
                      <w:lang w:val="en-US" w:eastAsia="zh-CN"/>
                    </w:rPr>
                    <w:t>以喷粉工艺产品为主，仅接受小部分的喷漆工艺产品订单，年</w:t>
                  </w:r>
                  <w:r>
                    <w:rPr>
                      <w:rFonts w:hint="default" w:ascii="Times New Roman" w:hAnsi="Times New Roman" w:eastAsia="宋体" w:cs="Times New Roman"/>
                      <w:i w:val="0"/>
                      <w:iCs w:val="0"/>
                      <w:color w:val="auto"/>
                      <w:kern w:val="0"/>
                      <w:sz w:val="21"/>
                      <w:szCs w:val="21"/>
                      <w:u w:val="none"/>
                      <w:lang w:val="en-US" w:eastAsia="zh-CN"/>
                    </w:rPr>
                    <w:t>喷漆产品</w:t>
                  </w:r>
                  <w:r>
                    <w:rPr>
                      <w:rFonts w:hint="eastAsia" w:cs="Times New Roman"/>
                      <w:i w:val="0"/>
                      <w:iCs w:val="0"/>
                      <w:color w:val="auto"/>
                      <w:kern w:val="0"/>
                      <w:sz w:val="21"/>
                      <w:szCs w:val="21"/>
                      <w:u w:val="none"/>
                      <w:lang w:val="en-US" w:eastAsia="zh-CN"/>
                    </w:rPr>
                    <w:t>约为6.8</w:t>
                  </w:r>
                  <w:r>
                    <w:rPr>
                      <w:rFonts w:hint="default" w:ascii="Times New Roman" w:hAnsi="Times New Roman" w:eastAsia="宋体" w:cs="Times New Roman"/>
                      <w:i w:val="0"/>
                      <w:iCs w:val="0"/>
                      <w:color w:val="auto"/>
                      <w:kern w:val="0"/>
                      <w:sz w:val="21"/>
                      <w:szCs w:val="21"/>
                      <w:u w:val="none"/>
                      <w:lang w:val="en-US" w:eastAsia="zh-CN"/>
                    </w:rPr>
                    <w:t>万m</w:t>
                  </w:r>
                  <w:r>
                    <w:rPr>
                      <w:rStyle w:val="152"/>
                      <w:rFonts w:hint="default" w:ascii="Times New Roman" w:hAnsi="Times New Roman" w:eastAsia="宋体" w:cs="Times New Roman"/>
                      <w:color w:val="auto"/>
                      <w:sz w:val="21"/>
                      <w:szCs w:val="21"/>
                      <w:vertAlign w:val="superscript"/>
                      <w:lang w:val="en-US" w:eastAsia="zh-CN"/>
                    </w:rPr>
                    <w:t>2</w:t>
                  </w:r>
                  <w:r>
                    <w:rPr>
                      <w:rStyle w:val="152"/>
                      <w:rFonts w:hint="default" w:ascii="Times New Roman" w:hAnsi="Times New Roman" w:eastAsia="宋体" w:cs="Times New Roman"/>
                      <w:color w:val="auto"/>
                      <w:sz w:val="21"/>
                      <w:szCs w:val="21"/>
                      <w:vertAlign w:val="baseline"/>
                      <w:lang w:val="en-US" w:eastAsia="zh-CN"/>
                    </w:rPr>
                    <w:t>；</w:t>
                  </w:r>
                </w:p>
                <w:p w14:paraId="0C96C15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color w:val="auto"/>
                    </w:rPr>
                  </w:pPr>
                  <w:r>
                    <w:rPr>
                      <w:rStyle w:val="152"/>
                      <w:rFonts w:hint="default" w:ascii="Times New Roman" w:hAnsi="Times New Roman" w:eastAsia="宋体" w:cs="Times New Roman"/>
                      <w:color w:val="auto"/>
                      <w:sz w:val="21"/>
                      <w:szCs w:val="21"/>
                      <w:vertAlign w:val="baseline"/>
                      <w:lang w:val="en-US" w:eastAsia="zh-CN"/>
                    </w:rPr>
                    <w:t>2、</w:t>
                  </w:r>
                  <w:r>
                    <w:rPr>
                      <w:rFonts w:hint="default" w:ascii="Times New Roman" w:hAnsi="Times New Roman" w:cs="Times New Roman"/>
                      <w:bCs/>
                      <w:color w:val="auto"/>
                      <w:sz w:val="21"/>
                      <w:szCs w:val="21"/>
                      <w:highlight w:val="none"/>
                    </w:rPr>
                    <w:t>根据建设单位提供资料，</w:t>
                  </w:r>
                  <w:r>
                    <w:rPr>
                      <w:rFonts w:hint="default" w:ascii="Times New Roman" w:hAnsi="Times New Roman" w:cs="Times New Roman"/>
                      <w:bCs/>
                      <w:color w:val="auto"/>
                      <w:sz w:val="21"/>
                      <w:szCs w:val="21"/>
                      <w:highlight w:val="none"/>
                      <w:lang w:val="en-US" w:eastAsia="zh-CN"/>
                    </w:rPr>
                    <w:t>本项目喷漆工序</w:t>
                  </w:r>
                  <w:r>
                    <w:rPr>
                      <w:rFonts w:hint="default" w:ascii="Times New Roman" w:hAnsi="Times New Roman" w:cs="Times New Roman"/>
                      <w:bCs/>
                      <w:color w:val="auto"/>
                      <w:sz w:val="21"/>
                      <w:szCs w:val="21"/>
                      <w:highlight w:val="none"/>
                    </w:rPr>
                    <w:t>采用空气喷涂法，涂料利用率参考《现代涂装手册 化学工业出版社 2010年（第一版）》内容：“第4章 空气喷涂-4.1.2 空气喷涂的特点”，选取为</w:t>
                  </w:r>
                  <w:r>
                    <w:rPr>
                      <w:rFonts w:hint="eastAsia" w:ascii="Times New Roman" w:hAnsi="Times New Roman" w:cs="Times New Roman"/>
                      <w:bCs/>
                      <w:color w:val="auto"/>
                      <w:sz w:val="21"/>
                      <w:szCs w:val="21"/>
                      <w:highlight w:val="none"/>
                      <w:lang w:val="en-US" w:eastAsia="zh-CN"/>
                    </w:rPr>
                    <w:t>6</w:t>
                  </w:r>
                  <w:r>
                    <w:rPr>
                      <w:rFonts w:hint="default" w:ascii="Times New Roman" w:hAnsi="Times New Roman" w:cs="Times New Roman"/>
                      <w:bCs/>
                      <w:color w:val="auto"/>
                      <w:sz w:val="21"/>
                      <w:szCs w:val="21"/>
                      <w:highlight w:val="none"/>
                    </w:rPr>
                    <w:t>0%</w:t>
                  </w:r>
                  <w:r>
                    <w:rPr>
                      <w:rFonts w:hint="default" w:ascii="Times New Roman" w:hAnsi="Times New Roman" w:cs="Times New Roman"/>
                      <w:bCs/>
                      <w:color w:val="auto"/>
                      <w:sz w:val="21"/>
                      <w:szCs w:val="21"/>
                      <w:highlight w:val="none"/>
                      <w:lang w:eastAsia="zh-CN"/>
                    </w:rPr>
                    <w:t>。</w:t>
                  </w:r>
                </w:p>
                <w:p w14:paraId="3DF10E6A">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default"/>
                      <w:color w:val="auto"/>
                      <w:lang w:val="en-US" w:eastAsia="zh-CN"/>
                    </w:rPr>
                  </w:pPr>
                  <w:r>
                    <w:rPr>
                      <w:rFonts w:hint="eastAsia"/>
                      <w:color w:val="auto"/>
                      <w:lang w:val="en-US" w:eastAsia="zh-CN"/>
                    </w:rPr>
                    <w:t>3、油粉混合线工作模式为，当油漆工作时，喷粉线不工作，同时只进行其中一种工艺处理。根据订单情况选择工作模式。</w:t>
                  </w:r>
                </w:p>
                <w:p w14:paraId="30A59B3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eastAsia" w:ascii="Times New Roman" w:hAnsi="Times New Roman" w:eastAsia="宋体" w:cs="Times New Roman"/>
                      <w:b w:val="0"/>
                      <w:bCs w:val="0"/>
                      <w:i w:val="0"/>
                      <w:iCs w:val="0"/>
                      <w:color w:val="auto"/>
                      <w:kern w:val="0"/>
                      <w:sz w:val="21"/>
                      <w:szCs w:val="21"/>
                      <w:u w:val="none"/>
                      <w:lang w:val="en-US" w:eastAsia="zh-CN" w:bidi="ar"/>
                    </w:rPr>
                  </w:pPr>
                  <w:r>
                    <w:rPr>
                      <w:rFonts w:hint="eastAsia"/>
                      <w:color w:val="auto"/>
                      <w:lang w:val="en-US" w:eastAsia="zh-CN"/>
                    </w:rPr>
                    <w:t>4、根据建设单位提供信息，本表格为供需双方商定喷涂厚度，液体喷涂氟碳涂</w:t>
                  </w:r>
                  <w:r>
                    <w:rPr>
                      <w:rFonts w:hint="eastAsia"/>
                      <w:b w:val="0"/>
                      <w:bCs w:val="0"/>
                      <w:color w:val="auto"/>
                      <w:lang w:val="en-US" w:eastAsia="zh-CN"/>
                    </w:rPr>
                    <w:t>层三涂平均膜厚≥40</w:t>
                  </w:r>
                  <w:r>
                    <w:rPr>
                      <w:rFonts w:hint="default" w:ascii="Times New Roman" w:hAnsi="Times New Roman" w:eastAsia="宋体" w:cs="Times New Roman"/>
                      <w:b w:val="0"/>
                      <w:bCs w:val="0"/>
                      <w:i w:val="0"/>
                      <w:iCs w:val="0"/>
                      <w:color w:val="auto"/>
                      <w:kern w:val="0"/>
                      <w:sz w:val="21"/>
                      <w:szCs w:val="21"/>
                      <w:u w:val="none"/>
                      <w:lang w:val="en-US" w:eastAsia="zh-CN" w:bidi="ar"/>
                    </w:rPr>
                    <w:t>μm</w:t>
                  </w:r>
                  <w:r>
                    <w:rPr>
                      <w:rFonts w:hint="eastAsia" w:cs="Times New Roman"/>
                      <w:b w:val="0"/>
                      <w:bCs w:val="0"/>
                      <w:i w:val="0"/>
                      <w:iCs w:val="0"/>
                      <w:color w:val="auto"/>
                      <w:kern w:val="0"/>
                      <w:sz w:val="21"/>
                      <w:szCs w:val="21"/>
                      <w:u w:val="none"/>
                      <w:lang w:val="en-US" w:eastAsia="zh-CN" w:bidi="ar"/>
                    </w:rPr>
                    <w:t>（最小局部膜厚≥34</w:t>
                  </w:r>
                  <w:r>
                    <w:rPr>
                      <w:rFonts w:hint="default" w:ascii="Times New Roman" w:hAnsi="Times New Roman" w:eastAsia="宋体" w:cs="Times New Roman"/>
                      <w:b w:val="0"/>
                      <w:bCs w:val="0"/>
                      <w:i w:val="0"/>
                      <w:iCs w:val="0"/>
                      <w:color w:val="auto"/>
                      <w:kern w:val="0"/>
                      <w:sz w:val="21"/>
                      <w:szCs w:val="21"/>
                      <w:u w:val="none"/>
                      <w:lang w:val="en-US" w:eastAsia="zh-CN" w:bidi="ar"/>
                    </w:rPr>
                    <w:t>μm</w:t>
                  </w:r>
                  <w:r>
                    <w:rPr>
                      <w:rFonts w:hint="eastAsia" w:cs="Times New Roman"/>
                      <w:b w:val="0"/>
                      <w:bCs w:val="0"/>
                      <w:i w:val="0"/>
                      <w:iCs w:val="0"/>
                      <w:color w:val="auto"/>
                      <w:kern w:val="0"/>
                      <w:sz w:val="21"/>
                      <w:szCs w:val="21"/>
                      <w:u w:val="none"/>
                      <w:lang w:val="en-US" w:eastAsia="zh-CN" w:bidi="ar"/>
                    </w:rPr>
                    <w:t>）</w:t>
                  </w:r>
                  <w:r>
                    <w:rPr>
                      <w:rFonts w:hint="eastAsia" w:ascii="Times New Roman" w:hAnsi="Times New Roman" w:eastAsia="宋体" w:cs="Times New Roman"/>
                      <w:b w:val="0"/>
                      <w:bCs w:val="0"/>
                      <w:i w:val="0"/>
                      <w:iCs w:val="0"/>
                      <w:color w:val="auto"/>
                      <w:kern w:val="0"/>
                      <w:sz w:val="21"/>
                      <w:szCs w:val="21"/>
                      <w:u w:val="none"/>
                      <w:lang w:val="en-US" w:eastAsia="zh-CN" w:bidi="ar"/>
                    </w:rPr>
                    <w:t xml:space="preserve">，满足《建筑装饰用铝单板》（GB/T 23443-2024） 中 </w:t>
                  </w:r>
                  <w:r>
                    <w:rPr>
                      <w:rFonts w:hint="eastAsia" w:cs="Times New Roman"/>
                      <w:b w:val="0"/>
                      <w:bCs w:val="0"/>
                      <w:i w:val="0"/>
                      <w:iCs w:val="0"/>
                      <w:color w:val="auto"/>
                      <w:kern w:val="0"/>
                      <w:sz w:val="21"/>
                      <w:szCs w:val="21"/>
                      <w:u w:val="none"/>
                      <w:lang w:val="en-US" w:eastAsia="zh-CN" w:bidi="ar"/>
                    </w:rPr>
                    <w:t>表</w:t>
                  </w:r>
                  <w:r>
                    <w:rPr>
                      <w:rFonts w:hint="eastAsia" w:ascii="Times New Roman" w:hAnsi="Times New Roman" w:eastAsia="宋体" w:cs="Times New Roman"/>
                      <w:b w:val="0"/>
                      <w:bCs w:val="0"/>
                      <w:i w:val="0"/>
                      <w:iCs w:val="0"/>
                      <w:color w:val="auto"/>
                      <w:kern w:val="0"/>
                      <w:sz w:val="21"/>
                      <w:szCs w:val="21"/>
                      <w:u w:val="none"/>
                      <w:lang w:val="en-US" w:eastAsia="zh-CN" w:bidi="ar"/>
                    </w:rPr>
                    <w:t>3 装饰面层厚度要求。</w:t>
                  </w:r>
                </w:p>
                <w:p w14:paraId="6D7CF094">
                  <w:pPr>
                    <w:pStyle w:val="2"/>
                    <w:ind w:firstLine="420" w:firstLineChars="200"/>
                    <w:rPr>
                      <w:rFonts w:hint="default"/>
                      <w:color w:val="auto"/>
                      <w:lang w:val="en-US" w:eastAsia="zh-CN"/>
                    </w:rPr>
                  </w:pPr>
                  <w:r>
                    <w:rPr>
                      <w:rFonts w:hint="eastAsia" w:ascii="Times New Roman" w:eastAsia="宋体" w:cs="Times New Roman"/>
                      <w:b w:val="0"/>
                      <w:bCs w:val="0"/>
                      <w:i w:val="0"/>
                      <w:iCs w:val="0"/>
                      <w:color w:val="auto"/>
                      <w:kern w:val="0"/>
                      <w:sz w:val="21"/>
                      <w:szCs w:val="21"/>
                      <w:u w:val="none"/>
                      <w:lang w:val="en-US" w:eastAsia="zh-CN" w:bidi="ar"/>
                    </w:rPr>
                    <w:t>5、原料年使用量（吨 / 年）＝（喷涂总面积 × 干膜厚度 × 干漆膜固体密度）÷（涂料质量固含量 × 喷涂原料利用率 × 10⁶）</w:t>
                  </w:r>
                </w:p>
              </w:tc>
            </w:tr>
          </w:tbl>
          <w:p w14:paraId="4F864A2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b/>
                <w:color w:val="auto"/>
                <w:sz w:val="24"/>
                <w:highlight w:val="none"/>
              </w:rPr>
            </w:pPr>
            <w:r>
              <w:rPr>
                <w:rFonts w:hint="eastAsia"/>
                <w:b/>
                <w:color w:val="auto"/>
                <w:sz w:val="24"/>
                <w:highlight w:val="none"/>
                <w:lang w:val="en-US" w:eastAsia="zh-CN"/>
              </w:rPr>
              <w:t>②</w:t>
            </w:r>
            <w:r>
              <w:rPr>
                <w:b/>
                <w:color w:val="auto"/>
                <w:sz w:val="24"/>
                <w:highlight w:val="none"/>
              </w:rPr>
              <w:t>原漆料用量核算</w:t>
            </w:r>
          </w:p>
          <w:p w14:paraId="6AB4F2F9">
            <w:pPr>
              <w:pStyle w:val="2"/>
              <w:pageBreakBefore w:val="0"/>
              <w:wordWrap w:val="0"/>
              <w:overflowPunct/>
              <w:bidi w:val="0"/>
              <w:ind w:firstLine="480" w:firstLineChars="200"/>
              <w:rPr>
                <w:rFonts w:ascii="Times New Roman" w:hAnsi="Times New Roman" w:eastAsia="宋体"/>
                <w:color w:val="auto"/>
                <w:szCs w:val="24"/>
                <w:highlight w:val="none"/>
              </w:rPr>
            </w:pPr>
            <w:r>
              <w:rPr>
                <w:rFonts w:ascii="Times New Roman" w:hAnsi="Times New Roman" w:eastAsia="宋体"/>
                <w:color w:val="auto"/>
                <w:szCs w:val="24"/>
                <w:highlight w:val="none"/>
              </w:rPr>
              <w:t>根据各漆料配比比例，得出原漆料具体成分使用量，详见下表。</w:t>
            </w:r>
          </w:p>
          <w:p w14:paraId="4513CF69">
            <w:pPr>
              <w:pageBreakBefore w:val="0"/>
              <w:widowControl w:val="0"/>
              <w:numPr>
                <w:ilvl w:val="0"/>
                <w:numId w:val="10"/>
              </w:numPr>
              <w:wordWrap w:val="0"/>
              <w:overflowPunct/>
              <w:bidi w:val="0"/>
              <w:spacing w:line="240" w:lineRule="auto"/>
              <w:ind w:left="0" w:leftChars="0" w:firstLine="40" w:firstLineChars="0"/>
              <w:jc w:val="center"/>
              <w:rPr>
                <w:color w:val="auto"/>
                <w:highlight w:val="none"/>
              </w:rPr>
            </w:pPr>
            <w:r>
              <w:rPr>
                <w:b/>
                <w:bCs/>
                <w:color w:val="auto"/>
                <w:sz w:val="21"/>
                <w:szCs w:val="21"/>
                <w:highlight w:val="none"/>
              </w:rPr>
              <w:t>各原漆料用料一览表</w:t>
            </w:r>
          </w:p>
          <w:tbl>
            <w:tblPr>
              <w:tblStyle w:val="4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354"/>
              <w:gridCol w:w="1389"/>
              <w:gridCol w:w="4422"/>
            </w:tblGrid>
            <w:tr w14:paraId="7A41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1" w:type="pct"/>
                  <w:noWrap w:val="0"/>
                  <w:vAlign w:val="center"/>
                </w:tcPr>
                <w:p w14:paraId="0A1ECBE9">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涂层种类</w:t>
                  </w:r>
                </w:p>
              </w:tc>
              <w:tc>
                <w:tcPr>
                  <w:tcW w:w="820" w:type="pct"/>
                  <w:noWrap w:val="0"/>
                  <w:vAlign w:val="center"/>
                </w:tcPr>
                <w:p w14:paraId="25338233">
                  <w:pPr>
                    <w:pageBreakBefore w:val="0"/>
                    <w:wordWrap w:val="0"/>
                    <w:overflowPunct/>
                    <w:bidi w:val="0"/>
                    <w:spacing w:line="240" w:lineRule="auto"/>
                    <w:jc w:val="center"/>
                    <w:outlineLvl w:val="3"/>
                    <w:rPr>
                      <w:b/>
                      <w:color w:val="auto"/>
                      <w:sz w:val="21"/>
                      <w:szCs w:val="21"/>
                      <w:highlight w:val="none"/>
                    </w:rPr>
                  </w:pPr>
                  <w:r>
                    <w:rPr>
                      <w:rFonts w:hint="eastAsia"/>
                      <w:b/>
                      <w:color w:val="auto"/>
                      <w:sz w:val="21"/>
                      <w:szCs w:val="21"/>
                      <w:highlight w:val="none"/>
                      <w:lang w:val="en-US" w:eastAsia="zh-CN"/>
                    </w:rPr>
                    <w:t>漆料</w:t>
                  </w:r>
                  <w:r>
                    <w:rPr>
                      <w:b/>
                      <w:color w:val="auto"/>
                      <w:sz w:val="21"/>
                      <w:szCs w:val="21"/>
                      <w:highlight w:val="none"/>
                    </w:rPr>
                    <w:t>名称</w:t>
                  </w:r>
                </w:p>
              </w:tc>
              <w:tc>
                <w:tcPr>
                  <w:tcW w:w="841" w:type="pct"/>
                  <w:noWrap w:val="0"/>
                  <w:vAlign w:val="center"/>
                </w:tcPr>
                <w:p w14:paraId="3E1F01F4">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原漆料用量（t/a）</w:t>
                  </w:r>
                </w:p>
              </w:tc>
              <w:tc>
                <w:tcPr>
                  <w:tcW w:w="2677" w:type="pct"/>
                  <w:noWrap w:val="0"/>
                  <w:vAlign w:val="center"/>
                </w:tcPr>
                <w:p w14:paraId="1249B3C7">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备注</w:t>
                  </w:r>
                </w:p>
              </w:tc>
            </w:tr>
            <w:tr w14:paraId="2FE4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restart"/>
                  <w:noWrap w:val="0"/>
                  <w:vAlign w:val="center"/>
                </w:tcPr>
                <w:p w14:paraId="3BEE6967">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bCs/>
                      <w:color w:val="auto"/>
                      <w:sz w:val="21"/>
                      <w:szCs w:val="21"/>
                      <w:highlight w:val="none"/>
                      <w:lang w:val="en-US" w:eastAsia="zh-CN"/>
                    </w:rPr>
                    <w:t>油性漆</w:t>
                  </w:r>
                </w:p>
              </w:tc>
              <w:tc>
                <w:tcPr>
                  <w:tcW w:w="820" w:type="pct"/>
                  <w:noWrap w:val="0"/>
                  <w:vAlign w:val="center"/>
                </w:tcPr>
                <w:p w14:paraId="0B1C6DE2">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稀释剂</w:t>
                  </w:r>
                </w:p>
              </w:tc>
              <w:tc>
                <w:tcPr>
                  <w:tcW w:w="1431" w:type="dxa"/>
                  <w:noWrap w:val="0"/>
                  <w:vAlign w:val="center"/>
                </w:tcPr>
                <w:p w14:paraId="772C01BF">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w:t>
                  </w:r>
                  <w:r>
                    <w:rPr>
                      <w:rFonts w:hint="eastAsia" w:cs="Times New Roman"/>
                      <w:i w:val="0"/>
                      <w:iCs w:val="0"/>
                      <w:color w:val="auto"/>
                      <w:kern w:val="0"/>
                      <w:sz w:val="21"/>
                      <w:szCs w:val="21"/>
                      <w:u w:val="none"/>
                      <w:lang w:val="en-US" w:eastAsia="zh-CN" w:bidi="ar"/>
                    </w:rPr>
                    <w:t>49</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26C56A19">
                  <w:pPr>
                    <w:pageBreakBefore w:val="0"/>
                    <w:wordWrap w:val="0"/>
                    <w:overflowPunct/>
                    <w:bidi w:val="0"/>
                    <w:spacing w:line="24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eastAsia"/>
                      <w:color w:val="auto"/>
                      <w:sz w:val="21"/>
                      <w:szCs w:val="21"/>
                      <w:highlight w:val="none"/>
                      <w:lang w:val="en-US" w:eastAsia="zh-CN"/>
                    </w:rPr>
                    <w:t>/</w:t>
                  </w:r>
                </w:p>
              </w:tc>
            </w:tr>
            <w:tr w14:paraId="2FBF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69F96C6E">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72510D0E">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底漆</w:t>
                  </w:r>
                </w:p>
              </w:tc>
              <w:tc>
                <w:tcPr>
                  <w:tcW w:w="1431" w:type="dxa"/>
                  <w:noWrap w:val="0"/>
                  <w:vAlign w:val="center"/>
                </w:tcPr>
                <w:p w14:paraId="149F6E0E">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cs="Times New Roman"/>
                      <w:i w:val="0"/>
                      <w:iCs w:val="0"/>
                      <w:color w:val="auto"/>
                      <w:kern w:val="0"/>
                      <w:sz w:val="21"/>
                      <w:szCs w:val="21"/>
                      <w:u w:val="none"/>
                      <w:lang w:val="en-US" w:eastAsia="zh-CN" w:bidi="ar"/>
                    </w:rPr>
                    <w:t>4.186</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214A7354">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color w:val="auto"/>
                      <w:sz w:val="21"/>
                      <w:szCs w:val="21"/>
                      <w:highlight w:val="none"/>
                      <w:lang w:val="en-US" w:eastAsia="zh-CN"/>
                    </w:rPr>
                    <w:t>漆:稀释剂=1:0.1</w:t>
                  </w:r>
                </w:p>
              </w:tc>
            </w:tr>
            <w:tr w14:paraId="148A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13170FC6">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0692919B">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面漆</w:t>
                  </w:r>
                </w:p>
              </w:tc>
              <w:tc>
                <w:tcPr>
                  <w:tcW w:w="1431" w:type="dxa"/>
                  <w:noWrap w:val="0"/>
                  <w:vAlign w:val="center"/>
                </w:tcPr>
                <w:p w14:paraId="0CFE9C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3.359</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5DA62D6C">
                  <w:pPr>
                    <w:pageBreakBefore w:val="0"/>
                    <w:wordWrap w:val="0"/>
                    <w:overflowPunct/>
                    <w:bidi w:val="0"/>
                    <w:spacing w:line="240" w:lineRule="auto"/>
                    <w:jc w:val="center"/>
                    <w:outlineLvl w:val="3"/>
                    <w:rPr>
                      <w:rFonts w:hint="default"/>
                      <w:bCs/>
                      <w:color w:val="auto"/>
                      <w:sz w:val="21"/>
                      <w:szCs w:val="21"/>
                      <w:highlight w:val="none"/>
                      <w:lang w:val="en-US" w:eastAsia="zh-CN"/>
                    </w:rPr>
                  </w:pPr>
                  <w:r>
                    <w:rPr>
                      <w:rFonts w:hint="eastAsia"/>
                      <w:color w:val="auto"/>
                      <w:sz w:val="21"/>
                      <w:szCs w:val="21"/>
                      <w:highlight w:val="none"/>
                      <w:lang w:val="en-US" w:eastAsia="zh-CN"/>
                    </w:rPr>
                    <w:t>漆:稀释剂=1:0.2</w:t>
                  </w:r>
                </w:p>
              </w:tc>
            </w:tr>
            <w:tr w14:paraId="3332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pct"/>
                  <w:vMerge w:val="continue"/>
                  <w:noWrap w:val="0"/>
                  <w:vAlign w:val="center"/>
                </w:tcPr>
                <w:p w14:paraId="08FE8B55">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36FD9B60">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清漆</w:t>
                  </w:r>
                </w:p>
              </w:tc>
              <w:tc>
                <w:tcPr>
                  <w:tcW w:w="1431" w:type="dxa"/>
                  <w:noWrap w:val="0"/>
                  <w:vAlign w:val="center"/>
                </w:tcPr>
                <w:p w14:paraId="041E6F46">
                  <w:pPr>
                    <w:keepNext w:val="0"/>
                    <w:keepLines w:val="0"/>
                    <w:widowControl/>
                    <w:suppressLineNumbers w:val="0"/>
                    <w:jc w:val="center"/>
                    <w:textAlignment w:val="center"/>
                    <w:rPr>
                      <w:rFonts w:hint="default" w:eastAsia="宋体"/>
                      <w:bCs/>
                      <w:color w:val="auto"/>
                      <w:sz w:val="21"/>
                      <w:szCs w:val="21"/>
                      <w:highlight w:val="none"/>
                      <w:lang w:val="en-US" w:eastAsia="zh-CN"/>
                    </w:rPr>
                  </w:pPr>
                  <w:r>
                    <w:rPr>
                      <w:rFonts w:hint="eastAsia" w:cs="Times New Roman"/>
                      <w:i w:val="0"/>
                      <w:iCs w:val="0"/>
                      <w:color w:val="auto"/>
                      <w:kern w:val="0"/>
                      <w:sz w:val="21"/>
                      <w:szCs w:val="21"/>
                      <w:u w:val="none"/>
                      <w:lang w:val="en-US" w:eastAsia="zh-CN" w:bidi="ar"/>
                    </w:rPr>
                    <w:t>1.057</w:t>
                  </w:r>
                </w:p>
              </w:tc>
              <w:tc>
                <w:tcPr>
                  <w:tcW w:w="2677" w:type="pct"/>
                  <w:noWrap w:val="0"/>
                  <w:vAlign w:val="center"/>
                </w:tcPr>
                <w:p w14:paraId="0443B0AC">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color w:val="auto"/>
                      <w:sz w:val="21"/>
                      <w:szCs w:val="21"/>
                      <w:highlight w:val="none"/>
                      <w:lang w:val="en-US" w:eastAsia="zh-CN"/>
                    </w:rPr>
                    <w:t>漆:稀释剂=1:0.15</w:t>
                  </w:r>
                </w:p>
              </w:tc>
            </w:tr>
            <w:tr w14:paraId="07F7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noWrap w:val="0"/>
                  <w:vAlign w:val="center"/>
                </w:tcPr>
                <w:p w14:paraId="6181E9ED">
                  <w:pPr>
                    <w:pStyle w:val="24"/>
                    <w:spacing w:line="360" w:lineRule="auto"/>
                    <w:ind w:left="0" w:leftChars="0" w:firstLine="0" w:firstLineChars="0"/>
                    <w:rPr>
                      <w:rFonts w:hint="eastAsia"/>
                      <w:color w:val="auto"/>
                      <w:sz w:val="21"/>
                      <w:szCs w:val="21"/>
                      <w:highlight w:val="none"/>
                      <w:lang w:val="en-US" w:eastAsia="zh-CN"/>
                    </w:rPr>
                  </w:pPr>
                  <w:r>
                    <w:rPr>
                      <w:rFonts w:hint="eastAsia" w:cs="Times New Roman"/>
                      <w:color w:val="auto"/>
                      <w:sz w:val="21"/>
                      <w:szCs w:val="21"/>
                      <w:highlight w:val="none"/>
                      <w:lang w:val="en-US" w:eastAsia="zh-CN"/>
                    </w:rPr>
                    <w:t>注：</w:t>
                  </w:r>
                  <w:r>
                    <w:rPr>
                      <w:rFonts w:hint="default" w:ascii="Times New Roman" w:hAnsi="Times New Roman" w:cs="Times New Roman"/>
                      <w:color w:val="auto"/>
                      <w:sz w:val="21"/>
                      <w:szCs w:val="21"/>
                      <w:highlight w:val="none"/>
                    </w:rPr>
                    <w:t>油性漆不可替代说明：油性漆相对硬度较高，具有很好的耐污性、易清洁性且耐磨抗刮，这使得</w:t>
                  </w:r>
                  <w:r>
                    <w:rPr>
                      <w:rFonts w:hint="eastAsia" w:cs="Times New Roman"/>
                      <w:color w:val="auto"/>
                      <w:sz w:val="21"/>
                      <w:szCs w:val="21"/>
                      <w:highlight w:val="none"/>
                      <w:lang w:val="en-US" w:eastAsia="zh-CN"/>
                    </w:rPr>
                    <w:t>产品</w:t>
                  </w:r>
                  <w:r>
                    <w:rPr>
                      <w:rFonts w:hint="default" w:ascii="Times New Roman" w:hAnsi="Times New Roman" w:cs="Times New Roman"/>
                      <w:color w:val="auto"/>
                      <w:sz w:val="21"/>
                      <w:szCs w:val="21"/>
                      <w:highlight w:val="none"/>
                    </w:rPr>
                    <w:t>即使在频繁使用后也能保持干净整洁。油性漆表面光滑，可以轻易擦去污渍，无需特殊清洁剂即可保持清洁。油性漆在产品生产过程中有机成分全部挥发，产品表面残留物均为安全成分。因此，根据客户要求，本项目目前对少部分耐磨性要求高的产品仍需采用油性漆进行生产。</w:t>
                  </w:r>
                </w:p>
              </w:tc>
            </w:tr>
          </w:tbl>
          <w:p w14:paraId="74DF286A">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w:t>
            </w:r>
            <w:r>
              <w:rPr>
                <w:rFonts w:hint="eastAsia" w:ascii="Times New Roman" w:cs="Times New Roman"/>
                <w:b/>
                <w:bCs/>
                <w:color w:val="auto"/>
                <w:sz w:val="21"/>
                <w:szCs w:val="21"/>
                <w:highlight w:val="none"/>
              </w:rPr>
              <w:t>项目涉VOCs原辅材料VOCs含量情况一览表</w:t>
            </w:r>
          </w:p>
          <w:tbl>
            <w:tblPr>
              <w:tblStyle w:val="48"/>
              <w:tblW w:w="852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6"/>
              <w:gridCol w:w="1078"/>
              <w:gridCol w:w="1078"/>
              <w:gridCol w:w="1495"/>
              <w:gridCol w:w="1302"/>
              <w:gridCol w:w="1302"/>
              <w:gridCol w:w="788"/>
            </w:tblGrid>
            <w:tr w14:paraId="1986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802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漆种类</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B2F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底漆</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7C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面漆</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E70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清漆</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5F7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配漆稀释剂</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ADD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喷枪清洗剂</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993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粉末涂料</w:t>
                  </w:r>
                </w:p>
              </w:tc>
            </w:tr>
            <w:tr w14:paraId="7171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5D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用量</w:t>
                  </w:r>
                  <w:r>
                    <w:rPr>
                      <w:rFonts w:hint="default" w:ascii="Times New Roman" w:hAnsi="Times New Roman" w:eastAsia="宋体" w:cs="Times New Roman"/>
                      <w:i w:val="0"/>
                      <w:iCs w:val="0"/>
                      <w:color w:val="auto"/>
                      <w:kern w:val="0"/>
                      <w:sz w:val="21"/>
                      <w:szCs w:val="21"/>
                      <w:u w:val="none"/>
                      <w:lang w:val="en-US" w:eastAsia="zh-CN" w:bidi="ar"/>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66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06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39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71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B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67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1478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06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密度</w:t>
                  </w:r>
                  <w:r>
                    <w:rPr>
                      <w:rFonts w:hint="default" w:ascii="Times New Roman" w:hAnsi="Times New Roman" w:eastAsia="宋体" w:cs="Times New Roman"/>
                      <w:i w:val="0"/>
                      <w:iCs w:val="0"/>
                      <w:color w:val="auto"/>
                      <w:kern w:val="0"/>
                      <w:sz w:val="21"/>
                      <w:szCs w:val="21"/>
                      <w:u w:val="none"/>
                      <w:lang w:val="en-US" w:eastAsia="zh-CN" w:bidi="ar"/>
                    </w:rPr>
                    <w:t>g/cm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1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9A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FA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6A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89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9CCB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AF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（调漆前）</w:t>
                  </w: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含量</w:t>
                  </w:r>
                  <w:r>
                    <w:rPr>
                      <w:rFonts w:hint="default" w:ascii="Times New Roman" w:hAnsi="Times New Roman" w:eastAsia="宋体" w:cs="Times New Roman"/>
                      <w:i w:val="0"/>
                      <w:iCs w:val="0"/>
                      <w:color w:val="auto"/>
                      <w:kern w:val="0"/>
                      <w:sz w:val="21"/>
                      <w:szCs w:val="21"/>
                      <w:u w:val="none"/>
                      <w:lang w:val="en-US" w:eastAsia="zh-CN" w:bidi="ar"/>
                    </w:rPr>
                    <w:t>%</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88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23.7852%</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66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30.6256%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59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24.5524%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C1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91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65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1.2kg/t</w:t>
                  </w:r>
                  <w:r>
                    <w:rPr>
                      <w:rFonts w:hint="eastAsia" w:ascii="宋体" w:hAnsi="宋体" w:eastAsia="宋体" w:cs="宋体"/>
                      <w:i w:val="0"/>
                      <w:iCs w:val="0"/>
                      <w:color w:val="auto"/>
                      <w:kern w:val="0"/>
                      <w:sz w:val="21"/>
                      <w:szCs w:val="21"/>
                      <w:u w:val="none"/>
                      <w:lang w:val="en-US" w:eastAsia="zh-CN" w:bidi="ar"/>
                    </w:rPr>
                    <w:t>粉末涂料</w:t>
                  </w:r>
                </w:p>
              </w:tc>
            </w:tr>
            <w:tr w14:paraId="23C4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E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6D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0.9957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3B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1.0288 </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4E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0.2596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76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1.2491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6A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0.0419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43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0.1270 </w:t>
                  </w:r>
                </w:p>
              </w:tc>
            </w:tr>
            <w:tr w14:paraId="727E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86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（调漆后）</w:t>
                  </w:r>
                  <w:r>
                    <w:rPr>
                      <w:rFonts w:hint="default" w:ascii="Times New Roman" w:hAnsi="Times New Roman" w:eastAsia="宋体" w:cs="Times New Roman"/>
                      <w:i w:val="0"/>
                      <w:iCs w:val="0"/>
                      <w:color w:val="auto"/>
                      <w:kern w:val="0"/>
                      <w:sz w:val="21"/>
                      <w:szCs w:val="21"/>
                      <w:u w:val="none"/>
                      <w:lang w:val="en-US" w:eastAsia="zh-CN" w:bidi="ar"/>
                    </w:rPr>
                    <w:t>施工状态下VOC含量</w:t>
                  </w:r>
                  <w:r>
                    <w:rPr>
                      <w:rFonts w:hint="eastAsia" w:cs="Times New Roman"/>
                      <w:i w:val="0"/>
                      <w:iCs w:val="0"/>
                      <w:color w:val="auto"/>
                      <w:kern w:val="0"/>
                      <w:sz w:val="21"/>
                      <w:szCs w:val="21"/>
                      <w:u w:val="none"/>
                      <w:lang w:val="en-US" w:eastAsia="zh-CN" w:bidi="ar"/>
                    </w:rPr>
                    <w:t>g/L</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09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350.2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B2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437.2 </w:t>
                  </w: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F3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387.5 </w:t>
                  </w:r>
                </w:p>
              </w:tc>
              <w:tc>
                <w:tcPr>
                  <w:tcW w:w="1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C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E0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0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DBE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9B56">
                  <w:pPr>
                    <w:keepNext w:val="0"/>
                    <w:keepLines w:val="0"/>
                    <w:widowControl/>
                    <w:numPr>
                      <w:ilvl w:val="0"/>
                      <w:numId w:val="12"/>
                    </w:numPr>
                    <w:suppressLineNumbers w:val="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喷枪清洗</w:t>
                  </w:r>
                  <w:r>
                    <w:rPr>
                      <w:rFonts w:hint="eastAsia" w:cs="Times New Roman"/>
                      <w:i w:val="0"/>
                      <w:iCs w:val="0"/>
                      <w:color w:val="auto"/>
                      <w:kern w:val="0"/>
                      <w:sz w:val="21"/>
                      <w:szCs w:val="21"/>
                      <w:u w:val="none"/>
                      <w:lang w:val="en-US" w:eastAsia="zh-CN" w:bidi="ar"/>
                    </w:rPr>
                    <w:t>过程在密闭塑料桶内，仅在塑料桶开关盖时有少量清洗剂的挥发，本项目保守以</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cs="Times New Roman"/>
                      <w:i w:val="0"/>
                      <w:iCs w:val="0"/>
                      <w:color w:val="auto"/>
                      <w:kern w:val="0"/>
                      <w:sz w:val="21"/>
                      <w:szCs w:val="21"/>
                      <w:u w:val="none"/>
                      <w:lang w:val="en-US" w:eastAsia="zh-CN" w:bidi="ar"/>
                    </w:rPr>
                    <w:t>的</w:t>
                  </w:r>
                  <w:r>
                    <w:rPr>
                      <w:rFonts w:hint="default" w:ascii="Times New Roman" w:hAnsi="Times New Roman" w:eastAsia="宋体" w:cs="Times New Roman"/>
                      <w:i w:val="0"/>
                      <w:iCs w:val="0"/>
                      <w:color w:val="auto"/>
                      <w:kern w:val="0"/>
                      <w:sz w:val="21"/>
                      <w:szCs w:val="21"/>
                      <w:u w:val="none"/>
                      <w:lang w:val="en-US" w:eastAsia="zh-CN" w:bidi="ar"/>
                    </w:rPr>
                    <w:t>挥发</w:t>
                  </w:r>
                  <w:r>
                    <w:rPr>
                      <w:rFonts w:hint="eastAsia" w:cs="Times New Roman"/>
                      <w:i w:val="0"/>
                      <w:iCs w:val="0"/>
                      <w:color w:val="auto"/>
                      <w:kern w:val="0"/>
                      <w:sz w:val="21"/>
                      <w:szCs w:val="21"/>
                      <w:u w:val="none"/>
                      <w:lang w:val="en-US" w:eastAsia="zh-CN" w:bidi="ar"/>
                    </w:rPr>
                    <w:t>占比</w:t>
                  </w:r>
                  <w:r>
                    <w:rPr>
                      <w:rFonts w:hint="default" w:ascii="Times New Roman" w:hAnsi="Times New Roman" w:eastAsia="宋体" w:cs="Times New Roman"/>
                      <w:i w:val="0"/>
                      <w:iCs w:val="0"/>
                      <w:color w:val="auto"/>
                      <w:kern w:val="0"/>
                      <w:sz w:val="21"/>
                      <w:szCs w:val="21"/>
                      <w:u w:val="none"/>
                      <w:lang w:val="en-US" w:eastAsia="zh-CN" w:bidi="ar"/>
                    </w:rPr>
                    <w:t>计，其余50%进入危险废物。</w:t>
                  </w:r>
                </w:p>
                <w:p w14:paraId="4AFAC97D">
                  <w:pPr>
                    <w:pStyle w:val="2"/>
                    <w:numPr>
                      <w:ilvl w:val="0"/>
                      <w:numId w:val="12"/>
                    </w:numP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溶剂型涂料-工业防护涂料-金属基层防腐涂料-单组分：≤500g/L，本项目使用底漆、面漆、清漆符合</w:t>
                  </w:r>
                  <w:r>
                    <w:rPr>
                      <w:rFonts w:hint="default" w:ascii="Times New Roman" w:hAnsi="Times New Roman" w:cs="Times New Roman"/>
                      <w:bCs/>
                      <w:color w:val="auto"/>
                      <w:kern w:val="2"/>
                      <w:sz w:val="21"/>
                      <w:szCs w:val="21"/>
                      <w:highlight w:val="none"/>
                    </w:rPr>
                    <w:t>《低挥发性有机化合物含量涂料产品技术要求》（GB/T38597-2020）</w:t>
                  </w:r>
                  <w:r>
                    <w:rPr>
                      <w:rFonts w:hint="default" w:ascii="Times New Roman" w:hAnsi="Times New Roman" w:cs="Times New Roman"/>
                      <w:color w:val="auto"/>
                      <w:sz w:val="21"/>
                      <w:szCs w:val="21"/>
                    </w:rPr>
                    <w:t>要求</w:t>
                  </w:r>
                  <w:r>
                    <w:rPr>
                      <w:rFonts w:hint="default" w:ascii="Times New Roman" w:hAnsi="Times New Roman" w:cs="Times New Roman"/>
                      <w:color w:val="auto"/>
                      <w:sz w:val="21"/>
                      <w:szCs w:val="21"/>
                      <w:lang w:eastAsia="zh-CN"/>
                    </w:rPr>
                    <w:t>。</w:t>
                  </w:r>
                </w:p>
                <w:p w14:paraId="687C4562">
                  <w:pPr>
                    <w:pStyle w:val="2"/>
                    <w:numPr>
                      <w:ilvl w:val="0"/>
                      <w:numId w:val="12"/>
                    </w:numPr>
                    <w:rPr>
                      <w:rFonts w:hint="eastAsia" w:eastAsia="宋体"/>
                      <w:color w:val="auto"/>
                      <w:lang w:val="en-US" w:eastAsia="zh-CN"/>
                    </w:rPr>
                  </w:pPr>
                  <w:r>
                    <w:rPr>
                      <w:rFonts w:hint="default" w:ascii="Times New Roman" w:hAnsi="Times New Roman" w:cs="Times New Roman"/>
                      <w:color w:val="auto"/>
                      <w:sz w:val="21"/>
                      <w:szCs w:val="21"/>
                      <w:lang w:val="en-US" w:eastAsia="zh-CN"/>
                    </w:rPr>
                    <w:t>喷枪清洗剂，满足</w:t>
                  </w:r>
                  <w:r>
                    <w:rPr>
                      <w:rFonts w:hint="default" w:ascii="Times New Roman" w:hAnsi="Times New Roman" w:cs="Times New Roman"/>
                      <w:color w:val="auto"/>
                      <w:sz w:val="21"/>
                      <w:szCs w:val="21"/>
                    </w:rPr>
                    <w:t>有机溶剂清洗剂 《清洗剂挥发性有机化合物含量限值》（GB38508-2020）VOC</w:t>
                  </w:r>
                  <w:r>
                    <w:rPr>
                      <w:rFonts w:hint="eastAsia" w:ascii="Times New Roman" w:cs="Times New Roman"/>
                      <w:color w:val="auto"/>
                      <w:sz w:val="21"/>
                      <w:szCs w:val="21"/>
                      <w:lang w:val="en-US" w:eastAsia="zh-CN"/>
                    </w:rPr>
                    <w:t>s</w:t>
                  </w:r>
                  <w:r>
                    <w:rPr>
                      <w:rFonts w:hint="default" w:ascii="Times New Roman" w:hAnsi="Times New Roman" w:cs="Times New Roman"/>
                      <w:color w:val="auto"/>
                      <w:sz w:val="21"/>
                      <w:szCs w:val="21"/>
                    </w:rPr>
                    <w:t xml:space="preserve"> 含量限值（≤ 900g/L）</w:t>
                  </w:r>
                  <w:r>
                    <w:rPr>
                      <w:rFonts w:hint="default" w:ascii="Times New Roman" w:hAnsi="Times New Roman" w:cs="Times New Roman"/>
                      <w:color w:val="auto"/>
                      <w:sz w:val="21"/>
                      <w:szCs w:val="21"/>
                      <w:lang w:val="en-US" w:eastAsia="zh-CN"/>
                    </w:rPr>
                    <w:t>要求</w:t>
                  </w:r>
                  <w:r>
                    <w:rPr>
                      <w:rFonts w:hint="default" w:ascii="Times New Roman" w:hAnsi="Times New Roman" w:cs="Times New Roman"/>
                      <w:color w:val="auto"/>
                      <w:lang w:val="en-US" w:eastAsia="zh-CN"/>
                    </w:rPr>
                    <w:t>。</w:t>
                  </w:r>
                </w:p>
              </w:tc>
            </w:tr>
          </w:tbl>
          <w:p w14:paraId="5065625D">
            <w:pPr>
              <w:pageBreakBefore w:val="0"/>
              <w:widowControl w:val="0"/>
              <w:wordWrap w:val="0"/>
              <w:overflowPunct/>
              <w:bidi w:val="0"/>
              <w:spacing w:line="36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bCs/>
                <w:color w:val="auto"/>
                <w:kern w:val="2"/>
                <w:sz w:val="24"/>
                <w:szCs w:val="24"/>
                <w:highlight w:val="none"/>
                <w:lang w:val="en-US" w:eastAsia="zh-CN" w:bidi="ar-SA"/>
              </w:rPr>
              <w:t>③</w:t>
            </w:r>
            <w:r>
              <w:rPr>
                <w:rFonts w:hint="eastAsia" w:ascii="Times New Roman" w:hAnsi="Times New Roman" w:eastAsia="宋体" w:cs="Times New Roman"/>
                <w:b/>
                <w:bCs/>
                <w:color w:val="auto"/>
                <w:kern w:val="2"/>
                <w:sz w:val="24"/>
                <w:szCs w:val="24"/>
                <w:highlight w:val="none"/>
                <w:lang w:val="en-US" w:eastAsia="zh-CN" w:bidi="ar-SA"/>
              </w:rPr>
              <w:t>粉末涂料用量核算</w:t>
            </w:r>
          </w:p>
          <w:p w14:paraId="4989FA6E">
            <w:pPr>
              <w:widowControl/>
              <w:wordWrap w:val="0"/>
              <w:topLinePunct/>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根据《现代涂装手册 化学工业出版社 2010年（第一版）》内容：“第13章粉末涂装 表13-1粉末涂料和液体涂料的涂装性能比较”可知，静电喷粉涂料喷涂损失率小于10%，综合考虑本项目设备性能及粉末喷粉厚度，静电喷粉附在工件表面的附着率取70%，无法吸附在工件上的喷粉材料约占30%。</w:t>
            </w:r>
          </w:p>
          <w:p w14:paraId="22DD6152">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粉末使用量计算一览表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503"/>
              <w:gridCol w:w="1015"/>
              <w:gridCol w:w="1273"/>
              <w:gridCol w:w="1273"/>
              <w:gridCol w:w="1302"/>
            </w:tblGrid>
            <w:tr w14:paraId="2F13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52" w:type="dxa"/>
                  <w:vAlign w:val="center"/>
                </w:tcPr>
                <w:p w14:paraId="6754257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产品喷粉总面积/m</w:t>
                  </w:r>
                  <w:r>
                    <w:rPr>
                      <w:rFonts w:hint="default" w:ascii="Times New Roman" w:hAnsi="Times New Roman" w:eastAsia="宋体" w:cs="Times New Roman"/>
                      <w:b/>
                      <w:bCs/>
                      <w:color w:val="auto"/>
                      <w:kern w:val="2"/>
                      <w:sz w:val="21"/>
                      <w:szCs w:val="21"/>
                      <w:highlight w:val="none"/>
                      <w:vertAlign w:val="superscript"/>
                      <w:lang w:bidi="ar"/>
                    </w:rPr>
                    <w:t>2</w:t>
                  </w:r>
                </w:p>
              </w:tc>
              <w:tc>
                <w:tcPr>
                  <w:tcW w:w="1503" w:type="dxa"/>
                  <w:vAlign w:val="center"/>
                </w:tcPr>
                <w:p w14:paraId="1B09B61E">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喷粉厚度（</w:t>
                  </w:r>
                  <w:r>
                    <w:rPr>
                      <w:rFonts w:hint="default" w:ascii="Times New Roman" w:hAnsi="Times New Roman" w:eastAsia="宋体" w:cs="Times New Roman"/>
                      <w:b/>
                      <w:bCs/>
                      <w:color w:val="auto"/>
                      <w:kern w:val="2"/>
                      <w:sz w:val="21"/>
                      <w:szCs w:val="21"/>
                      <w:highlight w:val="none"/>
                    </w:rPr>
                    <w:t>μm）</w:t>
                  </w:r>
                </w:p>
              </w:tc>
              <w:tc>
                <w:tcPr>
                  <w:tcW w:w="1015" w:type="dxa"/>
                  <w:vAlign w:val="center"/>
                </w:tcPr>
                <w:p w14:paraId="3FBCEF1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密度/g/cm</w:t>
                  </w:r>
                  <w:r>
                    <w:rPr>
                      <w:rFonts w:hint="default" w:ascii="Times New Roman" w:hAnsi="Times New Roman" w:eastAsia="宋体" w:cs="Times New Roman"/>
                      <w:b/>
                      <w:bCs/>
                      <w:color w:val="auto"/>
                      <w:kern w:val="2"/>
                      <w:sz w:val="21"/>
                      <w:szCs w:val="21"/>
                      <w:highlight w:val="none"/>
                      <w:vertAlign w:val="superscript"/>
                      <w:lang w:bidi="ar"/>
                    </w:rPr>
                    <w:t>3</w:t>
                  </w:r>
                </w:p>
              </w:tc>
              <w:tc>
                <w:tcPr>
                  <w:tcW w:w="1273" w:type="dxa"/>
                  <w:vAlign w:val="center"/>
                </w:tcPr>
                <w:p w14:paraId="52F4F790">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eastAsia" w:ascii="Times New Roman" w:hAnsi="Times New Roman" w:eastAsia="宋体" w:cs="Times New Roman"/>
                      <w:b/>
                      <w:bCs/>
                      <w:color w:val="auto"/>
                      <w:kern w:val="2"/>
                      <w:sz w:val="21"/>
                      <w:szCs w:val="21"/>
                      <w:highlight w:val="none"/>
                      <w:lang w:bidi="ar"/>
                    </w:rPr>
                    <w:t>一次</w:t>
                  </w:r>
                  <w:r>
                    <w:rPr>
                      <w:rFonts w:hint="default" w:ascii="Times New Roman" w:hAnsi="Times New Roman" w:eastAsia="宋体" w:cs="Times New Roman"/>
                      <w:b/>
                      <w:bCs/>
                      <w:color w:val="auto"/>
                      <w:kern w:val="2"/>
                      <w:sz w:val="21"/>
                      <w:szCs w:val="21"/>
                      <w:highlight w:val="none"/>
                      <w:lang w:bidi="ar"/>
                    </w:rPr>
                    <w:t>附着率%</w:t>
                  </w:r>
                </w:p>
              </w:tc>
              <w:tc>
                <w:tcPr>
                  <w:tcW w:w="1273" w:type="dxa"/>
                  <w:vAlign w:val="center"/>
                </w:tcPr>
                <w:p w14:paraId="213F153A">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综合利用率%</w:t>
                  </w:r>
                </w:p>
              </w:tc>
              <w:tc>
                <w:tcPr>
                  <w:tcW w:w="1302" w:type="dxa"/>
                  <w:vAlign w:val="center"/>
                </w:tcPr>
                <w:p w14:paraId="79F0E606">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粉末使用量t/a</w:t>
                  </w:r>
                </w:p>
              </w:tc>
            </w:tr>
            <w:tr w14:paraId="78C9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52" w:type="dxa"/>
                  <w:vAlign w:val="center"/>
                </w:tcPr>
                <w:p w14:paraId="205C6CD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1032000</w:t>
                  </w:r>
                </w:p>
              </w:tc>
              <w:tc>
                <w:tcPr>
                  <w:tcW w:w="1503" w:type="dxa"/>
                  <w:vAlign w:val="center"/>
                </w:tcPr>
                <w:p w14:paraId="02D6199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015" w:type="dxa"/>
                  <w:vAlign w:val="center"/>
                </w:tcPr>
                <w:p w14:paraId="7436BDF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273" w:type="dxa"/>
                  <w:vAlign w:val="center"/>
                </w:tcPr>
                <w:p w14:paraId="4922E4E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273" w:type="dxa"/>
                  <w:vAlign w:val="center"/>
                </w:tcPr>
                <w:p w14:paraId="30B51A5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95.54%</w:t>
                  </w:r>
                </w:p>
              </w:tc>
              <w:tc>
                <w:tcPr>
                  <w:tcW w:w="1302" w:type="dxa"/>
                  <w:vAlign w:val="center"/>
                </w:tcPr>
                <w:p w14:paraId="545FD5B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10A0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018" w:type="dxa"/>
                  <w:gridSpan w:val="6"/>
                  <w:vAlign w:val="center"/>
                </w:tcPr>
                <w:p w14:paraId="346DF2ED">
                  <w:pPr>
                    <w:keepNext w:val="0"/>
                    <w:keepLines w:val="0"/>
                    <w:widowControl/>
                    <w:suppressLineNumbers w:val="0"/>
                    <w:wordWrap w:val="0"/>
                    <w:topLinePunct/>
                    <w:spacing w:before="0" w:beforeAutospacing="0" w:after="0" w:afterAutospacing="0" w:line="240" w:lineRule="auto"/>
                    <w:ind w:left="0" w:right="0"/>
                    <w:rPr>
                      <w:rFonts w:hint="default"/>
                      <w:color w:val="auto"/>
                      <w:kern w:val="2"/>
                      <w:sz w:val="21"/>
                      <w:szCs w:val="21"/>
                      <w:highlight w:val="none"/>
                      <w:lang w:bidi="ar"/>
                    </w:rPr>
                  </w:pPr>
                  <w:r>
                    <w:rPr>
                      <w:rFonts w:hint="default"/>
                      <w:color w:val="auto"/>
                      <w:kern w:val="2"/>
                      <w:sz w:val="21"/>
                      <w:szCs w:val="21"/>
                      <w:highlight w:val="none"/>
                      <w:lang w:bidi="ar"/>
                    </w:rPr>
                    <w:t>注：①根据粉末涂料MSDS报告可知，该物质的密度为1.</w:t>
                  </w:r>
                  <w:r>
                    <w:rPr>
                      <w:rFonts w:hint="eastAsia"/>
                      <w:color w:val="auto"/>
                      <w:kern w:val="2"/>
                      <w:sz w:val="21"/>
                      <w:szCs w:val="21"/>
                      <w:highlight w:val="none"/>
                      <w:lang w:val="en-US" w:eastAsia="zh-CN" w:bidi="ar"/>
                    </w:rPr>
                    <w:t>3</w:t>
                  </w:r>
                  <w:r>
                    <w:rPr>
                      <w:rFonts w:hint="default"/>
                      <w:color w:val="auto"/>
                      <w:kern w:val="2"/>
                      <w:sz w:val="21"/>
                      <w:szCs w:val="21"/>
                      <w:highlight w:val="none"/>
                      <w:lang w:bidi="ar"/>
                    </w:rPr>
                    <w:t>～1.</w:t>
                  </w:r>
                  <w:r>
                    <w:rPr>
                      <w:rFonts w:hint="eastAsia"/>
                      <w:color w:val="auto"/>
                      <w:kern w:val="2"/>
                      <w:sz w:val="21"/>
                      <w:szCs w:val="21"/>
                      <w:highlight w:val="none"/>
                      <w:lang w:val="en-US" w:eastAsia="zh-CN" w:bidi="ar"/>
                    </w:rPr>
                    <w:t>4</w:t>
                  </w:r>
                  <w:r>
                    <w:rPr>
                      <w:rFonts w:hint="default"/>
                      <w:color w:val="auto"/>
                      <w:kern w:val="2"/>
                      <w:sz w:val="21"/>
                      <w:szCs w:val="21"/>
                      <w:highlight w:val="none"/>
                      <w:lang w:bidi="ar"/>
                    </w:rPr>
                    <w:t>g/cm</w:t>
                  </w:r>
                  <w:r>
                    <w:rPr>
                      <w:rFonts w:hint="default"/>
                      <w:color w:val="auto"/>
                      <w:kern w:val="2"/>
                      <w:sz w:val="21"/>
                      <w:szCs w:val="21"/>
                      <w:highlight w:val="none"/>
                      <w:vertAlign w:val="superscript"/>
                      <w:lang w:bidi="ar"/>
                    </w:rPr>
                    <w:t>3</w:t>
                  </w:r>
                  <w:r>
                    <w:rPr>
                      <w:rFonts w:hint="default"/>
                      <w:color w:val="auto"/>
                      <w:kern w:val="2"/>
                      <w:sz w:val="21"/>
                      <w:szCs w:val="21"/>
                      <w:highlight w:val="none"/>
                      <w:lang w:bidi="ar"/>
                    </w:rPr>
                    <w:t>，本评价取值1.</w:t>
                  </w:r>
                  <w:r>
                    <w:rPr>
                      <w:rFonts w:hint="eastAsia"/>
                      <w:color w:val="auto"/>
                      <w:kern w:val="2"/>
                      <w:sz w:val="21"/>
                      <w:szCs w:val="21"/>
                      <w:highlight w:val="none"/>
                      <w:lang w:val="en-US" w:eastAsia="zh-CN" w:bidi="ar"/>
                    </w:rPr>
                    <w:t>4</w:t>
                  </w:r>
                  <w:r>
                    <w:rPr>
                      <w:rFonts w:hint="default"/>
                      <w:color w:val="auto"/>
                      <w:kern w:val="2"/>
                      <w:sz w:val="21"/>
                      <w:szCs w:val="21"/>
                      <w:highlight w:val="none"/>
                      <w:lang w:bidi="ar"/>
                    </w:rPr>
                    <w:t>g/cm</w:t>
                  </w:r>
                  <w:r>
                    <w:rPr>
                      <w:rFonts w:hint="default"/>
                      <w:color w:val="auto"/>
                      <w:kern w:val="2"/>
                      <w:sz w:val="21"/>
                      <w:szCs w:val="21"/>
                      <w:highlight w:val="none"/>
                      <w:vertAlign w:val="superscript"/>
                      <w:lang w:bidi="ar"/>
                    </w:rPr>
                    <w:t>3</w:t>
                  </w:r>
                  <w:r>
                    <w:rPr>
                      <w:rFonts w:hint="default"/>
                      <w:color w:val="auto"/>
                      <w:kern w:val="2"/>
                      <w:sz w:val="21"/>
                      <w:szCs w:val="21"/>
                      <w:highlight w:val="none"/>
                      <w:lang w:bidi="ar"/>
                    </w:rPr>
                    <w:t>；</w:t>
                  </w:r>
                </w:p>
                <w:p w14:paraId="745D8917">
                  <w:pPr>
                    <w:keepNext w:val="0"/>
                    <w:keepLines w:val="0"/>
                    <w:widowControl/>
                    <w:suppressLineNumbers w:val="0"/>
                    <w:wordWrap w:val="0"/>
                    <w:topLinePunct/>
                    <w:spacing w:before="0" w:beforeAutospacing="0" w:after="0" w:afterAutospacing="0" w:line="240" w:lineRule="auto"/>
                    <w:ind w:left="0" w:right="0"/>
                    <w:rPr>
                      <w:rFonts w:hint="default"/>
                      <w:color w:val="auto"/>
                      <w:kern w:val="2"/>
                      <w:sz w:val="21"/>
                      <w:szCs w:val="21"/>
                      <w:highlight w:val="none"/>
                      <w:lang w:bidi="ar"/>
                    </w:rPr>
                  </w:pPr>
                  <w:r>
                    <w:rPr>
                      <w:rFonts w:hint="default"/>
                      <w:color w:val="auto"/>
                      <w:kern w:val="2"/>
                      <w:sz w:val="21"/>
                      <w:szCs w:val="21"/>
                      <w:highlight w:val="none"/>
                      <w:lang w:bidi="ar"/>
                    </w:rPr>
                    <w:t>②本项目喷粉粉末</w:t>
                  </w:r>
                  <w:r>
                    <w:rPr>
                      <w:rFonts w:hint="eastAsia"/>
                      <w:color w:val="auto"/>
                      <w:kern w:val="2"/>
                      <w:sz w:val="21"/>
                      <w:szCs w:val="21"/>
                      <w:highlight w:val="none"/>
                      <w:lang w:bidi="ar"/>
                    </w:rPr>
                    <w:t>一次</w:t>
                  </w:r>
                  <w:r>
                    <w:rPr>
                      <w:rFonts w:hint="default"/>
                      <w:color w:val="auto"/>
                      <w:kern w:val="2"/>
                      <w:sz w:val="21"/>
                      <w:szCs w:val="21"/>
                      <w:highlight w:val="none"/>
                      <w:lang w:bidi="ar"/>
                    </w:rPr>
                    <w:t>附着率为70%，粉末收集效率为90%，回用率为99%，未收集部分粉尘沉降率为80%。因本项目回用粉末一直参与回用，其粉末综合利用率为0.7+（0.3×0.9×0.99）×0.7+（0.3×0.9×0.99）</w:t>
                  </w:r>
                  <w:r>
                    <w:rPr>
                      <w:rFonts w:hint="default"/>
                      <w:color w:val="auto"/>
                      <w:kern w:val="2"/>
                      <w:sz w:val="21"/>
                      <w:szCs w:val="21"/>
                      <w:highlight w:val="none"/>
                      <w:vertAlign w:val="superscript"/>
                      <w:lang w:bidi="ar"/>
                    </w:rPr>
                    <w:t>2</w:t>
                  </w:r>
                  <w:r>
                    <w:rPr>
                      <w:rFonts w:hint="default"/>
                      <w:color w:val="auto"/>
                      <w:kern w:val="2"/>
                      <w:sz w:val="21"/>
                      <w:szCs w:val="21"/>
                      <w:highlight w:val="none"/>
                      <w:lang w:bidi="ar"/>
                    </w:rPr>
                    <w:t>×0.7....=0.7×(1-0.2673</w:t>
                  </w:r>
                  <w:r>
                    <w:rPr>
                      <w:rFonts w:hint="default"/>
                      <w:color w:val="auto"/>
                      <w:kern w:val="2"/>
                      <w:sz w:val="21"/>
                      <w:szCs w:val="21"/>
                      <w:highlight w:val="none"/>
                      <w:vertAlign w:val="superscript"/>
                    </w:rPr>
                    <w:t>n</w:t>
                  </w:r>
                  <w:r>
                    <w:rPr>
                      <w:rFonts w:hint="default"/>
                      <w:color w:val="auto"/>
                      <w:kern w:val="2"/>
                      <w:sz w:val="21"/>
                      <w:szCs w:val="21"/>
                      <w:highlight w:val="none"/>
                      <w:lang w:bidi="ar"/>
                    </w:rPr>
                    <w:t>)/（1-0.2673）=0.7（1-0）/（1-0.2673）=95.54%；</w:t>
                  </w:r>
                </w:p>
                <w:p w14:paraId="67C507A4">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color w:val="auto"/>
                      <w:kern w:val="2"/>
                      <w:sz w:val="21"/>
                      <w:szCs w:val="21"/>
                      <w:highlight w:val="none"/>
                      <w:lang w:bidi="ar"/>
                    </w:rPr>
                    <w:t>③</w:t>
                  </w:r>
                  <w:r>
                    <w:rPr>
                      <w:rFonts w:hint="default"/>
                      <w:color w:val="auto"/>
                      <w:kern w:val="2"/>
                      <w:sz w:val="21"/>
                      <w:szCs w:val="21"/>
                      <w:highlight w:val="none"/>
                    </w:rPr>
                    <w:t>粉末使用量（t）=喷涂面积×厚度×密度/综合利用率×100%（固体分）。</w:t>
                  </w:r>
                </w:p>
              </w:tc>
            </w:tr>
          </w:tbl>
          <w:p w14:paraId="5A16ECAD">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④</w:t>
            </w:r>
            <w:r>
              <w:rPr>
                <w:rFonts w:ascii="Times New Roman" w:hAnsi="Times New Roman" w:eastAsia="宋体" w:cs="Times New Roman"/>
                <w:b/>
                <w:color w:val="auto"/>
                <w:kern w:val="2"/>
                <w:sz w:val="24"/>
                <w:szCs w:val="24"/>
                <w:highlight w:val="none"/>
                <w:lang w:val="en-US" w:eastAsia="zh-CN" w:bidi="ar-SA"/>
              </w:rPr>
              <w:t>喷枪产能核算：</w:t>
            </w:r>
          </w:p>
          <w:p w14:paraId="73DE4E0C">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auto"/>
                <w:kern w:val="2"/>
                <w:sz w:val="21"/>
                <w:szCs w:val="21"/>
                <w:highlight w:val="none"/>
                <w:lang w:val="en-US" w:eastAsia="zh-CN" w:bidi="ar-SA"/>
              </w:rPr>
            </w:pPr>
            <w:r>
              <w:rPr>
                <w:rFonts w:ascii="Times New Roman" w:hAnsi="Times New Roman" w:eastAsia="宋体" w:cs="Times New Roman"/>
                <w:b/>
                <w:bCs/>
                <w:color w:val="auto"/>
                <w:kern w:val="2"/>
                <w:sz w:val="21"/>
                <w:szCs w:val="21"/>
                <w:highlight w:val="none"/>
                <w:lang w:val="en-US" w:eastAsia="zh-CN" w:bidi="ar-SA"/>
              </w:rPr>
              <w:t xml:space="preserve"> 喷枪产能核算一览表</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8"/>
              <w:gridCol w:w="1181"/>
              <w:gridCol w:w="789"/>
              <w:gridCol w:w="1422"/>
              <w:gridCol w:w="1046"/>
              <w:gridCol w:w="1450"/>
              <w:gridCol w:w="1383"/>
            </w:tblGrid>
            <w:tr w14:paraId="470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1018" w:type="dxa"/>
                  <w:vAlign w:val="center"/>
                </w:tcPr>
                <w:p w14:paraId="2E7B45E3">
                  <w:pPr>
                    <w:keepNext w:val="0"/>
                    <w:keepLines w:val="0"/>
                    <w:widowControl/>
                    <w:suppressLineNumbers w:val="0"/>
                    <w:spacing w:line="240" w:lineRule="auto"/>
                    <w:jc w:val="center"/>
                    <w:textAlignment w:val="center"/>
                    <w:rPr>
                      <w:rFonts w:hint="eastAsia" w:ascii="Times New Roman" w:hAnsi="Times New Roman" w:eastAsia="宋体" w:cs="Times New Roman"/>
                      <w:b/>
                      <w:bCs/>
                      <w:color w:val="auto"/>
                      <w:sz w:val="21"/>
                      <w:szCs w:val="21"/>
                      <w:highlight w:val="none"/>
                      <w:lang w:eastAsia="zh-CN"/>
                    </w:rPr>
                  </w:pPr>
                  <w:r>
                    <w:rPr>
                      <w:rFonts w:hint="eastAsia" w:ascii="宋体" w:hAnsi="宋体" w:eastAsia="宋体" w:cs="宋体"/>
                      <w:b/>
                      <w:bCs/>
                      <w:i w:val="0"/>
                      <w:iCs w:val="0"/>
                      <w:color w:val="auto"/>
                      <w:kern w:val="0"/>
                      <w:sz w:val="21"/>
                      <w:szCs w:val="21"/>
                      <w:u w:val="none"/>
                      <w:lang w:val="en-US" w:eastAsia="zh-CN"/>
                    </w:rPr>
                    <w:t>物料名称</w:t>
                  </w:r>
                </w:p>
              </w:tc>
              <w:tc>
                <w:tcPr>
                  <w:tcW w:w="1217" w:type="dxa"/>
                  <w:vAlign w:val="center"/>
                </w:tcPr>
                <w:p w14:paraId="1DFF6F90">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设备名称</w:t>
                  </w:r>
                </w:p>
              </w:tc>
              <w:tc>
                <w:tcPr>
                  <w:tcW w:w="813" w:type="dxa"/>
                  <w:vAlign w:val="center"/>
                </w:tcPr>
                <w:p w14:paraId="24488A82">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数量（支）</w:t>
                  </w:r>
                </w:p>
              </w:tc>
              <w:tc>
                <w:tcPr>
                  <w:tcW w:w="1465" w:type="dxa"/>
                  <w:vAlign w:val="center"/>
                </w:tcPr>
                <w:p w14:paraId="6EFF2198">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设计喷枪流量（</w:t>
                  </w:r>
                  <w:r>
                    <w:rPr>
                      <w:rFonts w:hint="default" w:ascii="Times New Roman" w:hAnsi="Times New Roman" w:eastAsia="宋体" w:cs="Times New Roman"/>
                      <w:b/>
                      <w:bCs/>
                      <w:i w:val="0"/>
                      <w:iCs w:val="0"/>
                      <w:color w:val="auto"/>
                      <w:kern w:val="0"/>
                      <w:sz w:val="21"/>
                      <w:szCs w:val="21"/>
                      <w:u w:val="none"/>
                      <w:lang w:val="en-US" w:eastAsia="zh-CN"/>
                    </w:rPr>
                    <w:t>kg/h</w:t>
                  </w:r>
                  <w:r>
                    <w:rPr>
                      <w:rFonts w:hint="eastAsia" w:ascii="宋体" w:hAnsi="宋体" w:eastAsia="宋体" w:cs="宋体"/>
                      <w:b/>
                      <w:bCs/>
                      <w:i w:val="0"/>
                      <w:iCs w:val="0"/>
                      <w:color w:val="auto"/>
                      <w:kern w:val="0"/>
                      <w:sz w:val="21"/>
                      <w:szCs w:val="21"/>
                      <w:u w:val="none"/>
                      <w:lang w:val="en-US" w:eastAsia="zh-CN"/>
                    </w:rPr>
                    <w:t>）</w:t>
                  </w:r>
                </w:p>
              </w:tc>
              <w:tc>
                <w:tcPr>
                  <w:tcW w:w="1078" w:type="dxa"/>
                  <w:vAlign w:val="center"/>
                </w:tcPr>
                <w:p w14:paraId="66CB5F0D">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工作时间（</w:t>
                  </w:r>
                  <w:r>
                    <w:rPr>
                      <w:rFonts w:hint="default" w:ascii="Times New Roman" w:hAnsi="Times New Roman" w:eastAsia="宋体" w:cs="Times New Roman"/>
                      <w:b/>
                      <w:bCs/>
                      <w:i w:val="0"/>
                      <w:iCs w:val="0"/>
                      <w:color w:val="auto"/>
                      <w:kern w:val="0"/>
                      <w:sz w:val="21"/>
                      <w:szCs w:val="21"/>
                      <w:u w:val="none"/>
                      <w:lang w:val="en-US" w:eastAsia="zh-CN"/>
                    </w:rPr>
                    <w:t>h</w:t>
                  </w:r>
                  <w:r>
                    <w:rPr>
                      <w:rFonts w:hint="eastAsia" w:ascii="宋体" w:hAnsi="宋体" w:eastAsia="宋体" w:cs="宋体"/>
                      <w:b/>
                      <w:bCs/>
                      <w:i w:val="0"/>
                      <w:iCs w:val="0"/>
                      <w:color w:val="auto"/>
                      <w:kern w:val="0"/>
                      <w:sz w:val="21"/>
                      <w:szCs w:val="21"/>
                      <w:u w:val="none"/>
                      <w:lang w:val="en-US" w:eastAsia="zh-CN"/>
                    </w:rPr>
                    <w:t>）</w:t>
                  </w:r>
                </w:p>
              </w:tc>
              <w:tc>
                <w:tcPr>
                  <w:tcW w:w="1494" w:type="dxa"/>
                  <w:vAlign w:val="center"/>
                </w:tcPr>
                <w:p w14:paraId="3C6DACF2">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设计年喷涂量（</w:t>
                  </w:r>
                  <w:r>
                    <w:rPr>
                      <w:rFonts w:hint="default" w:ascii="Times New Roman" w:hAnsi="Times New Roman" w:eastAsia="宋体" w:cs="Times New Roman"/>
                      <w:b/>
                      <w:bCs/>
                      <w:i w:val="0"/>
                      <w:iCs w:val="0"/>
                      <w:color w:val="auto"/>
                      <w:kern w:val="0"/>
                      <w:sz w:val="21"/>
                      <w:szCs w:val="21"/>
                      <w:u w:val="none"/>
                      <w:lang w:val="en-US" w:eastAsia="zh-CN"/>
                    </w:rPr>
                    <w:t>t/a</w:t>
                  </w:r>
                  <w:r>
                    <w:rPr>
                      <w:rFonts w:hint="eastAsia" w:ascii="宋体" w:hAnsi="宋体" w:eastAsia="宋体" w:cs="宋体"/>
                      <w:b/>
                      <w:bCs/>
                      <w:i w:val="0"/>
                      <w:iCs w:val="0"/>
                      <w:color w:val="auto"/>
                      <w:kern w:val="0"/>
                      <w:sz w:val="21"/>
                      <w:szCs w:val="21"/>
                      <w:u w:val="none"/>
                      <w:lang w:val="en-US" w:eastAsia="zh-CN"/>
                    </w:rPr>
                    <w:t>）</w:t>
                  </w:r>
                </w:p>
              </w:tc>
              <w:tc>
                <w:tcPr>
                  <w:tcW w:w="1425" w:type="dxa"/>
                  <w:vAlign w:val="center"/>
                </w:tcPr>
                <w:p w14:paraId="72C3548A">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项目实际年喷涂量（</w:t>
                  </w:r>
                  <w:r>
                    <w:rPr>
                      <w:rFonts w:hint="default" w:ascii="Times New Roman" w:hAnsi="Times New Roman" w:eastAsia="宋体" w:cs="Times New Roman"/>
                      <w:b/>
                      <w:bCs/>
                      <w:i w:val="0"/>
                      <w:iCs w:val="0"/>
                      <w:color w:val="auto"/>
                      <w:kern w:val="0"/>
                      <w:sz w:val="21"/>
                      <w:szCs w:val="21"/>
                      <w:u w:val="none"/>
                      <w:lang w:val="en-US" w:eastAsia="zh-CN"/>
                    </w:rPr>
                    <w:t>t/a</w:t>
                  </w:r>
                  <w:r>
                    <w:rPr>
                      <w:rFonts w:hint="eastAsia" w:ascii="宋体" w:hAnsi="宋体" w:eastAsia="宋体" w:cs="宋体"/>
                      <w:b/>
                      <w:bCs/>
                      <w:i w:val="0"/>
                      <w:iCs w:val="0"/>
                      <w:color w:val="auto"/>
                      <w:kern w:val="0"/>
                      <w:sz w:val="21"/>
                      <w:szCs w:val="21"/>
                      <w:u w:val="none"/>
                      <w:lang w:val="en-US" w:eastAsia="zh-CN"/>
                    </w:rPr>
                    <w:t>）</w:t>
                  </w:r>
                </w:p>
              </w:tc>
            </w:tr>
            <w:tr w14:paraId="7B67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18" w:type="dxa"/>
                  <w:vAlign w:val="center"/>
                </w:tcPr>
                <w:p w14:paraId="5CA0E55E">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油性漆</w:t>
                  </w:r>
                </w:p>
              </w:tc>
              <w:tc>
                <w:tcPr>
                  <w:tcW w:w="1217" w:type="dxa"/>
                  <w:vAlign w:val="center"/>
                </w:tcPr>
                <w:p w14:paraId="5248F223">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1.2mm</w:t>
                  </w:r>
                  <w:r>
                    <w:rPr>
                      <w:rFonts w:hint="eastAsia" w:ascii="宋体" w:hAnsi="宋体" w:eastAsia="宋体" w:cs="宋体"/>
                      <w:i w:val="0"/>
                      <w:iCs w:val="0"/>
                      <w:color w:val="auto"/>
                      <w:kern w:val="0"/>
                      <w:sz w:val="21"/>
                      <w:szCs w:val="21"/>
                      <w:u w:val="none"/>
                      <w:lang w:val="en-US" w:eastAsia="zh-CN" w:bidi="ar"/>
                    </w:rPr>
                    <w:t>口径喷枪</w:t>
                  </w:r>
                </w:p>
              </w:tc>
              <w:tc>
                <w:tcPr>
                  <w:tcW w:w="813" w:type="dxa"/>
                  <w:vAlign w:val="center"/>
                </w:tcPr>
                <w:p w14:paraId="5380CEF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65" w:type="dxa"/>
                  <w:vAlign w:val="center"/>
                </w:tcPr>
                <w:p w14:paraId="644C212C">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78" w:type="dxa"/>
                  <w:vAlign w:val="center"/>
                </w:tcPr>
                <w:p w14:paraId="5B2EF57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1494" w:type="dxa"/>
                  <w:vAlign w:val="center"/>
                </w:tcPr>
                <w:p w14:paraId="02748EC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11.568</w:t>
                  </w:r>
                </w:p>
              </w:tc>
              <w:tc>
                <w:tcPr>
                  <w:tcW w:w="1425" w:type="dxa"/>
                  <w:vAlign w:val="center"/>
                </w:tcPr>
                <w:p w14:paraId="449CE8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9.852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773C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510" w:type="dxa"/>
                  <w:gridSpan w:val="7"/>
                  <w:vAlign w:val="center"/>
                </w:tcPr>
                <w:p w14:paraId="003BDAD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注：</w:t>
                  </w:r>
                  <w:r>
                    <w:rPr>
                      <w:rFonts w:hint="eastAsia" w:ascii="Times New Roman" w:hAnsi="Times New Roman" w:eastAsia="宋体" w:cs="Times New Roman"/>
                      <w:color w:val="auto"/>
                      <w:kern w:val="2"/>
                      <w:sz w:val="21"/>
                      <w:szCs w:val="21"/>
                      <w:highlight w:val="none"/>
                      <w:lang w:val="en-US" w:eastAsia="zh-CN" w:bidi="ar-SA"/>
                    </w:rPr>
                    <w:t>①单支喷枪流量为5~50ml/min，本项目取10ml/min，即约为1kg/h；</w:t>
                  </w:r>
                </w:p>
                <w:p w14:paraId="3FCC352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Times New Roman" w:hAnsi="Times New Roman" w:eastAsia="宋体" w:cs="Times New Roman"/>
                      <w:color w:val="auto"/>
                      <w:kern w:val="2"/>
                      <w:sz w:val="24"/>
                      <w:szCs w:val="28"/>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②</w:t>
                  </w:r>
                  <w:r>
                    <w:rPr>
                      <w:rFonts w:ascii="Times New Roman" w:hAnsi="Times New Roman" w:eastAsia="宋体" w:cs="Times New Roman"/>
                      <w:color w:val="auto"/>
                      <w:kern w:val="2"/>
                      <w:sz w:val="21"/>
                      <w:szCs w:val="21"/>
                      <w:highlight w:val="none"/>
                      <w:lang w:val="en-US" w:eastAsia="zh-CN" w:bidi="ar-SA"/>
                    </w:rPr>
                    <w:t>喷枪设计喷涂总量</w:t>
                  </w:r>
                  <w:r>
                    <w:rPr>
                      <w:rFonts w:hint="eastAsia" w:ascii="Times New Roman" w:hAnsi="Times New Roman" w:eastAsia="宋体" w:cs="Times New Roman"/>
                      <w:color w:val="auto"/>
                      <w:kern w:val="2"/>
                      <w:sz w:val="21"/>
                      <w:szCs w:val="21"/>
                      <w:highlight w:val="none"/>
                      <w:lang w:val="en-US" w:eastAsia="zh-CN" w:bidi="ar-SA"/>
                    </w:rPr>
                    <w:t>分别</w:t>
                  </w:r>
                  <w:r>
                    <w:rPr>
                      <w:rFonts w:ascii="Times New Roman" w:hAnsi="Times New Roman" w:eastAsia="宋体" w:cs="Times New Roman"/>
                      <w:color w:val="auto"/>
                      <w:kern w:val="2"/>
                      <w:sz w:val="21"/>
                      <w:szCs w:val="21"/>
                      <w:highlight w:val="none"/>
                      <w:lang w:val="en-US" w:eastAsia="zh-CN" w:bidi="ar-SA"/>
                    </w:rPr>
                    <w:t>为</w:t>
                  </w:r>
                  <w:r>
                    <w:rPr>
                      <w:rFonts w:hint="eastAsia" w:ascii="Times New Roman" w:hAnsi="Times New Roman" w:eastAsia="宋体" w:cs="Times New Roman"/>
                      <w:color w:val="auto"/>
                      <w:kern w:val="2"/>
                      <w:sz w:val="21"/>
                      <w:szCs w:val="21"/>
                      <w:highlight w:val="none"/>
                      <w:lang w:val="en-US" w:eastAsia="zh-CN" w:bidi="ar-SA"/>
                    </w:rPr>
                    <w:t>11.568t/a</w:t>
                  </w:r>
                  <w:r>
                    <w:rPr>
                      <w:rFonts w:ascii="Times New Roman" w:hAnsi="Times New Roman" w:eastAsia="宋体" w:cs="Times New Roman"/>
                      <w:color w:val="auto"/>
                      <w:kern w:val="2"/>
                      <w:sz w:val="21"/>
                      <w:szCs w:val="21"/>
                      <w:highlight w:val="none"/>
                      <w:lang w:val="en-US" w:eastAsia="zh-CN" w:bidi="ar-SA"/>
                    </w:rPr>
                    <w:t>，项目油漆实际总用量为</w:t>
                  </w:r>
                  <w:r>
                    <w:rPr>
                      <w:rFonts w:hint="eastAsia" w:cs="Times New Roman"/>
                      <w:color w:val="auto"/>
                      <w:kern w:val="2"/>
                      <w:sz w:val="21"/>
                      <w:szCs w:val="21"/>
                      <w:highlight w:val="none"/>
                      <w:lang w:val="en-US" w:eastAsia="zh-CN" w:bidi="ar-SA"/>
                    </w:rPr>
                    <w:t>9.852</w:t>
                  </w:r>
                  <w:r>
                    <w:rPr>
                      <w:rFonts w:ascii="Times New Roman" w:hAnsi="Times New Roman" w:eastAsia="宋体" w:cs="Times New Roman"/>
                      <w:color w:val="auto"/>
                      <w:kern w:val="2"/>
                      <w:sz w:val="21"/>
                      <w:szCs w:val="21"/>
                      <w:highlight w:val="none"/>
                      <w:lang w:val="en-US" w:eastAsia="zh-CN" w:bidi="ar-SA"/>
                    </w:rPr>
                    <w:t>t/a，约占喷枪设计产能的</w:t>
                  </w:r>
                  <w:r>
                    <w:rPr>
                      <w:rFonts w:hint="eastAsia" w:cs="Times New Roman"/>
                      <w:color w:val="auto"/>
                      <w:kern w:val="2"/>
                      <w:sz w:val="21"/>
                      <w:szCs w:val="21"/>
                      <w:highlight w:val="none"/>
                      <w:lang w:val="en-US" w:eastAsia="zh-CN" w:bidi="ar-SA"/>
                    </w:rPr>
                    <w:t>85</w:t>
                  </w:r>
                  <w:r>
                    <w:rPr>
                      <w:rFonts w:ascii="Times New Roman" w:hAnsi="Times New Roman" w:eastAsia="宋体" w:cs="Times New Roman"/>
                      <w:color w:val="auto"/>
                      <w:kern w:val="2"/>
                      <w:sz w:val="21"/>
                      <w:szCs w:val="21"/>
                      <w:highlight w:val="none"/>
                      <w:lang w:val="en-US" w:eastAsia="zh-CN" w:bidi="ar-SA"/>
                    </w:rPr>
                    <w:t>%，与喷枪的产能相匹配。因此，生产设备的产能和原料用量相匹配、合理。</w:t>
                  </w:r>
                </w:p>
              </w:tc>
            </w:tr>
          </w:tbl>
          <w:p w14:paraId="1C5E516C">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⑤</w:t>
            </w:r>
            <w:r>
              <w:rPr>
                <w:rFonts w:ascii="Times New Roman" w:hAnsi="Times New Roman" w:eastAsia="宋体" w:cs="Times New Roman"/>
                <w:b/>
                <w:color w:val="auto"/>
                <w:kern w:val="2"/>
                <w:sz w:val="24"/>
                <w:szCs w:val="24"/>
                <w:highlight w:val="none"/>
                <w:lang w:val="en-US" w:eastAsia="zh-CN" w:bidi="ar-SA"/>
              </w:rPr>
              <w:t>喷枪</w:t>
            </w:r>
            <w:r>
              <w:rPr>
                <w:rFonts w:hint="eastAsia" w:ascii="Times New Roman" w:hAnsi="Times New Roman" w:eastAsia="宋体" w:cs="Times New Roman"/>
                <w:b/>
                <w:color w:val="auto"/>
                <w:kern w:val="2"/>
                <w:sz w:val="24"/>
                <w:szCs w:val="24"/>
                <w:highlight w:val="none"/>
                <w:lang w:val="en-US" w:eastAsia="zh-CN" w:bidi="ar-SA"/>
              </w:rPr>
              <w:t>清洗剂用量</w:t>
            </w:r>
            <w:r>
              <w:rPr>
                <w:rFonts w:ascii="Times New Roman" w:hAnsi="Times New Roman" w:eastAsia="宋体" w:cs="Times New Roman"/>
                <w:b/>
                <w:color w:val="auto"/>
                <w:kern w:val="2"/>
                <w:sz w:val="24"/>
                <w:szCs w:val="24"/>
                <w:highlight w:val="none"/>
                <w:lang w:val="en-US" w:eastAsia="zh-CN" w:bidi="ar-SA"/>
              </w:rPr>
              <w:t>核算：</w:t>
            </w:r>
          </w:p>
          <w:p w14:paraId="109C17E4">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auto"/>
                <w:kern w:val="2"/>
                <w:sz w:val="21"/>
                <w:szCs w:val="21"/>
                <w:highlight w:val="none"/>
                <w:lang w:val="en-US" w:eastAsia="zh-CN" w:bidi="ar-SA"/>
              </w:rPr>
            </w:pPr>
            <w:r>
              <w:rPr>
                <w:rFonts w:ascii="Times New Roman" w:hAnsi="Times New Roman" w:eastAsia="宋体" w:cs="Times New Roman"/>
                <w:b/>
                <w:bCs/>
                <w:color w:val="auto"/>
                <w:kern w:val="2"/>
                <w:sz w:val="21"/>
                <w:szCs w:val="21"/>
                <w:highlight w:val="none"/>
                <w:lang w:val="en-US" w:eastAsia="zh-CN" w:bidi="ar-SA"/>
              </w:rPr>
              <w:t xml:space="preserve"> 喷枪产能</w:t>
            </w:r>
            <w:r>
              <w:rPr>
                <w:rFonts w:hint="eastAsia" w:ascii="Times New Roman" w:hAnsi="Times New Roman" w:eastAsia="宋体" w:cs="Times New Roman"/>
                <w:b/>
                <w:bCs/>
                <w:color w:val="auto"/>
                <w:kern w:val="2"/>
                <w:sz w:val="21"/>
                <w:szCs w:val="21"/>
                <w:highlight w:val="none"/>
                <w:lang w:val="en-US" w:eastAsia="zh-CN" w:bidi="ar-SA"/>
              </w:rPr>
              <w:t>清洗剂用量</w:t>
            </w:r>
            <w:r>
              <w:rPr>
                <w:rFonts w:ascii="Times New Roman" w:hAnsi="Times New Roman" w:eastAsia="宋体" w:cs="Times New Roman"/>
                <w:b/>
                <w:bCs/>
                <w:color w:val="auto"/>
                <w:kern w:val="2"/>
                <w:sz w:val="21"/>
                <w:szCs w:val="21"/>
                <w:highlight w:val="none"/>
                <w:lang w:val="en-US" w:eastAsia="zh-CN" w:bidi="ar-SA"/>
              </w:rPr>
              <w:t>核算一览表</w:t>
            </w:r>
          </w:p>
          <w:tbl>
            <w:tblPr>
              <w:tblStyle w:val="48"/>
              <w:tblW w:w="49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2"/>
              <w:gridCol w:w="1949"/>
              <w:gridCol w:w="1041"/>
              <w:gridCol w:w="1729"/>
              <w:gridCol w:w="2375"/>
            </w:tblGrid>
            <w:tr w14:paraId="20247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2B97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用量t/a</w:t>
                  </w:r>
                </w:p>
              </w:tc>
              <w:tc>
                <w:tcPr>
                  <w:tcW w:w="1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42FC">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每次每把</w:t>
                  </w:r>
                  <w:r>
                    <w:rPr>
                      <w:rFonts w:hint="default" w:ascii="Times New Roman" w:hAnsi="Times New Roman" w:eastAsia="宋体" w:cs="Times New Roman"/>
                      <w:b/>
                      <w:bCs/>
                      <w:i w:val="0"/>
                      <w:iCs w:val="0"/>
                      <w:color w:val="auto"/>
                      <w:kern w:val="0"/>
                      <w:sz w:val="21"/>
                      <w:szCs w:val="21"/>
                      <w:u w:val="none"/>
                      <w:lang w:val="en-US" w:eastAsia="zh-CN" w:bidi="ar"/>
                    </w:rPr>
                    <w:t>ml</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099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把数</w:t>
                  </w:r>
                </w:p>
              </w:tc>
              <w:tc>
                <w:tcPr>
                  <w:tcW w:w="10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EC52">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清洗次数</w:t>
                  </w:r>
                </w:p>
              </w:tc>
              <w:tc>
                <w:tcPr>
                  <w:tcW w:w="1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ED4C">
                  <w:pPr>
                    <w:keepNext w:val="0"/>
                    <w:keepLines w:val="0"/>
                    <w:widowControl/>
                    <w:suppressLineNumbers w:val="0"/>
                    <w:spacing w:line="360" w:lineRule="auto"/>
                    <w:jc w:val="center"/>
                    <w:textAlignment w:val="center"/>
                    <w:rPr>
                      <w:rFonts w:hint="default" w:ascii="宋体" w:hAnsi="宋体" w:eastAsia="宋体" w:cs="宋体"/>
                      <w:b/>
                      <w:bCs/>
                      <w:i w:val="0"/>
                      <w:iCs w:val="0"/>
                      <w:color w:val="auto"/>
                      <w:sz w:val="21"/>
                      <w:szCs w:val="21"/>
                      <w:u w:val="none"/>
                      <w:vertAlign w:val="superscript"/>
                      <w:lang w:val="en-US"/>
                    </w:rPr>
                  </w:pPr>
                  <w:r>
                    <w:rPr>
                      <w:rFonts w:hint="eastAsia" w:ascii="宋体" w:hAnsi="宋体" w:eastAsia="宋体" w:cs="宋体"/>
                      <w:b/>
                      <w:bCs/>
                      <w:i w:val="0"/>
                      <w:iCs w:val="0"/>
                      <w:color w:val="auto"/>
                      <w:kern w:val="0"/>
                      <w:sz w:val="21"/>
                      <w:szCs w:val="21"/>
                      <w:u w:val="none"/>
                      <w:lang w:val="en-US" w:eastAsia="zh-CN" w:bidi="ar"/>
                    </w:rPr>
                    <w:t>密度g/cm</w:t>
                  </w:r>
                  <w:r>
                    <w:rPr>
                      <w:rFonts w:hint="eastAsia" w:ascii="宋体" w:hAnsi="宋体" w:eastAsia="宋体" w:cs="宋体"/>
                      <w:b/>
                      <w:bCs/>
                      <w:i w:val="0"/>
                      <w:iCs w:val="0"/>
                      <w:color w:val="auto"/>
                      <w:kern w:val="0"/>
                      <w:sz w:val="21"/>
                      <w:szCs w:val="21"/>
                      <w:u w:val="none"/>
                      <w:vertAlign w:val="superscript"/>
                      <w:lang w:val="en-US" w:eastAsia="zh-CN" w:bidi="ar"/>
                    </w:rPr>
                    <w:t>3</w:t>
                  </w:r>
                </w:p>
              </w:tc>
            </w:tr>
            <w:tr w14:paraId="3FCB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E8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4A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2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4E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7C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0.828</w:t>
                  </w:r>
                </w:p>
              </w:tc>
            </w:tr>
            <w:tr w14:paraId="10FB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1E89">
                  <w:pPr>
                    <w:keepNext w:val="0"/>
                    <w:keepLines w:val="0"/>
                    <w:widowControl/>
                    <w:suppressLineNumbers w:val="0"/>
                    <w:spacing w:line="360" w:lineRule="auto"/>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注：油漆喷枪需每日清洗一次，每次每把清洗时使用清洗剂约70ml。</w:t>
                  </w:r>
                </w:p>
              </w:tc>
            </w:tr>
          </w:tbl>
          <w:p w14:paraId="32191887">
            <w:pPr>
              <w:wordWrap w:val="0"/>
              <w:topLinePunct/>
              <w:spacing w:line="360" w:lineRule="auto"/>
              <w:ind w:firstLine="482" w:firstLineChars="200"/>
              <w:outlineLvl w:val="4"/>
              <w:rPr>
                <w:b/>
                <w:color w:val="auto"/>
                <w:sz w:val="24"/>
                <w:szCs w:val="24"/>
                <w:highlight w:val="none"/>
              </w:rPr>
            </w:pPr>
            <w:r>
              <w:rPr>
                <w:rFonts w:hint="eastAsia"/>
                <w:b/>
                <w:color w:val="auto"/>
                <w:sz w:val="24"/>
                <w:szCs w:val="24"/>
                <w:highlight w:val="none"/>
                <w:lang w:eastAsia="zh-CN"/>
              </w:rPr>
              <w:t>（</w:t>
            </w:r>
            <w:r>
              <w:rPr>
                <w:rFonts w:hint="eastAsia"/>
                <w:b/>
                <w:color w:val="auto"/>
                <w:sz w:val="24"/>
                <w:szCs w:val="24"/>
                <w:highlight w:val="none"/>
                <w:lang w:val="en-US" w:eastAsia="zh-CN"/>
              </w:rPr>
              <w:t>5</w:t>
            </w:r>
            <w:r>
              <w:rPr>
                <w:rFonts w:hint="eastAsia"/>
                <w:b/>
                <w:color w:val="auto"/>
                <w:sz w:val="24"/>
                <w:szCs w:val="24"/>
                <w:highlight w:val="none"/>
                <w:lang w:eastAsia="zh-CN"/>
              </w:rPr>
              <w:t>）</w:t>
            </w:r>
            <w:r>
              <w:rPr>
                <w:rFonts w:hint="eastAsia"/>
                <w:b/>
                <w:color w:val="auto"/>
                <w:sz w:val="24"/>
                <w:szCs w:val="24"/>
                <w:highlight w:val="none"/>
                <w:lang w:val="en-US" w:eastAsia="zh-CN"/>
              </w:rPr>
              <w:t>物料</w:t>
            </w:r>
            <w:r>
              <w:rPr>
                <w:b/>
                <w:color w:val="auto"/>
                <w:sz w:val="24"/>
                <w:szCs w:val="24"/>
                <w:highlight w:val="none"/>
              </w:rPr>
              <w:t>平衡</w:t>
            </w:r>
          </w:p>
          <w:p w14:paraId="2166EA0B">
            <w:pPr>
              <w:wordWrap w:val="0"/>
              <w:topLinePunct/>
              <w:spacing w:line="360" w:lineRule="auto"/>
              <w:ind w:firstLine="480" w:firstLineChars="200"/>
              <w:rPr>
                <w:color w:val="auto"/>
                <w:sz w:val="24"/>
                <w:highlight w:val="none"/>
              </w:rPr>
            </w:pPr>
            <w:r>
              <w:rPr>
                <w:color w:val="auto"/>
                <w:sz w:val="24"/>
                <w:szCs w:val="24"/>
                <w:highlight w:val="none"/>
              </w:rPr>
              <w:t>本项目</w:t>
            </w:r>
            <w:r>
              <w:rPr>
                <w:rFonts w:hint="eastAsia"/>
                <w:color w:val="auto"/>
                <w:sz w:val="24"/>
                <w:szCs w:val="24"/>
                <w:highlight w:val="none"/>
                <w:lang w:val="en-US" w:eastAsia="zh-CN"/>
              </w:rPr>
              <w:t>涉VOCs物料</w:t>
            </w:r>
            <w:r>
              <w:rPr>
                <w:color w:val="auto"/>
                <w:sz w:val="24"/>
                <w:highlight w:val="none"/>
              </w:rPr>
              <w:t>平衡见下表及下图。</w:t>
            </w:r>
          </w:p>
          <w:p w14:paraId="7D71ED4D">
            <w:pPr>
              <w:pageBreakBefore w:val="0"/>
              <w:widowControl w:val="0"/>
              <w:numPr>
                <w:ilvl w:val="0"/>
                <w:numId w:val="10"/>
              </w:numPr>
              <w:wordWrap w:val="0"/>
              <w:overflowPunct/>
              <w:bidi w:val="0"/>
              <w:spacing w:line="240" w:lineRule="auto"/>
              <w:ind w:left="0" w:leftChars="0" w:firstLine="40" w:firstLineChars="0"/>
              <w:jc w:val="center"/>
              <w:rPr>
                <w:bCs/>
                <w:color w:val="auto"/>
                <w:sz w:val="21"/>
                <w:szCs w:val="21"/>
                <w:highlight w:val="none"/>
              </w:rPr>
            </w:pPr>
            <w:r>
              <w:rPr>
                <w:b/>
                <w:bCs w:val="0"/>
                <w:color w:val="auto"/>
                <w:sz w:val="21"/>
                <w:szCs w:val="21"/>
                <w:highlight w:val="none"/>
              </w:rPr>
              <w:t>项目</w:t>
            </w:r>
            <w:r>
              <w:rPr>
                <w:rFonts w:hint="eastAsia"/>
                <w:b/>
                <w:bCs w:val="0"/>
                <w:color w:val="auto"/>
                <w:sz w:val="21"/>
                <w:szCs w:val="21"/>
                <w:highlight w:val="none"/>
                <w:lang w:val="en-US" w:eastAsia="zh-CN"/>
              </w:rPr>
              <w:t>涉VOCs物料</w:t>
            </w:r>
            <w:r>
              <w:rPr>
                <w:b/>
                <w:bCs w:val="0"/>
                <w:color w:val="auto"/>
                <w:sz w:val="21"/>
                <w:szCs w:val="21"/>
                <w:highlight w:val="none"/>
              </w:rPr>
              <w:t>平衡表    单位t/a</w:t>
            </w:r>
          </w:p>
          <w:tbl>
            <w:tblPr>
              <w:tblStyle w:val="48"/>
              <w:tblW w:w="4831"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8"/>
              <w:gridCol w:w="1795"/>
              <w:gridCol w:w="1256"/>
              <w:gridCol w:w="1677"/>
              <w:gridCol w:w="1795"/>
            </w:tblGrid>
            <w:tr w14:paraId="12FC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1468" w:type="dxa"/>
                  <w:tcBorders>
                    <w:top w:val="single" w:color="auto" w:sz="4" w:space="0"/>
                    <w:left w:val="single" w:color="000000" w:sz="4" w:space="0"/>
                    <w:bottom w:val="single" w:color="auto" w:sz="4" w:space="0"/>
                    <w:right w:val="single" w:color="auto" w:sz="4" w:space="0"/>
                  </w:tcBorders>
                  <w:noWrap w:val="0"/>
                  <w:vAlign w:val="center"/>
                </w:tcPr>
                <w:p w14:paraId="0013640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输入</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ADE79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重量（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8F3457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输出</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240BC77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重量（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2DFF4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766771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稀释剂</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DB0B4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61EDF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进入产品</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C45CB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105.028 </w:t>
                  </w:r>
                </w:p>
              </w:tc>
            </w:tr>
            <w:tr w14:paraId="1DDF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6A08F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底漆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8D85E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2AD1A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VOCs削减量</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44E38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2.680 </w:t>
                  </w:r>
                </w:p>
              </w:tc>
            </w:tr>
            <w:tr w14:paraId="3FBE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7F0ADC9">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面漆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584E44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256" w:type="dxa"/>
                  <w:vMerge w:val="restart"/>
                  <w:tcBorders>
                    <w:top w:val="single" w:color="auto" w:sz="4" w:space="0"/>
                    <w:left w:val="single" w:color="auto" w:sz="4" w:space="0"/>
                    <w:bottom w:val="single" w:color="auto" w:sz="4" w:space="0"/>
                    <w:right w:val="single" w:color="auto" w:sz="4" w:space="0"/>
                  </w:tcBorders>
                  <w:noWrap w:val="0"/>
                  <w:vAlign w:val="center"/>
                </w:tcPr>
                <w:p w14:paraId="06DA5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p>
              </w:tc>
              <w:tc>
                <w:tcPr>
                  <w:tcW w:w="1677" w:type="dxa"/>
                  <w:tcBorders>
                    <w:top w:val="single" w:color="auto" w:sz="4" w:space="0"/>
                    <w:left w:val="single" w:color="auto" w:sz="4" w:space="0"/>
                    <w:bottom w:val="single" w:color="auto" w:sz="4" w:space="0"/>
                    <w:right w:val="single" w:color="auto" w:sz="4" w:space="0"/>
                  </w:tcBorders>
                  <w:noWrap w:val="0"/>
                  <w:vAlign w:val="center"/>
                </w:tcPr>
                <w:p w14:paraId="44978F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C1AA6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0.670 </w:t>
                  </w:r>
                </w:p>
              </w:tc>
            </w:tr>
            <w:tr w14:paraId="391A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602713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2D81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256" w:type="dxa"/>
                  <w:vMerge w:val="continue"/>
                  <w:tcBorders>
                    <w:top w:val="single" w:color="auto" w:sz="4" w:space="0"/>
                    <w:left w:val="single" w:color="auto" w:sz="4" w:space="0"/>
                    <w:bottom w:val="single" w:color="auto" w:sz="4" w:space="0"/>
                    <w:right w:val="single" w:color="auto" w:sz="4" w:space="0"/>
                  </w:tcBorders>
                  <w:noWrap w:val="0"/>
                  <w:vAlign w:val="center"/>
                </w:tcPr>
                <w:p w14:paraId="6A8648BF">
                  <w:pPr>
                    <w:jc w:val="center"/>
                    <w:rPr>
                      <w:rFonts w:hint="default" w:ascii="Times New Roman" w:hAnsi="Times New Roman" w:eastAsia="宋体" w:cs="Times New Roman"/>
                      <w:i w:val="0"/>
                      <w:iCs w:val="0"/>
                      <w:color w:val="auto"/>
                      <w:sz w:val="21"/>
                      <w:szCs w:val="21"/>
                      <w:u w:val="none"/>
                    </w:rPr>
                  </w:pPr>
                </w:p>
              </w:tc>
              <w:tc>
                <w:tcPr>
                  <w:tcW w:w="1677" w:type="dxa"/>
                  <w:tcBorders>
                    <w:top w:val="single" w:color="auto" w:sz="4" w:space="0"/>
                    <w:left w:val="single" w:color="auto" w:sz="4" w:space="0"/>
                    <w:bottom w:val="single" w:color="auto" w:sz="4" w:space="0"/>
                    <w:right w:val="single" w:color="auto" w:sz="4" w:space="0"/>
                  </w:tcBorders>
                  <w:noWrap w:val="0"/>
                  <w:vAlign w:val="center"/>
                </w:tcPr>
                <w:p w14:paraId="18D3F6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498A1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528E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FB460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粉末涂料</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E38C1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c>
                <w:tcPr>
                  <w:tcW w:w="1256" w:type="dxa"/>
                  <w:vMerge w:val="restart"/>
                  <w:tcBorders>
                    <w:top w:val="single" w:color="auto" w:sz="4" w:space="0"/>
                    <w:left w:val="single" w:color="auto" w:sz="4" w:space="0"/>
                    <w:bottom w:val="single" w:color="auto" w:sz="4" w:space="0"/>
                    <w:right w:val="single" w:color="auto" w:sz="4" w:space="0"/>
                  </w:tcBorders>
                  <w:noWrap w:val="0"/>
                  <w:vAlign w:val="center"/>
                </w:tcPr>
                <w:p w14:paraId="2C8432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漆雾</w:t>
                  </w:r>
                </w:p>
              </w:tc>
              <w:tc>
                <w:tcPr>
                  <w:tcW w:w="1677" w:type="dxa"/>
                  <w:tcBorders>
                    <w:top w:val="single" w:color="auto" w:sz="4" w:space="0"/>
                    <w:left w:val="single" w:color="auto" w:sz="4" w:space="0"/>
                    <w:bottom w:val="single" w:color="auto" w:sz="4" w:space="0"/>
                    <w:right w:val="single" w:color="auto" w:sz="4" w:space="0"/>
                  </w:tcBorders>
                  <w:noWrap w:val="0"/>
                  <w:vAlign w:val="center"/>
                </w:tcPr>
                <w:p w14:paraId="1F457E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B6C7D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r>
            <w:tr w14:paraId="04B8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48384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清洗剂</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DC451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256" w:type="dxa"/>
                  <w:vMerge w:val="continue"/>
                  <w:tcBorders>
                    <w:top w:val="single" w:color="auto" w:sz="4" w:space="0"/>
                    <w:left w:val="single" w:color="auto" w:sz="4" w:space="0"/>
                    <w:bottom w:val="single" w:color="auto" w:sz="4" w:space="0"/>
                    <w:right w:val="single" w:color="auto" w:sz="4" w:space="0"/>
                  </w:tcBorders>
                  <w:noWrap w:val="0"/>
                  <w:vAlign w:val="center"/>
                </w:tcPr>
                <w:p w14:paraId="04DC8623">
                  <w:pPr>
                    <w:jc w:val="center"/>
                    <w:rPr>
                      <w:rFonts w:hint="default" w:ascii="Times New Roman" w:hAnsi="Times New Roman" w:eastAsia="宋体" w:cs="Times New Roman"/>
                      <w:i w:val="0"/>
                      <w:iCs w:val="0"/>
                      <w:color w:val="auto"/>
                      <w:sz w:val="21"/>
                      <w:szCs w:val="21"/>
                      <w:u w:val="none"/>
                    </w:rPr>
                  </w:pPr>
                </w:p>
              </w:tc>
              <w:tc>
                <w:tcPr>
                  <w:tcW w:w="1677" w:type="dxa"/>
                  <w:tcBorders>
                    <w:top w:val="single" w:color="auto" w:sz="4" w:space="0"/>
                    <w:left w:val="single" w:color="auto" w:sz="4" w:space="0"/>
                    <w:bottom w:val="single" w:color="auto" w:sz="4" w:space="0"/>
                    <w:right w:val="single" w:color="auto" w:sz="4" w:space="0"/>
                  </w:tcBorders>
                  <w:noWrap w:val="0"/>
                  <w:vAlign w:val="center"/>
                </w:tcPr>
                <w:p w14:paraId="4CA9DA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2770F0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r>
            <w:tr w14:paraId="4268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F785C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96BE4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2701F9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漆渣</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B958B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2.252 </w:t>
                  </w:r>
                </w:p>
              </w:tc>
            </w:tr>
            <w:tr w14:paraId="6E150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749E0F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4C66D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0AAF4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喷枪清洗废液</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32C44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0.042 </w:t>
                  </w:r>
                </w:p>
              </w:tc>
            </w:tr>
            <w:tr w14:paraId="10308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BCECCA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E2C23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16D4F2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废粉末涂料</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628B96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3.465 </w:t>
                  </w:r>
                </w:p>
              </w:tc>
            </w:tr>
            <w:tr w14:paraId="2D65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7296CC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16AF1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D67E8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粉末涂料无组织粉尘排放量</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B2607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1.2561 </w:t>
                  </w:r>
                </w:p>
              </w:tc>
            </w:tr>
            <w:tr w14:paraId="39AE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4E9F0C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7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9C2D1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115.793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54F924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0113C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115.793 </w:t>
                  </w:r>
                </w:p>
              </w:tc>
            </w:tr>
          </w:tbl>
          <w:p w14:paraId="51A694B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w:t>
            </w:r>
            <w:r>
              <w:rPr>
                <w:rFonts w:hint="eastAsia" w:ascii="Times New Roman" w:hAnsi="Times New Roman" w:eastAsia="宋体" w:cs="Times New Roman"/>
                <w:b/>
                <w:bCs/>
                <w:color w:val="auto"/>
                <w:spacing w:val="-1"/>
                <w:sz w:val="24"/>
                <w:szCs w:val="24"/>
                <w:highlight w:val="none"/>
                <w:lang w:val="en-US" w:eastAsia="zh-CN"/>
              </w:rPr>
              <w:t>6</w:t>
            </w:r>
            <w:r>
              <w:rPr>
                <w:rFonts w:hint="default" w:ascii="Times New Roman" w:hAnsi="Times New Roman" w:eastAsia="宋体" w:cs="Times New Roman"/>
                <w:b/>
                <w:bCs/>
                <w:color w:val="auto"/>
                <w:spacing w:val="-1"/>
                <w:sz w:val="24"/>
                <w:szCs w:val="24"/>
                <w:highlight w:val="none"/>
              </w:rPr>
              <w:t>）通风系统</w:t>
            </w:r>
          </w:p>
          <w:p w14:paraId="149DFEA2">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本项目主要采用自然通风或设置抽排风机进行通风，不设中央空调。</w:t>
            </w:r>
          </w:p>
          <w:p w14:paraId="69215F80">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lang w:val="en-US" w:eastAsia="zh-CN"/>
              </w:rPr>
            </w:pPr>
            <w:r>
              <w:rPr>
                <w:rFonts w:hint="default" w:ascii="Times New Roman" w:hAnsi="Times New Roman" w:eastAsia="宋体" w:cs="Times New Roman"/>
                <w:b/>
                <w:bCs/>
                <w:color w:val="auto"/>
                <w:spacing w:val="-1"/>
                <w:sz w:val="24"/>
                <w:szCs w:val="24"/>
                <w:highlight w:val="none"/>
                <w:lang w:val="en-US" w:eastAsia="zh-CN"/>
              </w:rPr>
              <w:t>7、环保投资</w:t>
            </w:r>
          </w:p>
          <w:p w14:paraId="4E00FAE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lang w:val="en-US" w:eastAsia="zh-CN"/>
              </w:rPr>
            </w:pPr>
            <w:r>
              <w:rPr>
                <w:rFonts w:hint="default" w:ascii="Times New Roman" w:hAnsi="Times New Roman" w:eastAsia="宋体" w:cs="Times New Roman"/>
                <w:color w:val="auto"/>
                <w:spacing w:val="-1"/>
                <w:sz w:val="24"/>
                <w:szCs w:val="24"/>
                <w:highlight w:val="none"/>
                <w:lang w:val="en-US" w:eastAsia="zh-CN"/>
              </w:rPr>
              <w:t>本项目所需落实的污染防治措施的投资估算如下表所示。</w:t>
            </w:r>
          </w:p>
          <w:p w14:paraId="65C5743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sz w:val="21"/>
                <w:szCs w:val="21"/>
                <w:highlight w:val="none"/>
                <w:lang w:val="en-US" w:eastAsia="zh-CN"/>
              </w:rPr>
              <w:t>环保投资估算一览表</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496"/>
              <w:gridCol w:w="4344"/>
              <w:gridCol w:w="1703"/>
            </w:tblGrid>
            <w:tr w14:paraId="56DA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6F85B19">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序号</w:t>
                  </w:r>
                </w:p>
              </w:tc>
              <w:tc>
                <w:tcPr>
                  <w:tcW w:w="906" w:type="pct"/>
                  <w:noWrap w:val="0"/>
                  <w:vAlign w:val="center"/>
                </w:tcPr>
                <w:p w14:paraId="1BADF5E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环保项目</w:t>
                  </w:r>
                </w:p>
              </w:tc>
              <w:tc>
                <w:tcPr>
                  <w:tcW w:w="2629" w:type="pct"/>
                  <w:noWrap w:val="0"/>
                  <w:vAlign w:val="center"/>
                </w:tcPr>
                <w:p w14:paraId="3A593812">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主要内容</w:t>
                  </w:r>
                </w:p>
              </w:tc>
              <w:tc>
                <w:tcPr>
                  <w:tcW w:w="1031" w:type="pct"/>
                  <w:noWrap w:val="0"/>
                  <w:vAlign w:val="center"/>
                </w:tcPr>
                <w:p w14:paraId="5ECE915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投资额（万元）</w:t>
                  </w:r>
                </w:p>
              </w:tc>
            </w:tr>
            <w:tr w14:paraId="365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1BD5E4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1</w:t>
                  </w:r>
                </w:p>
              </w:tc>
              <w:tc>
                <w:tcPr>
                  <w:tcW w:w="906" w:type="pct"/>
                  <w:noWrap w:val="0"/>
                  <w:vAlign w:val="center"/>
                </w:tcPr>
                <w:p w14:paraId="3F1AD00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废气治理</w:t>
                  </w:r>
                </w:p>
              </w:tc>
              <w:tc>
                <w:tcPr>
                  <w:tcW w:w="2629" w:type="pct"/>
                  <w:noWrap w:val="0"/>
                  <w:vAlign w:val="center"/>
                </w:tcPr>
                <w:p w14:paraId="51F4C7C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配套废气收集设施</w:t>
                  </w:r>
                  <w:r>
                    <w:rPr>
                      <w:rFonts w:hint="eastAsia" w:ascii="Times New Roman" w:hAnsi="Times New Roman" w:eastAsia="宋体" w:cs="Times New Roman"/>
                      <w:snapToGrid/>
                      <w:color w:val="auto"/>
                      <w:kern w:val="0"/>
                      <w:sz w:val="21"/>
                      <w:szCs w:val="21"/>
                      <w:highlight w:val="none"/>
                      <w:lang w:val="en-US" w:eastAsia="zh-CN"/>
                    </w:rPr>
                    <w:t>和排气筒等</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13C759A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2</w:t>
                  </w:r>
                  <w:r>
                    <w:rPr>
                      <w:rFonts w:hint="eastAsia" w:ascii="Times New Roman" w:hAnsi="Times New Roman" w:eastAsia="宋体" w:cs="Times New Roman"/>
                      <w:snapToGrid/>
                      <w:color w:val="auto"/>
                      <w:kern w:val="0"/>
                      <w:sz w:val="21"/>
                      <w:szCs w:val="21"/>
                      <w:highlight w:val="none"/>
                      <w:lang w:val="en-US" w:eastAsia="zh-CN"/>
                    </w:rPr>
                    <w:t>0</w:t>
                  </w:r>
                  <w:r>
                    <w:rPr>
                      <w:rFonts w:hint="eastAsia" w:cs="Times New Roman"/>
                      <w:snapToGrid/>
                      <w:color w:val="auto"/>
                      <w:kern w:val="0"/>
                      <w:sz w:val="21"/>
                      <w:szCs w:val="21"/>
                      <w:highlight w:val="none"/>
                      <w:lang w:val="en-US" w:eastAsia="zh-CN"/>
                    </w:rPr>
                    <w:t>5</w:t>
                  </w:r>
                </w:p>
              </w:tc>
            </w:tr>
            <w:tr w14:paraId="0A21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36F76C4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2</w:t>
                  </w:r>
                </w:p>
              </w:tc>
              <w:tc>
                <w:tcPr>
                  <w:tcW w:w="906" w:type="pct"/>
                  <w:noWrap w:val="0"/>
                  <w:vAlign w:val="center"/>
                </w:tcPr>
                <w:p w14:paraId="0907172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废水治理</w:t>
                  </w:r>
                </w:p>
              </w:tc>
              <w:tc>
                <w:tcPr>
                  <w:tcW w:w="2629" w:type="pct"/>
                  <w:noWrap w:val="0"/>
                  <w:vAlign w:val="center"/>
                </w:tcPr>
                <w:p w14:paraId="635ABAE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铺设污水接驳管道</w:t>
                  </w:r>
                  <w:r>
                    <w:rPr>
                      <w:rFonts w:hint="eastAsia" w:ascii="Times New Roman" w:hAnsi="Times New Roman" w:eastAsia="宋体" w:cs="Times New Roman"/>
                      <w:snapToGrid/>
                      <w:color w:val="auto"/>
                      <w:kern w:val="0"/>
                      <w:sz w:val="21"/>
                      <w:szCs w:val="21"/>
                      <w:highlight w:val="none"/>
                      <w:lang w:val="en-US" w:eastAsia="zh-CN"/>
                    </w:rPr>
                    <w:t>、废水处理设施</w:t>
                  </w:r>
                  <w:r>
                    <w:rPr>
                      <w:rFonts w:hint="default" w:ascii="Times New Roman" w:hAnsi="Times New Roman" w:eastAsia="宋体" w:cs="Times New Roman"/>
                      <w:color w:val="auto"/>
                      <w:kern w:val="2"/>
                      <w:sz w:val="21"/>
                      <w:szCs w:val="21"/>
                      <w:highlight w:val="none"/>
                      <w:lang w:val="en-US" w:eastAsia="zh-CN" w:bidi="ar-SA"/>
                    </w:rPr>
                    <w:t>（三级化粪池+隔油隔渣池</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自建污水处理站</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工艺为“</w:t>
                  </w:r>
                  <w:r>
                    <w:rPr>
                      <w:rFonts w:hint="eastAsia" w:cs="Times New Roman"/>
                      <w:color w:val="auto"/>
                      <w:kern w:val="2"/>
                      <w:sz w:val="21"/>
                      <w:szCs w:val="21"/>
                      <w:highlight w:val="none"/>
                      <w:lang w:val="en-US" w:eastAsia="zh-CN" w:bidi="ar-SA"/>
                    </w:rPr>
                    <w:t>中和调节+混凝沉淀+气浮+化学除氟</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snapToGrid/>
                      <w:color w:val="auto"/>
                      <w:kern w:val="0"/>
                      <w:sz w:val="21"/>
                      <w:szCs w:val="21"/>
                      <w:highlight w:val="none"/>
                      <w:lang w:val="en-US" w:eastAsia="zh-CN"/>
                    </w:rPr>
                    <w:t>））</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09ECCCB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60</w:t>
                  </w:r>
                </w:p>
              </w:tc>
            </w:tr>
            <w:tr w14:paraId="21FA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1A4596D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3</w:t>
                  </w:r>
                </w:p>
              </w:tc>
              <w:tc>
                <w:tcPr>
                  <w:tcW w:w="906" w:type="pct"/>
                  <w:noWrap w:val="0"/>
                  <w:vAlign w:val="center"/>
                </w:tcPr>
                <w:p w14:paraId="084E13D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噪声治理</w:t>
                  </w:r>
                </w:p>
              </w:tc>
              <w:tc>
                <w:tcPr>
                  <w:tcW w:w="2629" w:type="pct"/>
                  <w:noWrap w:val="0"/>
                  <w:vAlign w:val="center"/>
                </w:tcPr>
                <w:p w14:paraId="7C6BD15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高噪声设备配套减振、隔音、消声装置。</w:t>
                  </w:r>
                </w:p>
              </w:tc>
              <w:tc>
                <w:tcPr>
                  <w:tcW w:w="1031" w:type="pct"/>
                  <w:noWrap w:val="0"/>
                  <w:vAlign w:val="center"/>
                </w:tcPr>
                <w:p w14:paraId="0B84E92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10</w:t>
                  </w:r>
                </w:p>
              </w:tc>
            </w:tr>
            <w:tr w14:paraId="3FB6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0B1815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4</w:t>
                  </w:r>
                </w:p>
              </w:tc>
              <w:tc>
                <w:tcPr>
                  <w:tcW w:w="906" w:type="pct"/>
                  <w:noWrap w:val="0"/>
                  <w:vAlign w:val="center"/>
                </w:tcPr>
                <w:p w14:paraId="4F449E8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固体废物处理</w:t>
                  </w:r>
                </w:p>
              </w:tc>
              <w:tc>
                <w:tcPr>
                  <w:tcW w:w="2629" w:type="pct"/>
                  <w:noWrap w:val="0"/>
                  <w:vAlign w:val="center"/>
                </w:tcPr>
                <w:p w14:paraId="11B2666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建设一般工业固体废物、危险废物贮存间</w:t>
                  </w:r>
                  <w:r>
                    <w:rPr>
                      <w:rFonts w:hint="eastAsia" w:ascii="Times New Roman" w:hAnsi="Times New Roman" w:eastAsia="宋体" w:cs="Times New Roman"/>
                      <w:snapToGrid/>
                      <w:color w:val="auto"/>
                      <w:kern w:val="0"/>
                      <w:sz w:val="21"/>
                      <w:szCs w:val="21"/>
                      <w:highlight w:val="none"/>
                      <w:lang w:val="en-US" w:eastAsia="zh-CN"/>
                    </w:rPr>
                    <w:t>和处置费</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4E6ABA7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20</w:t>
                  </w:r>
                </w:p>
              </w:tc>
            </w:tr>
            <w:tr w14:paraId="3CE2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042AC3A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5</w:t>
                  </w:r>
                </w:p>
              </w:tc>
              <w:tc>
                <w:tcPr>
                  <w:tcW w:w="906" w:type="pct"/>
                  <w:noWrap w:val="0"/>
                  <w:vAlign w:val="center"/>
                </w:tcPr>
                <w:p w14:paraId="16AE37B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环境风险</w:t>
                  </w:r>
                </w:p>
              </w:tc>
              <w:tc>
                <w:tcPr>
                  <w:tcW w:w="2629" w:type="pct"/>
                  <w:noWrap w:val="0"/>
                  <w:vAlign w:val="center"/>
                </w:tcPr>
                <w:p w14:paraId="7DC1779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应急池</w:t>
                  </w:r>
                </w:p>
              </w:tc>
              <w:tc>
                <w:tcPr>
                  <w:tcW w:w="1031" w:type="pct"/>
                  <w:noWrap w:val="0"/>
                  <w:vAlign w:val="center"/>
                </w:tcPr>
                <w:p w14:paraId="444C44F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5</w:t>
                  </w:r>
                </w:p>
              </w:tc>
            </w:tr>
            <w:tr w14:paraId="7751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68" w:type="pct"/>
                  <w:gridSpan w:val="3"/>
                  <w:noWrap w:val="0"/>
                  <w:vAlign w:val="center"/>
                </w:tcPr>
                <w:p w14:paraId="157738A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合计</w:t>
                  </w:r>
                </w:p>
              </w:tc>
              <w:tc>
                <w:tcPr>
                  <w:tcW w:w="1031" w:type="pct"/>
                  <w:noWrap w:val="0"/>
                  <w:vAlign w:val="center"/>
                </w:tcPr>
                <w:p w14:paraId="7A271A7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3</w:t>
                  </w:r>
                  <w:r>
                    <w:rPr>
                      <w:rFonts w:hint="default" w:ascii="Times New Roman" w:hAnsi="Times New Roman" w:eastAsia="宋体" w:cs="Times New Roman"/>
                      <w:snapToGrid/>
                      <w:color w:val="auto"/>
                      <w:kern w:val="0"/>
                      <w:sz w:val="21"/>
                      <w:szCs w:val="21"/>
                      <w:highlight w:val="none"/>
                      <w:lang w:val="en-US" w:eastAsia="zh-CN"/>
                    </w:rPr>
                    <w:t>00</w:t>
                  </w:r>
                </w:p>
              </w:tc>
            </w:tr>
          </w:tbl>
          <w:p w14:paraId="2FC090B3">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0ED6DA56">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eastAsia" w:ascii="Times New Roman" w:hAnsi="Times New Roman" w:eastAsia="宋体" w:cs="Times New Roman"/>
                <w:color w:val="auto"/>
                <w:spacing w:val="-1"/>
                <w:sz w:val="24"/>
                <w:szCs w:val="24"/>
                <w:highlight w:val="none"/>
                <w:lang w:val="en-US" w:eastAsia="zh-CN"/>
              </w:rPr>
              <w:t>三</w:t>
            </w:r>
            <w:r>
              <w:rPr>
                <w:rFonts w:hint="default" w:ascii="Times New Roman" w:hAnsi="Times New Roman" w:eastAsia="宋体" w:cs="Times New Roman"/>
                <w:color w:val="auto"/>
                <w:spacing w:val="-1"/>
                <w:sz w:val="24"/>
                <w:szCs w:val="24"/>
                <w:highlight w:val="none"/>
              </w:rPr>
              <w:t>、</w:t>
            </w:r>
            <w:r>
              <w:rPr>
                <w:rFonts w:hint="default" w:ascii="Times New Roman" w:hAnsi="Times New Roman" w:cs="Times New Roman"/>
                <w:b/>
                <w:bCs/>
                <w:color w:val="auto"/>
                <w:kern w:val="2"/>
                <w:sz w:val="24"/>
                <w:szCs w:val="24"/>
                <w:highlight w:val="none"/>
              </w:rPr>
              <w:t>厂区平面布置及四至情况</w:t>
            </w:r>
          </w:p>
          <w:p w14:paraId="0A5D892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bookmarkStart w:id="10" w:name="_Toc15878"/>
            <w:bookmarkStart w:id="11" w:name="_Toc21623"/>
            <w:r>
              <w:rPr>
                <w:rFonts w:hint="default" w:ascii="Times New Roman" w:hAnsi="Times New Roman" w:eastAsia="宋体" w:cs="Times New Roman"/>
                <w:color w:val="auto"/>
                <w:spacing w:val="-1"/>
                <w:sz w:val="24"/>
                <w:szCs w:val="24"/>
                <w:highlight w:val="none"/>
              </w:rPr>
              <w:t>本项目位于</w:t>
            </w:r>
            <w:r>
              <w:rPr>
                <w:rFonts w:hint="eastAsia" w:ascii="Times New Roman" w:hAnsi="Times New Roman" w:eastAsia="宋体" w:cs="Times New Roman"/>
                <w:color w:val="auto"/>
                <w:spacing w:val="-1"/>
                <w:sz w:val="24"/>
                <w:szCs w:val="24"/>
                <w:highlight w:val="none"/>
                <w:lang w:eastAsia="zh-CN"/>
              </w:rPr>
              <w:t>韶关市乐昌市</w:t>
            </w:r>
            <w:r>
              <w:rPr>
                <w:rFonts w:hint="eastAsia" w:cs="Times New Roman"/>
                <w:color w:val="auto"/>
                <w:spacing w:val="-1"/>
                <w:sz w:val="24"/>
                <w:szCs w:val="24"/>
                <w:highlight w:val="none"/>
                <w:lang w:eastAsia="zh-CN"/>
              </w:rPr>
              <w:t>乐昌产业转移工业园GL-02-02-01地块</w:t>
            </w:r>
            <w:r>
              <w:rPr>
                <w:rFonts w:hint="default" w:ascii="Times New Roman" w:hAnsi="Times New Roman" w:eastAsia="宋体" w:cs="Times New Roman"/>
                <w:color w:val="auto"/>
                <w:spacing w:val="-1"/>
                <w:sz w:val="24"/>
                <w:szCs w:val="24"/>
                <w:highlight w:val="none"/>
              </w:rPr>
              <w:t>。本项目东面为</w:t>
            </w:r>
            <w:r>
              <w:rPr>
                <w:rFonts w:hint="eastAsia" w:ascii="Times New Roman" w:hAnsi="Times New Roman" w:eastAsia="宋体" w:cs="Times New Roman"/>
                <w:color w:val="auto"/>
                <w:spacing w:val="-1"/>
                <w:sz w:val="24"/>
                <w:szCs w:val="24"/>
                <w:highlight w:val="none"/>
                <w:lang w:val="en-US" w:eastAsia="zh-CN"/>
              </w:rPr>
              <w:t>平整空地，</w:t>
            </w:r>
            <w:r>
              <w:rPr>
                <w:rFonts w:hint="default" w:ascii="Times New Roman" w:hAnsi="Times New Roman" w:eastAsia="宋体" w:cs="Times New Roman"/>
                <w:color w:val="auto"/>
                <w:spacing w:val="-1"/>
                <w:sz w:val="24"/>
                <w:szCs w:val="24"/>
                <w:highlight w:val="none"/>
              </w:rPr>
              <w:t>南面为</w:t>
            </w:r>
            <w:r>
              <w:rPr>
                <w:rFonts w:hint="default" w:ascii="Times New Roman" w:hAnsi="Times New Roman" w:eastAsia="宋体" w:cs="Times New Roman"/>
                <w:color w:val="auto"/>
                <w:spacing w:val="-1"/>
                <w:sz w:val="24"/>
                <w:szCs w:val="24"/>
                <w:highlight w:val="none"/>
                <w:lang w:val="en-US" w:eastAsia="zh-CN"/>
              </w:rPr>
              <w:t>平整空地</w:t>
            </w:r>
            <w:r>
              <w:rPr>
                <w:rFonts w:hint="eastAsia"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西面</w:t>
            </w:r>
            <w:r>
              <w:rPr>
                <w:rFonts w:hint="default" w:ascii="Times New Roman" w:hAnsi="Times New Roman" w:eastAsia="宋体" w:cs="Times New Roman"/>
                <w:color w:val="auto"/>
                <w:spacing w:val="-1"/>
                <w:sz w:val="24"/>
                <w:szCs w:val="24"/>
                <w:highlight w:val="none"/>
                <w:lang w:val="en-US" w:eastAsia="zh-CN"/>
              </w:rPr>
              <w:t>为平整空地</w:t>
            </w:r>
            <w:r>
              <w:rPr>
                <w:rFonts w:hint="eastAsia"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北面为</w:t>
            </w:r>
            <w:r>
              <w:rPr>
                <w:rFonts w:hint="default" w:ascii="Times New Roman" w:hAnsi="Times New Roman" w:eastAsia="宋体" w:cs="Times New Roman"/>
                <w:color w:val="auto"/>
                <w:spacing w:val="-1"/>
                <w:sz w:val="24"/>
                <w:szCs w:val="24"/>
                <w:highlight w:val="none"/>
                <w:lang w:val="en-US" w:eastAsia="zh-CN"/>
              </w:rPr>
              <w:t>平整空地</w:t>
            </w:r>
            <w:r>
              <w:rPr>
                <w:rFonts w:hint="default" w:ascii="Times New Roman" w:hAnsi="Times New Roman" w:eastAsia="宋体" w:cs="Times New Roman"/>
                <w:color w:val="auto"/>
                <w:spacing w:val="-1"/>
                <w:sz w:val="24"/>
                <w:szCs w:val="24"/>
                <w:highlight w:val="none"/>
              </w:rPr>
              <w:t>。</w:t>
            </w:r>
            <w:bookmarkEnd w:id="10"/>
            <w:bookmarkEnd w:id="11"/>
            <w:r>
              <w:rPr>
                <w:rFonts w:hint="default" w:ascii="Times New Roman" w:hAnsi="Times New Roman" w:eastAsia="宋体" w:cs="Times New Roman"/>
                <w:color w:val="auto"/>
                <w:spacing w:val="-1"/>
                <w:sz w:val="24"/>
                <w:szCs w:val="24"/>
                <w:highlight w:val="none"/>
              </w:rPr>
              <w:t>项目四至环境见附图2，周边环境现状实景见附图</w:t>
            </w:r>
            <w:r>
              <w:rPr>
                <w:rFonts w:hint="eastAsia" w:ascii="Times New Roman" w:hAnsi="Times New Roman" w:eastAsia="宋体" w:cs="Times New Roman"/>
                <w:color w:val="auto"/>
                <w:spacing w:val="-1"/>
                <w:sz w:val="24"/>
                <w:szCs w:val="24"/>
                <w:highlight w:val="none"/>
                <w:lang w:val="en-US" w:eastAsia="zh-CN"/>
              </w:rPr>
              <w:t>3。</w:t>
            </w:r>
          </w:p>
          <w:p w14:paraId="79D024D8">
            <w:pPr>
              <w:spacing w:line="360" w:lineRule="auto"/>
              <w:ind w:firstLine="480" w:firstLineChars="200"/>
              <w:rPr>
                <w:rFonts w:ascii="黑体" w:hAnsi="黑体" w:eastAsia="黑体"/>
                <w:snapToGrid w:val="0"/>
                <w:color w:val="auto"/>
                <w:sz w:val="36"/>
                <w:szCs w:val="36"/>
                <w:highlight w:val="none"/>
                <w:vertAlign w:val="baseline"/>
              </w:rPr>
            </w:pP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规划总</w:t>
            </w:r>
            <w:r>
              <w:rPr>
                <w:rFonts w:hint="default" w:ascii="Times New Roman" w:hAnsi="Times New Roman" w:eastAsia="宋体" w:cs="Times New Roman"/>
                <w:color w:val="auto"/>
                <w:sz w:val="24"/>
                <w:szCs w:val="24"/>
                <w:highlight w:val="none"/>
              </w:rPr>
              <w:t>占地面积</w:t>
            </w:r>
            <w:r>
              <w:rPr>
                <w:rFonts w:hint="eastAsia" w:ascii="Times New Roman" w:hAnsi="Times New Roman" w:eastAsia="宋体" w:cs="Times New Roman"/>
                <w:color w:val="auto"/>
                <w:sz w:val="24"/>
                <w:szCs w:val="24"/>
                <w:highlight w:val="none"/>
                <w:lang w:eastAsia="zh-CN"/>
              </w:rPr>
              <w:t>54139.29</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总</w:t>
            </w:r>
            <w:r>
              <w:rPr>
                <w:rFonts w:hint="default" w:ascii="Times New Roman" w:hAnsi="Times New Roman" w:eastAsia="宋体" w:cs="Times New Roman"/>
                <w:color w:val="auto"/>
                <w:sz w:val="24"/>
                <w:szCs w:val="24"/>
                <w:highlight w:val="none"/>
              </w:rPr>
              <w:t>建筑面积</w:t>
            </w:r>
            <w:r>
              <w:rPr>
                <w:rFonts w:hint="eastAsia" w:ascii="Times New Roman" w:hAnsi="Times New Roman" w:eastAsia="宋体" w:cs="Times New Roman"/>
                <w:color w:val="auto"/>
                <w:sz w:val="24"/>
                <w:szCs w:val="24"/>
                <w:highlight w:val="none"/>
                <w:lang w:eastAsia="zh-CN"/>
              </w:rPr>
              <w:t>43886.37</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主要包含5栋</w:t>
            </w:r>
            <w:r>
              <w:rPr>
                <w:rFonts w:hint="default" w:ascii="Times New Roman" w:hAnsi="Times New Roman" w:eastAsia="宋体" w:cs="Times New Roman"/>
                <w:color w:val="auto"/>
                <w:spacing w:val="-1"/>
                <w:sz w:val="24"/>
                <w:szCs w:val="24"/>
                <w:highlight w:val="none"/>
              </w:rPr>
              <w:t>生产厂房（1#~</w:t>
            </w:r>
            <w:r>
              <w:rPr>
                <w:rFonts w:hint="eastAsia" w:ascii="Times New Roman" w:hAnsi="Times New Roman" w:eastAsia="宋体" w:cs="Times New Roman"/>
                <w:color w:val="auto"/>
                <w:spacing w:val="-1"/>
                <w:sz w:val="24"/>
                <w:szCs w:val="24"/>
                <w:highlight w:val="none"/>
                <w:lang w:val="en-US" w:eastAsia="zh-CN"/>
              </w:rPr>
              <w:t>5</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eastAsia="zh-CN"/>
              </w:rPr>
              <w:t>、</w:t>
            </w:r>
            <w:r>
              <w:rPr>
                <w:rFonts w:hint="eastAsia" w:ascii="Times New Roman" w:hAnsi="Times New Roman" w:eastAsia="宋体" w:cs="Times New Roman"/>
                <w:color w:val="auto"/>
                <w:sz w:val="24"/>
                <w:szCs w:val="24"/>
                <w:highlight w:val="none"/>
                <w:lang w:eastAsia="zh-CN"/>
              </w:rPr>
              <w:t>宿舍楼</w:t>
            </w:r>
            <w:r>
              <w:rPr>
                <w:rFonts w:hint="default" w:ascii="Times New Roman" w:hAnsi="Times New Roman" w:eastAsia="宋体" w:cs="Times New Roman"/>
                <w:color w:val="auto"/>
                <w:sz w:val="24"/>
                <w:szCs w:val="24"/>
                <w:highlight w:val="none"/>
              </w:rPr>
              <w:t>1栋</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综合楼1栋及其他辅助设施</w:t>
            </w:r>
            <w:r>
              <w:rPr>
                <w:rFonts w:hint="eastAsia" w:ascii="Times New Roman" w:hAnsi="Times New Roman" w:eastAsia="宋体" w:cs="Times New Roman"/>
                <w:color w:val="auto"/>
                <w:sz w:val="24"/>
                <w:szCs w:val="24"/>
                <w:highlight w:val="none"/>
                <w:lang w:val="en-US" w:eastAsia="zh-CN"/>
              </w:rPr>
              <w:t>。其中1#厂房主要划分为开料、冲压区以及车间通道；2#厂房主要划分为折弯成型区及车间通道；</w:t>
            </w:r>
            <w:r>
              <w:rPr>
                <w:rFonts w:hint="eastAsia" w:ascii="Times New Roman" w:hAnsi="Times New Roman" w:eastAsia="宋体" w:cs="Times New Roman"/>
                <w:color w:val="auto"/>
                <w:spacing w:val="-1"/>
                <w:sz w:val="24"/>
                <w:szCs w:val="24"/>
                <w:highlight w:val="none"/>
                <w:lang w:val="en-US" w:eastAsia="zh-CN"/>
              </w:rPr>
              <w:t>3</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主要为焊接、抛光打磨</w:t>
            </w:r>
            <w:r>
              <w:rPr>
                <w:rFonts w:hint="eastAsia" w:cs="Times New Roman"/>
                <w:color w:val="auto"/>
                <w:spacing w:val="-1"/>
                <w:sz w:val="24"/>
                <w:szCs w:val="24"/>
                <w:highlight w:val="none"/>
                <w:lang w:val="en-US" w:eastAsia="zh-CN"/>
              </w:rPr>
              <w:t>区</w:t>
            </w:r>
            <w:r>
              <w:rPr>
                <w:rFonts w:hint="eastAsia" w:ascii="Times New Roman" w:hAnsi="Times New Roman" w:eastAsia="宋体" w:cs="Times New Roman"/>
                <w:color w:val="auto"/>
                <w:spacing w:val="-1"/>
                <w:sz w:val="24"/>
                <w:szCs w:val="24"/>
                <w:highlight w:val="none"/>
                <w:lang w:val="en-US" w:eastAsia="zh-CN"/>
              </w:rPr>
              <w:t>以及车间通道</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pacing w:val="-1"/>
                <w:sz w:val="24"/>
                <w:szCs w:val="24"/>
                <w:highlight w:val="none"/>
                <w:lang w:val="en-US" w:eastAsia="zh-CN"/>
              </w:rPr>
              <w:t>4</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w:t>
            </w:r>
            <w:r>
              <w:rPr>
                <w:rFonts w:hint="eastAsia" w:cs="Times New Roman"/>
                <w:color w:val="auto"/>
                <w:spacing w:val="-1"/>
                <w:sz w:val="24"/>
                <w:szCs w:val="24"/>
                <w:highlight w:val="none"/>
                <w:lang w:val="en-US" w:eastAsia="zh-CN"/>
              </w:rPr>
              <w:t>喷漆、喷粉和固化线、</w:t>
            </w:r>
            <w:r>
              <w:rPr>
                <w:rFonts w:hint="eastAsia" w:ascii="Times New Roman" w:hAnsi="Times New Roman" w:eastAsia="宋体" w:cs="Times New Roman"/>
                <w:color w:val="auto"/>
                <w:spacing w:val="-1"/>
                <w:sz w:val="24"/>
                <w:szCs w:val="24"/>
                <w:highlight w:val="none"/>
                <w:lang w:val="en-US" w:eastAsia="zh-CN"/>
              </w:rPr>
              <w:t>组装区以及车间通道；5</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主要为原料堆放区、预处理区、烘干区、成品堆放区以及车间通道</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pacing w:val="-1"/>
                <w:sz w:val="24"/>
                <w:szCs w:val="24"/>
                <w:highlight w:val="none"/>
              </w:rPr>
              <w:t>各区</w:t>
            </w:r>
            <w:r>
              <w:rPr>
                <w:rFonts w:hint="default" w:ascii="Times New Roman" w:hAnsi="Times New Roman"/>
                <w:color w:val="auto"/>
                <w:sz w:val="24"/>
                <w:szCs w:val="24"/>
                <w:highlight w:val="none"/>
              </w:rPr>
              <w:t>布局功能分区</w:t>
            </w:r>
            <w:r>
              <w:rPr>
                <w:rFonts w:hint="default" w:ascii="Times New Roman" w:hAnsi="Times New Roman" w:eastAsia="宋体" w:cs="Times New Roman"/>
                <w:color w:val="auto"/>
                <w:sz w:val="24"/>
                <w:szCs w:val="24"/>
                <w:highlight w:val="none"/>
              </w:rPr>
              <w:t>划分明确</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pacing w:val="-1"/>
                <w:sz w:val="24"/>
                <w:szCs w:val="24"/>
                <w:highlight w:val="none"/>
              </w:rPr>
              <w:t>紧凑</w:t>
            </w:r>
            <w:r>
              <w:rPr>
                <w:rFonts w:hint="default" w:ascii="Times New Roman" w:hAnsi="Times New Roman" w:eastAsia="宋体" w:cs="Times New Roman"/>
                <w:color w:val="auto"/>
                <w:sz w:val="24"/>
                <w:szCs w:val="24"/>
                <w:highlight w:val="none"/>
              </w:rPr>
              <w:t>，人流、物流线路清晰，平面布置合理可行</w:t>
            </w:r>
            <w:r>
              <w:rPr>
                <w:rFonts w:hint="default" w:ascii="Times New Roman" w:hAnsi="Times New Roman" w:eastAsia="宋体" w:cs="Times New Roman"/>
                <w:color w:val="auto"/>
                <w:kern w:val="2"/>
                <w:sz w:val="24"/>
                <w:szCs w:val="24"/>
                <w:highlight w:val="none"/>
                <w:lang w:val="en-US" w:eastAsia="zh-CN" w:bidi="ar-SA"/>
              </w:rPr>
              <w:t>，具体</w:t>
            </w:r>
            <w:r>
              <w:rPr>
                <w:rFonts w:hint="eastAsia" w:ascii="Times New Roman" w:hAnsi="Times New Roman" w:eastAsia="宋体" w:cs="Times New Roman"/>
                <w:color w:val="auto"/>
                <w:kern w:val="2"/>
                <w:sz w:val="24"/>
                <w:szCs w:val="24"/>
                <w:highlight w:val="none"/>
                <w:lang w:val="en-US" w:eastAsia="zh-CN" w:bidi="ar-SA"/>
              </w:rPr>
              <w:t>总平面</w:t>
            </w:r>
            <w:r>
              <w:rPr>
                <w:rFonts w:hint="default" w:ascii="Times New Roman" w:hAnsi="Times New Roman" w:eastAsia="宋体" w:cs="Times New Roman"/>
                <w:color w:val="auto"/>
                <w:kern w:val="2"/>
                <w:sz w:val="24"/>
                <w:szCs w:val="24"/>
                <w:highlight w:val="none"/>
                <w:lang w:val="en-US" w:eastAsia="zh-CN" w:bidi="ar-SA"/>
              </w:rPr>
              <w:t>布置</w:t>
            </w:r>
            <w:r>
              <w:rPr>
                <w:rFonts w:hint="eastAsia" w:ascii="Times New Roman" w:hAnsi="Times New Roman" w:eastAsia="宋体" w:cs="Times New Roman"/>
                <w:color w:val="auto"/>
                <w:kern w:val="2"/>
                <w:sz w:val="24"/>
                <w:szCs w:val="24"/>
                <w:highlight w:val="none"/>
                <w:lang w:val="en-US" w:eastAsia="zh-CN" w:bidi="ar-SA"/>
              </w:rPr>
              <w:t>及生产</w:t>
            </w:r>
            <w:r>
              <w:rPr>
                <w:rFonts w:hint="eastAsia" w:ascii="Times New Roman" w:hAnsi="Times New Roman" w:eastAsia="宋体"/>
                <w:color w:val="auto"/>
                <w:sz w:val="24"/>
                <w:szCs w:val="24"/>
                <w:highlight w:val="none"/>
                <w:lang w:val="en-US" w:eastAsia="zh-CN"/>
              </w:rPr>
              <w:t>厂房</w:t>
            </w:r>
            <w:r>
              <w:rPr>
                <w:rFonts w:hint="eastAsia" w:ascii="Times New Roman" w:hAnsi="Times New Roman"/>
                <w:color w:val="auto"/>
                <w:sz w:val="24"/>
                <w:szCs w:val="24"/>
                <w:highlight w:val="none"/>
                <w:lang w:val="en-US" w:eastAsia="zh-CN"/>
              </w:rPr>
              <w:t>布局</w:t>
            </w:r>
            <w:r>
              <w:rPr>
                <w:rFonts w:hint="default" w:ascii="Times New Roman" w:hAnsi="Times New Roman" w:eastAsia="宋体" w:cs="Times New Roman"/>
                <w:color w:val="auto"/>
                <w:kern w:val="2"/>
                <w:sz w:val="24"/>
                <w:szCs w:val="24"/>
                <w:highlight w:val="none"/>
                <w:lang w:val="en-US" w:eastAsia="zh-CN" w:bidi="ar-SA"/>
              </w:rPr>
              <w:t>详见</w:t>
            </w:r>
            <w:r>
              <w:rPr>
                <w:rFonts w:hint="default" w:ascii="Times New Roman" w:hAnsi="Times New Roman" w:eastAsia="宋体" w:cs="Times New Roman"/>
                <w:color w:val="auto"/>
                <w:sz w:val="24"/>
                <w:szCs w:val="24"/>
                <w:highlight w:val="none"/>
              </w:rPr>
              <w:t>附图</w:t>
            </w:r>
            <w:r>
              <w:rPr>
                <w:rFonts w:hint="eastAsia" w:ascii="Times New Roman" w:hAnsi="Times New Roman" w:eastAsia="宋体" w:cs="Times New Roman"/>
                <w:color w:val="auto"/>
                <w:sz w:val="24"/>
                <w:szCs w:val="24"/>
                <w:highlight w:val="none"/>
                <w:lang w:val="en-US" w:eastAsia="zh-CN"/>
              </w:rPr>
              <w:t>4、附图5-1到附图5-5</w:t>
            </w:r>
            <w:r>
              <w:rPr>
                <w:rFonts w:ascii="Times New Roman" w:hAnsi="Times New Roman"/>
                <w:color w:val="auto"/>
                <w:sz w:val="24"/>
                <w:szCs w:val="24"/>
                <w:highlight w:val="none"/>
              </w:rPr>
              <w:t>。</w:t>
            </w:r>
          </w:p>
        </w:tc>
      </w:tr>
      <w:tr w14:paraId="4DEC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75" w:type="dxa"/>
            <w:noWrap w:val="0"/>
            <w:vAlign w:val="center"/>
          </w:tcPr>
          <w:p w14:paraId="665FC03B">
            <w:pPr>
              <w:pStyle w:val="45"/>
              <w:adjustRightInd w:val="0"/>
              <w:snapToGrid w:val="0"/>
              <w:spacing w:before="0" w:beforeAutospacing="0" w:after="0" w:afterAutospacing="0"/>
              <w:jc w:val="center"/>
              <w:rPr>
                <w:rFonts w:ascii="黑体" w:hAnsi="黑体" w:eastAsia="黑体"/>
                <w:snapToGrid w:val="0"/>
                <w:color w:val="auto"/>
                <w:sz w:val="36"/>
                <w:szCs w:val="36"/>
                <w:highlight w:val="none"/>
                <w:vertAlign w:val="baseline"/>
              </w:rPr>
            </w:pPr>
            <w:r>
              <w:rPr>
                <w:rFonts w:hint="default" w:ascii="Times New Roman" w:hAnsi="Times New Roman" w:cs="Times New Roman"/>
                <w:color w:val="auto"/>
                <w:szCs w:val="24"/>
                <w:highlight w:val="none"/>
              </w:rPr>
              <w:t>工艺流程和产排污环节</w:t>
            </w:r>
          </w:p>
        </w:tc>
        <w:tc>
          <w:tcPr>
            <w:tcW w:w="8485" w:type="dxa"/>
            <w:noWrap w:val="0"/>
            <w:vAlign w:val="top"/>
          </w:tcPr>
          <w:p w14:paraId="6AD6B5B2">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b/>
                <w:bCs/>
                <w:color w:val="auto"/>
                <w:sz w:val="24"/>
                <w:highlight w:val="none"/>
              </w:rPr>
            </w:pPr>
          </w:p>
          <w:p w14:paraId="109AE28E">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工艺流程简述（图示）：</w:t>
            </w:r>
          </w:p>
          <w:p w14:paraId="328260DD">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生产工艺流程</w:t>
            </w:r>
          </w:p>
          <w:p w14:paraId="7971DCC6">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right="0"/>
              <w:jc w:val="center"/>
              <w:outlineLvl w:val="9"/>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val="0"/>
                <w:bCs w:val="0"/>
                <w:color w:val="auto"/>
                <w:sz w:val="21"/>
                <w:szCs w:val="21"/>
                <w:highlight w:val="none"/>
                <w:lang w:val="en-US" w:eastAsia="zh-CN"/>
              </w:rPr>
              <w:object>
                <v:shape id="_x0000_i1026" o:spt="75" type="#_x0000_t75" style="height:568.95pt;width:401pt;" o:ole="t" filled="f" o:preferrelative="t" stroked="f" coordsize="21600,21600">
                  <v:path/>
                  <v:fill on="f" focussize="0,0"/>
                  <v:stroke on="f"/>
                  <v:imagedata r:id="rId23" o:title=""/>
                  <o:lock v:ext="edit" aspectratio="f"/>
                  <w10:wrap type="none"/>
                  <w10:anchorlock/>
                </v:shape>
                <o:OLEObject Type="Embed" ProgID="Visio.Drawing.15" ShapeID="_x0000_i1026" DrawAspect="Content" ObjectID="_1468075726" r:id="rId22">
                  <o:LockedField>false</o:LockedField>
                </o:OLEObject>
              </w:object>
            </w:r>
          </w:p>
          <w:p w14:paraId="7CE34D08">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240" w:lineRule="auto"/>
              <w:ind w:right="0"/>
              <w:outlineLvl w:val="9"/>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注：项目水洗废水与</w:t>
            </w:r>
            <w:r>
              <w:rPr>
                <w:rFonts w:hint="eastAsia" w:cs="Times New Roman"/>
                <w:b w:val="0"/>
                <w:bCs w:val="0"/>
                <w:i w:val="0"/>
                <w:iCs w:val="0"/>
                <w:color w:val="auto"/>
                <w:kern w:val="0"/>
                <w:sz w:val="21"/>
                <w:szCs w:val="21"/>
                <w:highlight w:val="none"/>
                <w:u w:val="none"/>
                <w:lang w:val="en-US" w:eastAsia="zh-CN" w:bidi="ar"/>
              </w:rPr>
              <w:t>预</w:t>
            </w:r>
            <w:r>
              <w:rPr>
                <w:rFonts w:hint="eastAsia" w:cs="Times New Roman"/>
                <w:i w:val="0"/>
                <w:iCs w:val="0"/>
                <w:color w:val="auto"/>
                <w:kern w:val="0"/>
                <w:sz w:val="21"/>
                <w:szCs w:val="21"/>
                <w:highlight w:val="none"/>
                <w:u w:val="none"/>
                <w:lang w:val="en-US" w:eastAsia="zh-CN" w:bidi="ar"/>
              </w:rPr>
              <w:t>脱脂池、脱脂池更换出来的高浓度废水排入自建污水处理站进行处理，故后文分析将水洗废水及高浓度废水统称为前处理废水。</w:t>
            </w:r>
          </w:p>
          <w:p w14:paraId="2B6335E1">
            <w:pPr>
              <w:pStyle w:val="16"/>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360" w:lineRule="auto"/>
              <w:ind w:left="0" w:leftChars="0" w:right="0" w:firstLine="0" w:firstLineChars="0"/>
              <w:jc w:val="center"/>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项目</w:t>
            </w:r>
            <w:r>
              <w:rPr>
                <w:rFonts w:hint="default" w:ascii="Times New Roman" w:hAnsi="Times New Roman" w:eastAsia="宋体" w:cs="Times New Roman"/>
                <w:b/>
                <w:bCs/>
                <w:color w:val="auto"/>
                <w:sz w:val="21"/>
                <w:szCs w:val="21"/>
                <w:highlight w:val="none"/>
              </w:rPr>
              <w:t>生产工艺流程</w:t>
            </w:r>
            <w:r>
              <w:rPr>
                <w:rFonts w:hint="default" w:ascii="Times New Roman" w:hAnsi="Times New Roman" w:eastAsia="宋体" w:cs="Times New Roman"/>
                <w:b/>
                <w:bCs/>
                <w:color w:val="auto"/>
                <w:sz w:val="21"/>
                <w:szCs w:val="21"/>
                <w:highlight w:val="none"/>
                <w:lang w:val="en-US" w:eastAsia="zh-CN"/>
              </w:rPr>
              <w:t>及产污环节</w:t>
            </w:r>
            <w:r>
              <w:rPr>
                <w:rFonts w:hint="default" w:ascii="Times New Roman" w:hAnsi="Times New Roman" w:eastAsia="宋体" w:cs="Times New Roman"/>
                <w:b/>
                <w:bCs/>
                <w:color w:val="auto"/>
                <w:sz w:val="21"/>
                <w:szCs w:val="21"/>
                <w:highlight w:val="none"/>
              </w:rPr>
              <w:t>图</w:t>
            </w:r>
          </w:p>
          <w:p w14:paraId="04A0BDC2">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工艺流程说明：</w:t>
            </w:r>
          </w:p>
          <w:p w14:paraId="62B7EF3F">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（1）铝卷开料、钣金成型：</w:t>
            </w:r>
            <w:r>
              <w:rPr>
                <w:rFonts w:hint="default" w:ascii="Times New Roman" w:hAnsi="Times New Roman" w:eastAsia="宋体" w:cs="Times New Roman"/>
                <w:color w:val="auto"/>
                <w:sz w:val="24"/>
                <w:szCs w:val="24"/>
                <w:highlight w:val="none"/>
              </w:rPr>
              <w:t>项目铝卷购入后经</w:t>
            </w:r>
            <w:r>
              <w:rPr>
                <w:rFonts w:hint="default" w:ascii="Times New Roman" w:hAnsi="Times New Roman" w:eastAsia="宋体" w:cs="Times New Roman"/>
                <w:color w:val="auto"/>
                <w:sz w:val="24"/>
                <w:szCs w:val="24"/>
                <w:highlight w:val="none"/>
                <w:lang w:val="en-US" w:eastAsia="zh-CN"/>
              </w:rPr>
              <w:t>激光切割生产线</w:t>
            </w:r>
            <w:r>
              <w:rPr>
                <w:rFonts w:hint="eastAsia" w:ascii="Times New Roman" w:hAnsi="Times New Roman" w:eastAsia="宋体" w:cs="Times New Roman"/>
                <w:color w:val="auto"/>
                <w:sz w:val="24"/>
                <w:szCs w:val="24"/>
                <w:highlight w:val="none"/>
                <w:lang w:val="en-US" w:eastAsia="zh-CN"/>
              </w:rPr>
              <w:t>、数控切割机</w:t>
            </w:r>
            <w:r>
              <w:rPr>
                <w:rFonts w:hint="default" w:ascii="Times New Roman" w:hAnsi="Times New Roman" w:eastAsia="宋体" w:cs="Times New Roman"/>
                <w:color w:val="auto"/>
                <w:sz w:val="24"/>
                <w:szCs w:val="24"/>
                <w:highlight w:val="none"/>
              </w:rPr>
              <w:t>开料，</w:t>
            </w:r>
            <w:r>
              <w:rPr>
                <w:rFonts w:hint="eastAsia" w:ascii="Times New Roman" w:hAnsi="Times New Roman" w:eastAsia="宋体" w:cs="Times New Roman"/>
                <w:color w:val="auto"/>
                <w:sz w:val="24"/>
                <w:szCs w:val="24"/>
                <w:highlight w:val="none"/>
                <w:lang w:val="en-US" w:eastAsia="zh-CN"/>
              </w:rPr>
              <w:t>切割</w:t>
            </w:r>
            <w:r>
              <w:rPr>
                <w:rFonts w:hint="default" w:ascii="Times New Roman" w:hAnsi="Times New Roman" w:eastAsia="宋体" w:cs="Times New Roman"/>
                <w:color w:val="auto"/>
                <w:sz w:val="24"/>
                <w:szCs w:val="24"/>
                <w:highlight w:val="none"/>
              </w:rPr>
              <w:t>出合适大小的铝板件，经冲压、折弯、滚弧、焊接等工序后成型，该工序主要产生</w:t>
            </w:r>
            <w:r>
              <w:rPr>
                <w:rFonts w:hint="eastAsia" w:ascii="Times New Roman" w:hAnsi="Times New Roman" w:eastAsia="宋体" w:cs="Times New Roman"/>
                <w:color w:val="auto"/>
                <w:sz w:val="24"/>
                <w:szCs w:val="24"/>
                <w:highlight w:val="none"/>
                <w:lang w:val="en-US" w:eastAsia="zh-CN"/>
              </w:rPr>
              <w:t>切割粉尘</w:t>
            </w:r>
            <w:r>
              <w:rPr>
                <w:rFonts w:hint="default" w:ascii="Times New Roman" w:hAnsi="Times New Roman" w:eastAsia="宋体" w:cs="Times New Roman"/>
                <w:color w:val="auto"/>
                <w:sz w:val="24"/>
                <w:szCs w:val="24"/>
                <w:highlight w:val="none"/>
              </w:rPr>
              <w:t>、焊接烟尘、噪声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废包装物、边角料。</w:t>
            </w:r>
          </w:p>
          <w:p w14:paraId="0CB5107F">
            <w:pPr>
              <w:pStyle w:val="105"/>
              <w:spacing w:line="360" w:lineRule="auto"/>
              <w:ind w:firstLine="48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（2）</w:t>
            </w:r>
            <w:r>
              <w:rPr>
                <w:rFonts w:hint="eastAsia" w:ascii="Times New Roman" w:hAnsi="Times New Roman" w:eastAsia="宋体" w:cs="Times New Roman"/>
                <w:b/>
                <w:color w:val="auto"/>
                <w:sz w:val="24"/>
                <w:szCs w:val="24"/>
                <w:highlight w:val="none"/>
                <w:lang w:eastAsia="zh-CN"/>
              </w:rPr>
              <w:t>抛光打磨</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Cs/>
                <w:color w:val="auto"/>
                <w:sz w:val="24"/>
                <w:szCs w:val="24"/>
                <w:highlight w:val="none"/>
              </w:rPr>
              <w:t>钣金</w:t>
            </w:r>
            <w:r>
              <w:rPr>
                <w:rFonts w:hint="eastAsia" w:cs="Times New Roman"/>
                <w:bCs/>
                <w:color w:val="auto"/>
                <w:sz w:val="24"/>
                <w:szCs w:val="24"/>
                <w:highlight w:val="none"/>
                <w:lang w:val="en-US" w:eastAsia="zh-CN"/>
              </w:rPr>
              <w:t>后工</w:t>
            </w:r>
            <w:r>
              <w:rPr>
                <w:rFonts w:hint="default" w:ascii="Times New Roman" w:hAnsi="Times New Roman" w:eastAsia="宋体" w:cs="Times New Roman"/>
                <w:bCs/>
                <w:color w:val="auto"/>
                <w:sz w:val="24"/>
                <w:szCs w:val="24"/>
                <w:highlight w:val="none"/>
              </w:rPr>
              <w:t>件</w:t>
            </w:r>
            <w:r>
              <w:rPr>
                <w:rFonts w:hint="eastAsia" w:cs="Times New Roman"/>
                <w:bCs/>
                <w:color w:val="auto"/>
                <w:sz w:val="24"/>
                <w:szCs w:val="24"/>
                <w:highlight w:val="none"/>
                <w:lang w:val="en-US" w:eastAsia="zh-CN"/>
              </w:rPr>
              <w:t>部分需要进行表面打磨，还有部分需要焊接口打磨</w:t>
            </w:r>
            <w:r>
              <w:rPr>
                <w:rFonts w:hint="default" w:ascii="Times New Roman" w:hAnsi="Times New Roman" w:eastAsia="宋体" w:cs="Times New Roman"/>
                <w:bCs/>
                <w:color w:val="auto"/>
                <w:sz w:val="24"/>
                <w:szCs w:val="24"/>
                <w:highlight w:val="none"/>
              </w:rPr>
              <w:t>，</w:t>
            </w:r>
            <w:r>
              <w:rPr>
                <w:rFonts w:hint="eastAsia" w:cs="Times New Roman"/>
                <w:bCs/>
                <w:color w:val="auto"/>
                <w:sz w:val="24"/>
                <w:szCs w:val="24"/>
                <w:highlight w:val="none"/>
                <w:lang w:val="en-US" w:eastAsia="zh-CN"/>
              </w:rPr>
              <w:t>项目</w:t>
            </w:r>
            <w:r>
              <w:rPr>
                <w:rFonts w:hint="default" w:ascii="Times New Roman" w:hAnsi="Times New Roman" w:eastAsia="宋体" w:cs="Times New Roman"/>
                <w:bCs/>
                <w:color w:val="auto"/>
                <w:sz w:val="24"/>
                <w:szCs w:val="24"/>
                <w:highlight w:val="none"/>
              </w:rPr>
              <w:t>使用</w:t>
            </w:r>
            <w:r>
              <w:rPr>
                <w:rFonts w:hint="eastAsia" w:cs="Times New Roman"/>
                <w:bCs/>
                <w:color w:val="auto"/>
                <w:sz w:val="24"/>
                <w:szCs w:val="24"/>
                <w:highlight w:val="none"/>
                <w:lang w:val="en-US" w:eastAsia="zh-CN"/>
              </w:rPr>
              <w:t>手磨机</w:t>
            </w:r>
            <w:r>
              <w:rPr>
                <w:rFonts w:hint="default" w:ascii="Times New Roman" w:hAnsi="Times New Roman" w:eastAsia="宋体" w:cs="Times New Roman"/>
                <w:bCs/>
                <w:color w:val="auto"/>
                <w:sz w:val="24"/>
                <w:szCs w:val="24"/>
                <w:highlight w:val="none"/>
              </w:rPr>
              <w:t>进行</w:t>
            </w:r>
            <w:r>
              <w:rPr>
                <w:rFonts w:hint="default" w:ascii="Times New Roman" w:hAnsi="Times New Roman" w:eastAsia="宋体" w:cs="Times New Roman"/>
                <w:bCs/>
                <w:color w:val="auto"/>
                <w:sz w:val="24"/>
                <w:szCs w:val="24"/>
                <w:highlight w:val="none"/>
                <w:lang w:eastAsia="zh-CN"/>
              </w:rPr>
              <w:t>抛光打磨</w:t>
            </w:r>
            <w:r>
              <w:rPr>
                <w:rFonts w:hint="default" w:ascii="Times New Roman" w:hAnsi="Times New Roman" w:eastAsia="宋体" w:cs="Times New Roman"/>
                <w:color w:val="auto"/>
                <w:kern w:val="0"/>
                <w:sz w:val="24"/>
                <w:szCs w:val="24"/>
                <w:highlight w:val="none"/>
                <w:lang w:bidi="ar"/>
              </w:rPr>
              <w:t>，该工序产生打磨抛光粉尘、噪声</w:t>
            </w:r>
            <w:r>
              <w:rPr>
                <w:rFonts w:hint="default" w:ascii="Times New Roman" w:hAnsi="Times New Roman" w:eastAsia="宋体" w:cs="Times New Roman"/>
                <w:color w:val="auto"/>
                <w:kern w:val="0"/>
                <w:sz w:val="24"/>
                <w:szCs w:val="24"/>
                <w:highlight w:val="none"/>
                <w:lang w:eastAsia="zh-CN" w:bidi="ar"/>
              </w:rPr>
              <w:t>。</w:t>
            </w:r>
          </w:p>
          <w:p w14:paraId="31576210">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（3）</w:t>
            </w:r>
            <w:r>
              <w:rPr>
                <w:rFonts w:hint="eastAsia" w:cs="Times New Roman"/>
                <w:b/>
                <w:color w:val="auto"/>
                <w:sz w:val="24"/>
                <w:szCs w:val="24"/>
                <w:highlight w:val="none"/>
                <w:lang w:eastAsia="zh-CN"/>
              </w:rPr>
              <w:t>工件表面预处理</w:t>
            </w:r>
            <w:r>
              <w:rPr>
                <w:rFonts w:hint="default" w:ascii="Times New Roman" w:hAnsi="Times New Roman" w:eastAsia="宋体" w:cs="Times New Roman"/>
                <w:b/>
                <w:color w:val="auto"/>
                <w:sz w:val="24"/>
                <w:szCs w:val="24"/>
                <w:highlight w:val="none"/>
              </w:rPr>
              <w:t>生产线</w:t>
            </w:r>
          </w:p>
          <w:p w14:paraId="2403C81C">
            <w:pPr>
              <w:pStyle w:val="105"/>
              <w:spacing w:line="360" w:lineRule="auto"/>
              <w:ind w:firstLine="480"/>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
                <w:color w:val="auto"/>
                <w:sz w:val="24"/>
                <w:szCs w:val="24"/>
                <w:highlight w:val="none"/>
                <w:lang w:val="en-US" w:eastAsia="zh-CN"/>
              </w:rPr>
              <w:t>①预</w:t>
            </w:r>
            <w:r>
              <w:rPr>
                <w:rFonts w:hint="eastAsia" w:ascii="Times New Roman" w:hAnsi="Times New Roman" w:eastAsia="宋体" w:cs="Times New Roman"/>
                <w:b/>
                <w:color w:val="auto"/>
                <w:sz w:val="24"/>
                <w:szCs w:val="24"/>
                <w:highlight w:val="none"/>
                <w:lang w:val="en-US" w:eastAsia="zh-CN"/>
              </w:rPr>
              <w:t>脱脂</w:t>
            </w:r>
            <w:r>
              <w:rPr>
                <w:rFonts w:hint="default" w:ascii="Times New Roman" w:hAnsi="Times New Roman" w:eastAsia="宋体" w:cs="Times New Roman"/>
                <w:b/>
                <w:color w:val="auto"/>
                <w:sz w:val="24"/>
                <w:szCs w:val="24"/>
                <w:highlight w:val="none"/>
                <w:lang w:val="en-US" w:eastAsia="zh-CN"/>
              </w:rPr>
              <w:t>池、</w:t>
            </w:r>
            <w:r>
              <w:rPr>
                <w:rFonts w:hint="eastAsia" w:ascii="Times New Roman" w:hAnsi="Times New Roman" w:eastAsia="宋体" w:cs="Times New Roman"/>
                <w:b/>
                <w:color w:val="auto"/>
                <w:sz w:val="24"/>
                <w:szCs w:val="24"/>
                <w:highlight w:val="none"/>
                <w:lang w:val="en-US" w:eastAsia="zh-CN"/>
              </w:rPr>
              <w:t>脱脂</w:t>
            </w:r>
            <w:r>
              <w:rPr>
                <w:rFonts w:hint="default" w:ascii="Times New Roman" w:hAnsi="Times New Roman" w:eastAsia="宋体" w:cs="Times New Roman"/>
                <w:b/>
                <w:color w:val="auto"/>
                <w:sz w:val="24"/>
                <w:szCs w:val="24"/>
                <w:highlight w:val="none"/>
                <w:lang w:val="en-US" w:eastAsia="zh-CN"/>
              </w:rPr>
              <w:t>池：</w:t>
            </w: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预脱脂、</w:t>
            </w:r>
            <w:r>
              <w:rPr>
                <w:rFonts w:hint="default" w:ascii="Times New Roman" w:hAnsi="Times New Roman" w:eastAsia="宋体" w:cs="Times New Roman"/>
                <w:color w:val="auto"/>
                <w:sz w:val="24"/>
                <w:szCs w:val="24"/>
                <w:highlight w:val="none"/>
                <w:lang w:val="en-US" w:eastAsia="zh-CN"/>
              </w:rPr>
              <w:t>脱脂</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除油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工序采用</w:t>
            </w:r>
            <w:r>
              <w:rPr>
                <w:rFonts w:hint="eastAsia" w:cs="Times New Roman"/>
                <w:color w:val="auto"/>
                <w:sz w:val="24"/>
                <w:szCs w:val="24"/>
                <w:highlight w:val="none"/>
                <w:lang w:eastAsia="zh-CN"/>
              </w:rPr>
              <w:t>除油</w:t>
            </w:r>
            <w:r>
              <w:rPr>
                <w:rFonts w:hint="default" w:ascii="Times New Roman" w:hAnsi="Times New Roman" w:eastAsia="宋体" w:cs="Times New Roman"/>
                <w:color w:val="auto"/>
                <w:sz w:val="24"/>
                <w:szCs w:val="24"/>
                <w:highlight w:val="none"/>
              </w:rPr>
              <w:t>剂，</w:t>
            </w:r>
            <w:r>
              <w:rPr>
                <w:rFonts w:hint="default" w:ascii="Times New Roman" w:hAnsi="Times New Roman" w:eastAsia="宋体" w:cs="Times New Roman"/>
                <w:color w:val="auto"/>
                <w:sz w:val="24"/>
                <w:szCs w:val="24"/>
                <w:highlight w:val="none"/>
                <w:lang w:val="en-US" w:eastAsia="zh-CN"/>
              </w:rPr>
              <w:t>项目预处理生产采用喷淋方式清洗除油，</w:t>
            </w:r>
            <w:r>
              <w:rPr>
                <w:rFonts w:hint="default" w:ascii="Times New Roman" w:hAnsi="Times New Roman" w:eastAsia="宋体" w:cs="Times New Roman"/>
                <w:color w:val="auto"/>
                <w:sz w:val="24"/>
                <w:szCs w:val="24"/>
                <w:highlight w:val="none"/>
              </w:rPr>
              <w:t>铝卷</w:t>
            </w:r>
            <w:r>
              <w:rPr>
                <w:rFonts w:hint="default" w:ascii="Times New Roman" w:hAnsi="Times New Roman" w:eastAsia="宋体" w:cs="Times New Roman"/>
                <w:color w:val="auto"/>
                <w:sz w:val="24"/>
                <w:szCs w:val="24"/>
                <w:highlight w:val="none"/>
                <w:lang w:val="en-US" w:eastAsia="zh-CN"/>
              </w:rPr>
              <w:t>在喷淋柜喷淋</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常温状态下</w:t>
            </w:r>
            <w:r>
              <w:rPr>
                <w:rFonts w:hint="default" w:ascii="Times New Roman" w:hAnsi="Times New Roman" w:eastAsia="宋体" w:cs="Times New Roman"/>
                <w:color w:val="auto"/>
                <w:sz w:val="24"/>
                <w:szCs w:val="24"/>
                <w:highlight w:val="none"/>
                <w:lang w:val="en-US" w:eastAsia="zh-CN"/>
              </w:rPr>
              <w:t>，当</w:t>
            </w:r>
            <w:r>
              <w:rPr>
                <w:rFonts w:hint="default" w:ascii="Times New Roman" w:hAnsi="Times New Roman" w:eastAsia="宋体" w:cs="Times New Roman"/>
                <w:color w:val="auto"/>
                <w:sz w:val="24"/>
                <w:szCs w:val="24"/>
                <w:highlight w:val="none"/>
              </w:rPr>
              <w:t>除油工序完成后进入水洗池清洗</w:t>
            </w:r>
            <w:r>
              <w:rPr>
                <w:rFonts w:hint="default" w:ascii="Times New Roman" w:hAnsi="Times New Roman" w:eastAsia="宋体" w:cs="Times New Roman"/>
                <w:color w:val="auto"/>
                <w:kern w:val="0"/>
                <w:sz w:val="24"/>
                <w:szCs w:val="24"/>
                <w:highlight w:val="none"/>
                <w:lang w:val="en-US" w:eastAsia="zh-CN" w:bidi="ar"/>
              </w:rPr>
              <w:t>。项目预脱脂池、脱脂池溶液循环使用，定期补充新除油剂</w:t>
            </w:r>
            <w:r>
              <w:rPr>
                <w:rFonts w:hint="eastAsia" w:cs="Times New Roman"/>
                <w:color w:val="auto"/>
                <w:kern w:val="0"/>
                <w:sz w:val="24"/>
                <w:szCs w:val="24"/>
                <w:highlight w:val="none"/>
                <w:lang w:val="en-US" w:eastAsia="zh-CN" w:bidi="ar"/>
              </w:rPr>
              <w:t>、水，预脱脂池、脱脂油池中槽液工艺浓度控制在3%左右</w:t>
            </w:r>
            <w:r>
              <w:rPr>
                <w:rFonts w:hint="default" w:ascii="Times New Roman" w:hAnsi="Times New Roman" w:eastAsia="宋体" w:cs="Times New Roman"/>
                <w:color w:val="auto"/>
                <w:kern w:val="0"/>
                <w:sz w:val="24"/>
                <w:szCs w:val="24"/>
                <w:highlight w:val="none"/>
                <w:lang w:val="en-US" w:eastAsia="zh-CN" w:bidi="ar"/>
              </w:rPr>
              <w:t>，预脱脂池每3个月整池更换一次、脱脂池每3个月整池更换一次，</w:t>
            </w:r>
            <w:r>
              <w:rPr>
                <w:rFonts w:hint="default" w:ascii="Times New Roman" w:hAnsi="Times New Roman" w:cs="Times New Roman"/>
                <w:color w:val="auto"/>
                <w:highlight w:val="none"/>
                <w:lang w:val="en-US" w:eastAsia="zh-CN"/>
              </w:rPr>
              <w:t>更换后的槽液全部进入自建污水处理站进行处理</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此过程产生氟化物、废槽液、废包装桶、噪声等。</w:t>
            </w:r>
          </w:p>
          <w:p w14:paraId="03D66437">
            <w:pPr>
              <w:pStyle w:val="105"/>
              <w:spacing w:line="360" w:lineRule="auto"/>
              <w:ind w:firstLine="480"/>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②</w:t>
            </w:r>
            <w:r>
              <w:rPr>
                <w:rFonts w:hint="default" w:ascii="Times New Roman" w:hAnsi="Times New Roman" w:eastAsia="宋体" w:cs="Times New Roman"/>
                <w:b/>
                <w:color w:val="auto"/>
                <w:sz w:val="24"/>
                <w:szCs w:val="24"/>
                <w:highlight w:val="none"/>
                <w:lang w:val="en-US" w:eastAsia="zh-CN"/>
              </w:rPr>
              <w:t>水洗池</w:t>
            </w:r>
          </w:p>
          <w:p w14:paraId="0EE593D0">
            <w:pPr>
              <w:keepNext w:val="0"/>
              <w:keepLines w:val="0"/>
              <w:pageBreakBefore w:val="0"/>
              <w:widowControl/>
              <w:suppressLineNumbers w:val="0"/>
              <w:kinsoku/>
              <w:wordWrap/>
              <w:overflowPunct/>
              <w:topLinePunct w:val="0"/>
              <w:bidi w:val="0"/>
              <w:adjustRightInd/>
              <w:snapToGrid/>
              <w:spacing w:before="0" w:beforeAutospacing="0" w:after="0" w:afterAutospacing="0" w:line="360" w:lineRule="auto"/>
              <w:ind w:left="0" w:right="0" w:firstLine="480" w:firstLineChars="200"/>
              <w:jc w:val="left"/>
              <w:textAlignment w:val="auto"/>
              <w:outlineLvl w:val="9"/>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脱脂</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除油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后的工件经过1#、2#水洗工段</w:t>
            </w:r>
            <w:r>
              <w:rPr>
                <w:rFonts w:hint="eastAsia" w:ascii="Times New Roman" w:hAnsi="Times New Roman" w:eastAsia="宋体" w:cs="Times New Roman"/>
                <w:b w:val="0"/>
                <w:bCs/>
                <w:color w:val="auto"/>
                <w:sz w:val="24"/>
                <w:szCs w:val="24"/>
                <w:highlight w:val="none"/>
                <w:lang w:val="en-US" w:eastAsia="zh-CN"/>
              </w:rPr>
              <w:t>以及清水洗</w:t>
            </w:r>
            <w:r>
              <w:rPr>
                <w:rFonts w:hint="default" w:ascii="Times New Roman" w:hAnsi="Times New Roman" w:eastAsia="宋体" w:cs="Times New Roman"/>
                <w:b w:val="0"/>
                <w:bCs/>
                <w:color w:val="auto"/>
                <w:sz w:val="24"/>
                <w:szCs w:val="24"/>
                <w:highlight w:val="none"/>
                <w:lang w:val="en-US" w:eastAsia="zh-CN"/>
              </w:rPr>
              <w:t>工段进行水洗，将工件表面残留的试剂截留在水池内。用自来水对脱脂后的工件进行喷淋清洗，把工件表面的残液清洗干净。工件分别通过</w:t>
            </w:r>
            <w:r>
              <w:rPr>
                <w:rFonts w:hint="eastAsia" w:cs="Times New Roman"/>
                <w:b w:val="0"/>
                <w:bCs/>
                <w:color w:val="auto"/>
                <w:sz w:val="24"/>
                <w:szCs w:val="24"/>
                <w:highlight w:val="none"/>
                <w:lang w:val="en-US" w:eastAsia="zh-CN"/>
              </w:rPr>
              <w:t>三</w:t>
            </w:r>
            <w:r>
              <w:rPr>
                <w:rFonts w:hint="default" w:ascii="Times New Roman" w:hAnsi="Times New Roman" w:eastAsia="宋体" w:cs="Times New Roman"/>
                <w:b w:val="0"/>
                <w:bCs/>
                <w:color w:val="auto"/>
                <w:sz w:val="24"/>
                <w:szCs w:val="24"/>
                <w:highlight w:val="none"/>
                <w:lang w:val="en-US" w:eastAsia="zh-CN"/>
              </w:rPr>
              <w:t>个水洗工段经自来水喷淋水洗，为保证水洗池清洗效果，项目在各水洗池均</w:t>
            </w:r>
            <w:r>
              <w:rPr>
                <w:rFonts w:hint="default" w:ascii="Times New Roman" w:hAnsi="Times New Roman" w:eastAsia="宋体" w:cs="Times New Roman"/>
                <w:color w:val="auto"/>
                <w:sz w:val="24"/>
                <w:szCs w:val="24"/>
                <w:highlight w:val="none"/>
              </w:rPr>
              <w:t>设置溢流口并用固定管道接入收集池</w:t>
            </w:r>
            <w:r>
              <w:rPr>
                <w:rFonts w:hint="default" w:ascii="Times New Roman" w:hAnsi="Times New Roman" w:eastAsia="宋体" w:cs="Times New Roman"/>
                <w:b w:val="0"/>
                <w:bCs/>
                <w:color w:val="auto"/>
                <w:sz w:val="24"/>
                <w:szCs w:val="24"/>
                <w:highlight w:val="none"/>
                <w:lang w:val="en-US" w:eastAsia="zh-CN"/>
              </w:rPr>
              <w:t>，工件水洗后进入无铬钝化池钝化</w:t>
            </w:r>
            <w:r>
              <w:rPr>
                <w:rFonts w:hint="default" w:ascii="Times New Roman" w:hAnsi="Times New Roman" w:eastAsia="宋体" w:cs="Times New Roman"/>
                <w:color w:val="auto"/>
                <w:sz w:val="24"/>
                <w:szCs w:val="24"/>
                <w:highlight w:val="none"/>
                <w:lang w:val="en-US" w:eastAsia="zh-CN"/>
              </w:rPr>
              <w:t>，工件钝化后</w:t>
            </w:r>
            <w:r>
              <w:rPr>
                <w:rFonts w:hint="eastAsia" w:ascii="Times New Roman" w:hAnsi="Times New Roman" w:eastAsia="宋体" w:cs="Times New Roman"/>
                <w:color w:val="auto"/>
                <w:sz w:val="24"/>
                <w:szCs w:val="24"/>
                <w:highlight w:val="none"/>
                <w:lang w:val="en-US" w:eastAsia="zh-CN"/>
              </w:rPr>
              <w:t>再</w:t>
            </w:r>
            <w:r>
              <w:rPr>
                <w:rFonts w:hint="default" w:ascii="Times New Roman" w:hAnsi="Times New Roman" w:eastAsia="宋体" w:cs="Times New Roman"/>
                <w:color w:val="auto"/>
                <w:sz w:val="24"/>
                <w:szCs w:val="24"/>
                <w:highlight w:val="none"/>
              </w:rPr>
              <w:t>进入</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水洗池清洗</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水洗池每个月更换整槽废水并同时采用溢流排水方式保证清洗效果</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此过程会产生前处理废水</w:t>
            </w:r>
            <w:r>
              <w:rPr>
                <w:rFonts w:hint="eastAsia" w:cs="Times New Roman"/>
                <w:color w:val="auto"/>
                <w:sz w:val="24"/>
                <w:szCs w:val="24"/>
                <w:highlight w:val="none"/>
                <w:lang w:val="en-US" w:eastAsia="zh-CN"/>
              </w:rPr>
              <w:t>和噪声</w:t>
            </w:r>
            <w:r>
              <w:rPr>
                <w:rFonts w:hint="eastAsia" w:ascii="Times New Roman" w:hAnsi="Times New Roman" w:eastAsia="宋体" w:cs="Times New Roman"/>
                <w:color w:val="auto"/>
                <w:kern w:val="0"/>
                <w:sz w:val="24"/>
                <w:szCs w:val="24"/>
                <w:highlight w:val="none"/>
                <w:lang w:val="en-US" w:eastAsia="zh-CN" w:bidi="ar"/>
              </w:rPr>
              <w:t>，排入自建污水处理站进行处理</w:t>
            </w:r>
            <w:r>
              <w:rPr>
                <w:rFonts w:hint="default" w:ascii="Times New Roman" w:hAnsi="Times New Roman" w:eastAsia="宋体" w:cs="Times New Roman"/>
                <w:color w:val="auto"/>
                <w:sz w:val="24"/>
                <w:szCs w:val="24"/>
                <w:highlight w:val="none"/>
                <w:lang w:val="en-US" w:eastAsia="zh-CN"/>
              </w:rPr>
              <w:t>。</w:t>
            </w:r>
          </w:p>
          <w:p w14:paraId="35213946">
            <w:pPr>
              <w:pStyle w:val="105"/>
              <w:spacing w:line="360" w:lineRule="auto"/>
              <w:ind w:firstLine="48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b/>
                <w:color w:val="auto"/>
                <w:sz w:val="24"/>
                <w:szCs w:val="24"/>
                <w:highlight w:val="none"/>
                <w:lang w:val="en-US" w:eastAsia="zh-CN"/>
              </w:rPr>
              <w:t>③</w:t>
            </w:r>
            <w:r>
              <w:rPr>
                <w:rFonts w:hint="default" w:ascii="Times New Roman" w:hAnsi="Times New Roman" w:eastAsia="宋体" w:cs="Times New Roman"/>
                <w:b/>
                <w:color w:val="auto"/>
                <w:sz w:val="24"/>
                <w:szCs w:val="24"/>
                <w:highlight w:val="none"/>
                <w:lang w:val="en-US" w:eastAsia="zh-CN"/>
              </w:rPr>
              <w:t>无铬钝化池：</w:t>
            </w:r>
            <w:r>
              <w:rPr>
                <w:rFonts w:hint="default" w:ascii="Times New Roman" w:hAnsi="Times New Roman" w:eastAsia="宋体" w:cs="Times New Roman"/>
                <w:color w:val="auto"/>
                <w:sz w:val="24"/>
                <w:szCs w:val="24"/>
                <w:highlight w:val="none"/>
                <w:lang w:val="en-US" w:eastAsia="zh-CN"/>
              </w:rPr>
              <w:t>经除油、水洗后的金属表面很清洁，非常活化，很容易遭受腐蚀，所以必须立即进行钝化处理，使清洗后的金属表面生成保护膜，减缓腐蚀。钝化是使用无铬钝化剂与铝件表面生成致密氧化物保护层，从而阻止铝件发生氧化反应，无铬钝化池</w:t>
            </w:r>
            <w:r>
              <w:rPr>
                <w:rFonts w:hint="default" w:ascii="Times New Roman" w:hAnsi="Times New Roman" w:eastAsia="宋体" w:cs="Times New Roman"/>
                <w:color w:val="auto"/>
                <w:sz w:val="24"/>
                <w:szCs w:val="24"/>
                <w:highlight w:val="none"/>
              </w:rPr>
              <w:t>槽液定期更换</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槽液内无铬钝化剂</w:t>
            </w:r>
            <w:r>
              <w:rPr>
                <w:rFonts w:hint="eastAsia" w:cs="Times New Roman"/>
                <w:color w:val="auto"/>
                <w:sz w:val="24"/>
                <w:szCs w:val="24"/>
                <w:highlight w:val="none"/>
                <w:lang w:val="en-US" w:eastAsia="zh-CN"/>
              </w:rPr>
              <w:t>工艺浓度控制在1%左右。</w:t>
            </w:r>
            <w:r>
              <w:rPr>
                <w:rFonts w:hint="eastAsia" w:cs="Times New Roman"/>
                <w:color w:val="auto"/>
                <w:kern w:val="0"/>
                <w:sz w:val="24"/>
                <w:szCs w:val="24"/>
                <w:highlight w:val="none"/>
                <w:lang w:val="en-US" w:eastAsia="zh-CN" w:bidi="ar"/>
              </w:rPr>
              <w:t>此过程产生氟化物、废槽液、废包装桶、噪声等。</w:t>
            </w:r>
            <w:r>
              <w:rPr>
                <w:rFonts w:hint="default" w:ascii="Times New Roman" w:hAnsi="Times New Roman" w:eastAsia="宋体" w:cs="Times New Roman"/>
                <w:color w:val="auto"/>
                <w:sz w:val="24"/>
                <w:szCs w:val="24"/>
                <w:highlight w:val="none"/>
                <w:lang w:val="en-US" w:eastAsia="zh-CN"/>
              </w:rPr>
              <w:t>更换后的槽液交有危废资质单位处理</w:t>
            </w:r>
            <w:r>
              <w:rPr>
                <w:rFonts w:hint="default" w:ascii="Times New Roman" w:hAnsi="Times New Roman" w:eastAsia="宋体" w:cs="Times New Roman"/>
                <w:color w:val="auto"/>
                <w:sz w:val="24"/>
                <w:szCs w:val="24"/>
                <w:highlight w:val="none"/>
              </w:rPr>
              <w:t>。</w:t>
            </w:r>
          </w:p>
          <w:p w14:paraId="38117C58">
            <w:pPr>
              <w:pStyle w:val="105"/>
              <w:spacing w:line="360" w:lineRule="auto"/>
              <w:ind w:firstLine="48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前处理线产生的氟化物经密闭收集后采用碱液喷淋法处理，然后经15m排气筒DA003排放。</w:t>
            </w:r>
          </w:p>
          <w:p w14:paraId="6E78484E">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④设计参数：</w:t>
            </w:r>
          </w:p>
          <w:p w14:paraId="5543336E">
            <w:pPr>
              <w:pStyle w:val="105"/>
              <w:spacing w:line="360" w:lineRule="auto"/>
              <w:ind w:firstLine="48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工件表面预处理</w:t>
            </w:r>
            <w:r>
              <w:rPr>
                <w:rFonts w:hint="default" w:ascii="Times New Roman" w:hAnsi="Times New Roman" w:eastAsia="宋体" w:cs="Times New Roman"/>
                <w:color w:val="auto"/>
                <w:sz w:val="24"/>
                <w:szCs w:val="24"/>
                <w:highlight w:val="none"/>
              </w:rPr>
              <w:t>各池体大小设计参数如下，水槽有效水深为0.8m：</w:t>
            </w:r>
          </w:p>
          <w:p w14:paraId="4E10C18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color w:val="auto"/>
                <w:highlight w:val="none"/>
              </w:rPr>
            </w:pPr>
            <w:r>
              <w:rPr>
                <w:rFonts w:hint="default" w:ascii="Times New Roman" w:hAnsi="Times New Roman" w:cs="Times New Roman"/>
                <w:b/>
                <w:color w:val="auto"/>
                <w:sz w:val="21"/>
                <w:szCs w:val="21"/>
                <w:highlight w:val="none"/>
              </w:rPr>
              <w:t>预处理各池体参数表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4"/>
              <w:gridCol w:w="862"/>
              <w:gridCol w:w="626"/>
              <w:gridCol w:w="626"/>
              <w:gridCol w:w="628"/>
              <w:gridCol w:w="851"/>
              <w:gridCol w:w="1266"/>
              <w:gridCol w:w="851"/>
              <w:gridCol w:w="1292"/>
            </w:tblGrid>
            <w:tr w14:paraId="2AD7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restart"/>
                  <w:tcBorders>
                    <w:tl2br w:val="nil"/>
                    <w:tr2bl w:val="nil"/>
                  </w:tcBorders>
                  <w:noWrap w:val="0"/>
                  <w:vAlign w:val="center"/>
                </w:tcPr>
                <w:p w14:paraId="0F438B39">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工艺流程</w:t>
                  </w:r>
                </w:p>
              </w:tc>
              <w:tc>
                <w:tcPr>
                  <w:tcW w:w="522" w:type="pct"/>
                  <w:vMerge w:val="restart"/>
                  <w:tcBorders>
                    <w:tl2br w:val="nil"/>
                    <w:tr2bl w:val="nil"/>
                  </w:tcBorders>
                  <w:noWrap w:val="0"/>
                  <w:vAlign w:val="center"/>
                </w:tcPr>
                <w:p w14:paraId="29C4066F">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处理方式</w:t>
                  </w:r>
                </w:p>
              </w:tc>
              <w:tc>
                <w:tcPr>
                  <w:tcW w:w="1138" w:type="pct"/>
                  <w:gridSpan w:val="3"/>
                  <w:tcBorders>
                    <w:tl2br w:val="nil"/>
                    <w:tr2bl w:val="nil"/>
                  </w:tcBorders>
                  <w:noWrap w:val="0"/>
                  <w:vAlign w:val="center"/>
                </w:tcPr>
                <w:p w14:paraId="12D297B6">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水槽内尺寸（m）</w:t>
                  </w:r>
                </w:p>
              </w:tc>
              <w:tc>
                <w:tcPr>
                  <w:tcW w:w="515" w:type="pct"/>
                  <w:vMerge w:val="restart"/>
                  <w:tcBorders>
                    <w:tl2br w:val="nil"/>
                    <w:tr2bl w:val="nil"/>
                  </w:tcBorders>
                  <w:noWrap w:val="0"/>
                  <w:vAlign w:val="center"/>
                </w:tcPr>
                <w:p w14:paraId="5CDB4E4B">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水池</w:t>
                  </w:r>
                  <w:r>
                    <w:rPr>
                      <w:rFonts w:hint="eastAsia" w:ascii="Times New Roman" w:hAnsi="Times New Roman" w:eastAsia="宋体" w:cs="Times New Roman"/>
                      <w:b/>
                      <w:bCs/>
                      <w:color w:val="auto"/>
                      <w:kern w:val="0"/>
                      <w:sz w:val="21"/>
                      <w:szCs w:val="21"/>
                      <w:highlight w:val="none"/>
                      <w:lang w:val="en-US" w:eastAsia="zh-CN" w:bidi="ar"/>
                    </w:rPr>
                    <w:t>有效容积</w:t>
                  </w:r>
                  <w:r>
                    <w:rPr>
                      <w:rFonts w:hint="default" w:ascii="Times New Roman" w:hAnsi="Times New Roman" w:eastAsia="宋体" w:cs="Times New Roman"/>
                      <w:b/>
                      <w:bCs/>
                      <w:color w:val="auto"/>
                      <w:kern w:val="0"/>
                      <w:sz w:val="21"/>
                      <w:szCs w:val="21"/>
                      <w:highlight w:val="none"/>
                      <w:lang w:val="en-US" w:eastAsia="zh-CN" w:bidi="ar"/>
                    </w:rPr>
                    <w:t>（m</w:t>
                  </w:r>
                  <w:r>
                    <w:rPr>
                      <w:rFonts w:hint="default" w:ascii="Times New Roman" w:hAnsi="Times New Roman" w:eastAsia="宋体" w:cs="Times New Roman"/>
                      <w:b/>
                      <w:bCs/>
                      <w:color w:val="auto"/>
                      <w:kern w:val="0"/>
                      <w:sz w:val="21"/>
                      <w:szCs w:val="21"/>
                      <w:highlight w:val="none"/>
                      <w:vertAlign w:val="superscript"/>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w:t>
                  </w:r>
                </w:p>
              </w:tc>
              <w:tc>
                <w:tcPr>
                  <w:tcW w:w="766" w:type="pct"/>
                  <w:vMerge w:val="restart"/>
                  <w:tcBorders>
                    <w:tl2br w:val="nil"/>
                    <w:tr2bl w:val="nil"/>
                  </w:tcBorders>
                  <w:noWrap w:val="0"/>
                  <w:vAlign w:val="center"/>
                </w:tcPr>
                <w:p w14:paraId="22B08C6A">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使用药剂</w:t>
                  </w:r>
                </w:p>
              </w:tc>
              <w:tc>
                <w:tcPr>
                  <w:tcW w:w="515" w:type="pct"/>
                  <w:vMerge w:val="restart"/>
                  <w:tcBorders>
                    <w:tl2br w:val="nil"/>
                    <w:tr2bl w:val="nil"/>
                  </w:tcBorders>
                  <w:noWrap w:val="0"/>
                  <w:vAlign w:val="center"/>
                </w:tcPr>
                <w:p w14:paraId="3AAFC78C">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槽液更换周期</w:t>
                  </w:r>
                </w:p>
              </w:tc>
              <w:tc>
                <w:tcPr>
                  <w:tcW w:w="782" w:type="pct"/>
                  <w:vMerge w:val="restart"/>
                  <w:tcBorders>
                    <w:tl2br w:val="nil"/>
                    <w:tr2bl w:val="nil"/>
                  </w:tcBorders>
                  <w:noWrap w:val="0"/>
                  <w:vAlign w:val="center"/>
                </w:tcPr>
                <w:p w14:paraId="2ACEE9EF">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处理去向</w:t>
                  </w:r>
                </w:p>
              </w:tc>
            </w:tr>
            <w:tr w14:paraId="5E6B4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continue"/>
                  <w:tcBorders>
                    <w:tl2br w:val="nil"/>
                    <w:tr2bl w:val="nil"/>
                  </w:tcBorders>
                  <w:noWrap w:val="0"/>
                  <w:vAlign w:val="center"/>
                </w:tcPr>
                <w:p w14:paraId="7550022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522" w:type="pct"/>
                  <w:vMerge w:val="continue"/>
                  <w:tcBorders>
                    <w:tl2br w:val="nil"/>
                    <w:tr2bl w:val="nil"/>
                  </w:tcBorders>
                  <w:noWrap w:val="0"/>
                  <w:vAlign w:val="center"/>
                </w:tcPr>
                <w:p w14:paraId="70B5B20D">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379" w:type="pct"/>
                  <w:tcBorders>
                    <w:tl2br w:val="nil"/>
                    <w:tr2bl w:val="nil"/>
                  </w:tcBorders>
                  <w:noWrap/>
                  <w:vAlign w:val="center"/>
                </w:tcPr>
                <w:p w14:paraId="576A5A30">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长</w:t>
                  </w:r>
                </w:p>
              </w:tc>
              <w:tc>
                <w:tcPr>
                  <w:tcW w:w="379" w:type="pct"/>
                  <w:tcBorders>
                    <w:tl2br w:val="nil"/>
                    <w:tr2bl w:val="nil"/>
                  </w:tcBorders>
                  <w:noWrap/>
                  <w:vAlign w:val="center"/>
                </w:tcPr>
                <w:p w14:paraId="06435786">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宽</w:t>
                  </w:r>
                </w:p>
              </w:tc>
              <w:tc>
                <w:tcPr>
                  <w:tcW w:w="379" w:type="pct"/>
                  <w:tcBorders>
                    <w:tl2br w:val="nil"/>
                    <w:tr2bl w:val="nil"/>
                  </w:tcBorders>
                  <w:noWrap/>
                  <w:vAlign w:val="center"/>
                </w:tcPr>
                <w:p w14:paraId="5232CBB1">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高</w:t>
                  </w:r>
                </w:p>
              </w:tc>
              <w:tc>
                <w:tcPr>
                  <w:tcW w:w="515" w:type="pct"/>
                  <w:vMerge w:val="continue"/>
                  <w:tcBorders>
                    <w:tl2br w:val="nil"/>
                    <w:tr2bl w:val="nil"/>
                  </w:tcBorders>
                  <w:noWrap w:val="0"/>
                  <w:vAlign w:val="center"/>
                </w:tcPr>
                <w:p w14:paraId="524F7D7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766" w:type="pct"/>
                  <w:vMerge w:val="continue"/>
                  <w:tcBorders>
                    <w:tl2br w:val="nil"/>
                    <w:tr2bl w:val="nil"/>
                  </w:tcBorders>
                  <w:noWrap w:val="0"/>
                  <w:vAlign w:val="center"/>
                </w:tcPr>
                <w:p w14:paraId="38F6F85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515" w:type="pct"/>
                  <w:vMerge w:val="continue"/>
                  <w:tcBorders>
                    <w:tl2br w:val="nil"/>
                    <w:tr2bl w:val="nil"/>
                  </w:tcBorders>
                  <w:noWrap w:val="0"/>
                  <w:vAlign w:val="center"/>
                </w:tcPr>
                <w:p w14:paraId="47538E1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782" w:type="pct"/>
                  <w:vMerge w:val="continue"/>
                  <w:tcBorders>
                    <w:tl2br w:val="nil"/>
                    <w:tr2bl w:val="nil"/>
                  </w:tcBorders>
                  <w:noWrap w:val="0"/>
                  <w:vAlign w:val="center"/>
                </w:tcPr>
                <w:p w14:paraId="05F97FED">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r>
            <w:tr w14:paraId="3BD51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435DBD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522" w:type="pct"/>
                  <w:tcBorders>
                    <w:tl2br w:val="nil"/>
                    <w:tr2bl w:val="nil"/>
                  </w:tcBorders>
                  <w:noWrap w:val="0"/>
                  <w:vAlign w:val="center"/>
                </w:tcPr>
                <w:p w14:paraId="65390EA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1C6EE41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p>
              </w:tc>
              <w:tc>
                <w:tcPr>
                  <w:tcW w:w="379" w:type="pct"/>
                  <w:tcBorders>
                    <w:tl2br w:val="nil"/>
                    <w:tr2bl w:val="nil"/>
                  </w:tcBorders>
                  <w:noWrap/>
                  <w:vAlign w:val="center"/>
                </w:tcPr>
                <w:p w14:paraId="20FFE281">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64F012B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7A81FA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766" w:type="pct"/>
                  <w:tcBorders>
                    <w:tl2br w:val="nil"/>
                    <w:tr2bl w:val="nil"/>
                  </w:tcBorders>
                  <w:noWrap w:val="0"/>
                  <w:vAlign w:val="center"/>
                </w:tcPr>
                <w:p w14:paraId="13696EC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6F0370A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restart"/>
                  <w:tcBorders>
                    <w:tl2br w:val="nil"/>
                    <w:tr2bl w:val="nil"/>
                  </w:tcBorders>
                  <w:noWrap w:val="0"/>
                  <w:vAlign w:val="center"/>
                </w:tcPr>
                <w:p w14:paraId="382C6C0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污水</w:t>
                  </w:r>
                  <w:r>
                    <w:rPr>
                      <w:rFonts w:hint="default" w:ascii="Times New Roman" w:hAnsi="Times New Roman" w:eastAsia="宋体" w:cs="Times New Roman"/>
                      <w:color w:val="auto"/>
                      <w:kern w:val="0"/>
                      <w:sz w:val="21"/>
                      <w:szCs w:val="21"/>
                      <w:highlight w:val="none"/>
                      <w:lang w:val="en-US" w:eastAsia="zh-CN" w:bidi="ar"/>
                    </w:rPr>
                    <w:t>处理站</w:t>
                  </w:r>
                </w:p>
              </w:tc>
            </w:tr>
            <w:tr w14:paraId="74C75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387D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522" w:type="pct"/>
                  <w:tcBorders>
                    <w:tl2br w:val="nil"/>
                    <w:tr2bl w:val="nil"/>
                  </w:tcBorders>
                  <w:noWrap w:val="0"/>
                  <w:vAlign w:val="center"/>
                </w:tcPr>
                <w:p w14:paraId="49C2988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7C365509">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w:t>
                  </w:r>
                </w:p>
              </w:tc>
              <w:tc>
                <w:tcPr>
                  <w:tcW w:w="379" w:type="pct"/>
                  <w:tcBorders>
                    <w:tl2br w:val="nil"/>
                    <w:tr2bl w:val="nil"/>
                  </w:tcBorders>
                  <w:noWrap/>
                  <w:vAlign w:val="center"/>
                </w:tcPr>
                <w:p w14:paraId="131A185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7DFAA82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7EA21FC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766" w:type="pct"/>
                  <w:tcBorders>
                    <w:tl2br w:val="nil"/>
                    <w:tr2bl w:val="nil"/>
                  </w:tcBorders>
                  <w:noWrap w:val="0"/>
                  <w:vAlign w:val="center"/>
                </w:tcPr>
                <w:p w14:paraId="3F8872C2">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除油</w:t>
                  </w:r>
                  <w:r>
                    <w:rPr>
                      <w:rFonts w:hint="default" w:ascii="Times New Roman" w:hAnsi="Times New Roman" w:eastAsia="宋体" w:cs="Times New Roman"/>
                      <w:color w:val="auto"/>
                      <w:kern w:val="0"/>
                      <w:sz w:val="21"/>
                      <w:szCs w:val="21"/>
                      <w:highlight w:val="none"/>
                      <w:lang w:val="en-US" w:eastAsia="zh-CN" w:bidi="ar"/>
                    </w:rPr>
                    <w:t>剂</w:t>
                  </w:r>
                </w:p>
              </w:tc>
              <w:tc>
                <w:tcPr>
                  <w:tcW w:w="853" w:type="dxa"/>
                  <w:tcBorders>
                    <w:tl2br w:val="nil"/>
                    <w:tr2bl w:val="nil"/>
                  </w:tcBorders>
                  <w:noWrap w:val="0"/>
                  <w:vAlign w:val="center"/>
                </w:tcPr>
                <w:p w14:paraId="45BF647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vMerge w:val="continue"/>
                  <w:tcBorders>
                    <w:tl2br w:val="nil"/>
                    <w:tr2bl w:val="nil"/>
                  </w:tcBorders>
                  <w:noWrap w:val="0"/>
                  <w:vAlign w:val="center"/>
                </w:tcPr>
                <w:p w14:paraId="094CDD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p>
              </w:tc>
            </w:tr>
            <w:tr w14:paraId="4399D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705AF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522" w:type="pct"/>
                  <w:tcBorders>
                    <w:tl2br w:val="nil"/>
                    <w:tr2bl w:val="nil"/>
                  </w:tcBorders>
                  <w:noWrap w:val="0"/>
                  <w:vAlign w:val="center"/>
                </w:tcPr>
                <w:p w14:paraId="1D66969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0412E3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w:t>
                  </w:r>
                </w:p>
              </w:tc>
              <w:tc>
                <w:tcPr>
                  <w:tcW w:w="379" w:type="pct"/>
                  <w:tcBorders>
                    <w:tl2br w:val="nil"/>
                    <w:tr2bl w:val="nil"/>
                  </w:tcBorders>
                  <w:noWrap/>
                  <w:vAlign w:val="center"/>
                </w:tcPr>
                <w:p w14:paraId="1FCB533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A3012CE">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33289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766" w:type="pct"/>
                  <w:tcBorders>
                    <w:tl2br w:val="nil"/>
                    <w:tr2bl w:val="nil"/>
                  </w:tcBorders>
                  <w:noWrap w:val="0"/>
                  <w:vAlign w:val="center"/>
                </w:tcPr>
                <w:p w14:paraId="061090B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除油</w:t>
                  </w:r>
                  <w:r>
                    <w:rPr>
                      <w:rFonts w:hint="default" w:ascii="Times New Roman" w:hAnsi="Times New Roman" w:eastAsia="宋体" w:cs="Times New Roman"/>
                      <w:color w:val="auto"/>
                      <w:kern w:val="0"/>
                      <w:sz w:val="21"/>
                      <w:szCs w:val="21"/>
                      <w:highlight w:val="none"/>
                      <w:lang w:val="en-US" w:eastAsia="zh-CN" w:bidi="ar"/>
                    </w:rPr>
                    <w:t>剂</w:t>
                  </w:r>
                </w:p>
              </w:tc>
              <w:tc>
                <w:tcPr>
                  <w:tcW w:w="853" w:type="dxa"/>
                  <w:tcBorders>
                    <w:tl2br w:val="nil"/>
                    <w:tr2bl w:val="nil"/>
                  </w:tcBorders>
                  <w:noWrap w:val="0"/>
                  <w:vAlign w:val="center"/>
                </w:tcPr>
                <w:p w14:paraId="033360B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vMerge w:val="continue"/>
                  <w:tcBorders>
                    <w:tl2br w:val="nil"/>
                    <w:tr2bl w:val="nil"/>
                  </w:tcBorders>
                  <w:noWrap w:val="0"/>
                  <w:vAlign w:val="center"/>
                </w:tcPr>
                <w:p w14:paraId="2C7357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79F9D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0D01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74FA1F0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021D404B">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379" w:type="pct"/>
                  <w:tcBorders>
                    <w:tl2br w:val="nil"/>
                    <w:tr2bl w:val="nil"/>
                  </w:tcBorders>
                  <w:noWrap/>
                  <w:vAlign w:val="center"/>
                </w:tcPr>
                <w:p w14:paraId="3C9C90EE">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E525D2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482BC8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58EBE3C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4A6C928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06135B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5C598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2BD1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0CCC3F0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45B47DC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379" w:type="pct"/>
                  <w:tcBorders>
                    <w:tl2br w:val="nil"/>
                    <w:tr2bl w:val="nil"/>
                  </w:tcBorders>
                  <w:noWrap/>
                  <w:vAlign w:val="center"/>
                </w:tcPr>
                <w:p w14:paraId="0E49B07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643079B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199F84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3BCC490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0BCC295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628D3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30B1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78B2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2773DF6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9F321C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w:t>
                  </w:r>
                </w:p>
              </w:tc>
              <w:tc>
                <w:tcPr>
                  <w:tcW w:w="379" w:type="pct"/>
                  <w:tcBorders>
                    <w:tl2br w:val="nil"/>
                    <w:tr2bl w:val="nil"/>
                  </w:tcBorders>
                  <w:noWrap/>
                  <w:vAlign w:val="center"/>
                </w:tcPr>
                <w:p w14:paraId="7342454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3AC7E11">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3D7E9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766" w:type="pct"/>
                  <w:tcBorders>
                    <w:tl2br w:val="nil"/>
                    <w:tr2bl w:val="nil"/>
                  </w:tcBorders>
                  <w:noWrap w:val="0"/>
                  <w:vAlign w:val="center"/>
                </w:tcPr>
                <w:p w14:paraId="6F8C490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7B5E8BD6">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30AEB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15600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6F9B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522" w:type="pct"/>
                  <w:tcBorders>
                    <w:tl2br w:val="nil"/>
                    <w:tr2bl w:val="nil"/>
                  </w:tcBorders>
                  <w:noWrap w:val="0"/>
                  <w:vAlign w:val="center"/>
                </w:tcPr>
                <w:p w14:paraId="79DD11B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16E4AD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val="en-US" w:eastAsia="zh-CN" w:bidi="ar"/>
                    </w:rPr>
                    <w:t>.5</w:t>
                  </w:r>
                </w:p>
              </w:tc>
              <w:tc>
                <w:tcPr>
                  <w:tcW w:w="379" w:type="pct"/>
                  <w:tcBorders>
                    <w:tl2br w:val="nil"/>
                    <w:tr2bl w:val="nil"/>
                  </w:tcBorders>
                  <w:noWrap/>
                  <w:vAlign w:val="center"/>
                </w:tcPr>
                <w:p w14:paraId="21EF25C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3C1941C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28ED22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72D02E2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无铬钝化剂</w:t>
                  </w:r>
                </w:p>
              </w:tc>
              <w:tc>
                <w:tcPr>
                  <w:tcW w:w="853" w:type="dxa"/>
                  <w:tcBorders>
                    <w:tl2br w:val="nil"/>
                    <w:tr2bl w:val="nil"/>
                  </w:tcBorders>
                  <w:noWrap w:val="0"/>
                  <w:vAlign w:val="center"/>
                </w:tcPr>
                <w:p w14:paraId="38CCBE1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tcBorders>
                    <w:tl2br w:val="nil"/>
                    <w:tr2bl w:val="nil"/>
                  </w:tcBorders>
                  <w:noWrap w:val="0"/>
                  <w:vAlign w:val="center"/>
                </w:tcPr>
                <w:p w14:paraId="5F7307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sz w:val="21"/>
                      <w:szCs w:val="21"/>
                      <w:highlight w:val="none"/>
                      <w:u w:val="none"/>
                      <w:lang w:val="en-US" w:eastAsia="zh-CN"/>
                    </w:rPr>
                    <w:t>委外处置</w:t>
                  </w:r>
                </w:p>
              </w:tc>
            </w:tr>
            <w:tr w14:paraId="1E2EB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3D0C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5484A35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808587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p>
              </w:tc>
              <w:tc>
                <w:tcPr>
                  <w:tcW w:w="379" w:type="pct"/>
                  <w:tcBorders>
                    <w:tl2br w:val="nil"/>
                    <w:tr2bl w:val="nil"/>
                  </w:tcBorders>
                  <w:noWrap w:val="0"/>
                  <w:vAlign w:val="center"/>
                </w:tcPr>
                <w:p w14:paraId="0BA3E1D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0"/>
                  <w:vAlign w:val="center"/>
                </w:tcPr>
                <w:p w14:paraId="339FF91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7FE11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766" w:type="pct"/>
                  <w:tcBorders>
                    <w:tl2br w:val="nil"/>
                    <w:tr2bl w:val="nil"/>
                  </w:tcBorders>
                  <w:noWrap w:val="0"/>
                  <w:vAlign w:val="center"/>
                </w:tcPr>
                <w:p w14:paraId="2F6CCE66">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7F381492">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tcBorders>
                    <w:tl2br w:val="nil"/>
                    <w:tr2bl w:val="nil"/>
                  </w:tcBorders>
                  <w:noWrap w:val="0"/>
                  <w:vAlign w:val="center"/>
                </w:tcPr>
                <w:p w14:paraId="07B24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污水</w:t>
                  </w:r>
                  <w:r>
                    <w:rPr>
                      <w:rFonts w:hint="default" w:ascii="Times New Roman" w:hAnsi="Times New Roman" w:eastAsia="宋体" w:cs="Times New Roman"/>
                      <w:color w:val="auto"/>
                      <w:kern w:val="0"/>
                      <w:sz w:val="21"/>
                      <w:szCs w:val="21"/>
                      <w:highlight w:val="none"/>
                      <w:lang w:val="en-US" w:eastAsia="zh-CN" w:bidi="ar"/>
                    </w:rPr>
                    <w:t>处理站</w:t>
                  </w:r>
                </w:p>
              </w:tc>
            </w:tr>
          </w:tbl>
          <w:p w14:paraId="7B53AD9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4A718520">
            <w:pPr>
              <w:pStyle w:val="105"/>
              <w:ind w:firstLine="480"/>
              <w:rPr>
                <w:rFonts w:hint="default" w:ascii="Times New Roman" w:hAnsi="Times New Roman" w:cs="Times New Roman"/>
                <w:color w:val="auto"/>
                <w:highlight w:val="none"/>
              </w:rPr>
            </w:pPr>
            <w:r>
              <w:rPr>
                <w:rFonts w:hint="default" w:ascii="Times New Roman" w:hAnsi="Times New Roman" w:cs="Times New Roman"/>
                <w:b/>
                <w:color w:val="auto"/>
                <w:highlight w:val="none"/>
              </w:rPr>
              <w:t>（</w:t>
            </w:r>
            <w:r>
              <w:rPr>
                <w:rFonts w:hint="eastAsia" w:cs="Times New Roman"/>
                <w:b/>
                <w:color w:val="auto"/>
                <w:highlight w:val="none"/>
                <w:lang w:val="en-US" w:eastAsia="zh-CN"/>
              </w:rPr>
              <w:t>4</w:t>
            </w:r>
            <w:r>
              <w:rPr>
                <w:rFonts w:hint="default" w:ascii="Times New Roman" w:hAnsi="Times New Roman" w:cs="Times New Roman"/>
                <w:b/>
                <w:color w:val="auto"/>
                <w:highlight w:val="none"/>
              </w:rPr>
              <w:t>）烘干：</w:t>
            </w:r>
            <w:r>
              <w:rPr>
                <w:rFonts w:hint="default" w:ascii="Times New Roman" w:hAnsi="Times New Roman" w:cs="Times New Roman"/>
                <w:color w:val="auto"/>
                <w:highlight w:val="none"/>
              </w:rPr>
              <w:t>成型铝板材经钝化处理后，内设</w:t>
            </w:r>
            <w:r>
              <w:rPr>
                <w:rFonts w:hint="eastAsia" w:cs="Times New Roman"/>
                <w:color w:val="auto"/>
                <w:highlight w:val="none"/>
                <w:lang w:val="en-US" w:eastAsia="zh-CN"/>
              </w:rPr>
              <w:t>电</w:t>
            </w:r>
            <w:r>
              <w:rPr>
                <w:rFonts w:hint="default" w:ascii="Times New Roman" w:hAnsi="Times New Roman" w:cs="Times New Roman"/>
                <w:color w:val="auto"/>
                <w:highlight w:val="none"/>
              </w:rPr>
              <w:t>热风循环式烤炉</w:t>
            </w:r>
            <w:r>
              <w:rPr>
                <w:rFonts w:hint="eastAsia" w:cs="Times New Roman"/>
                <w:color w:val="auto"/>
                <w:highlight w:val="none"/>
                <w:lang w:val="en-US" w:eastAsia="zh-CN"/>
              </w:rPr>
              <w:t>进行烘烤</w:t>
            </w:r>
            <w:r>
              <w:rPr>
                <w:rFonts w:hint="default" w:ascii="Times New Roman" w:hAnsi="Times New Roman" w:cs="Times New Roman"/>
                <w:color w:val="auto"/>
                <w:highlight w:val="none"/>
              </w:rPr>
              <w:t>，控制温度为100℃，时间为6min。</w:t>
            </w:r>
          </w:p>
          <w:p w14:paraId="31D2FEFB">
            <w:pPr>
              <w:pStyle w:val="173"/>
              <w:wordWrap w:val="0"/>
              <w:topLinePunct/>
              <w:adjustRightInd w:val="0"/>
              <w:spacing w:before="0" w:beforeAutospacing="0"/>
              <w:ind w:firstLine="482" w:firstLineChars="200"/>
              <w:rPr>
                <w:b w:val="0"/>
                <w:color w:val="auto"/>
                <w:szCs w:val="24"/>
                <w:highlight w:val="none"/>
              </w:rPr>
            </w:pP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rPr>
              <w:t>）</w:t>
            </w:r>
            <w:r>
              <w:rPr>
                <w:b/>
                <w:bCs/>
                <w:color w:val="auto"/>
                <w:szCs w:val="24"/>
                <w:highlight w:val="none"/>
              </w:rPr>
              <w:t>喷粉：</w:t>
            </w:r>
            <w:r>
              <w:rPr>
                <w:b w:val="0"/>
                <w:color w:val="auto"/>
                <w:szCs w:val="24"/>
                <w:highlight w:val="none"/>
              </w:rPr>
              <w:t>本项目采用自动化的静电喷粉工艺，在喷枪与工件之间形成一个高压电晕放电电场，当粉末粒子由喷枪口喷出经过放电区时，便捕集了大量的电子，成为带负电的微粒，在静电吸引的作用下，被吸附到带正电荷的工件上去。当粉末附着到一定厚度时，则会发生“同性相斥”的作用，不能再吸附粉末，从而使各部分的粉层厚度均匀，然后经加温烘烤固化后粉层流平成为均匀的膜层。</w:t>
            </w:r>
          </w:p>
          <w:p w14:paraId="12DCD434">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铝单板喷粉线设有</w:t>
            </w:r>
            <w:r>
              <w:rPr>
                <w:rFonts w:hint="eastAsia"/>
                <w:b w:val="0"/>
                <w:color w:val="auto"/>
                <w:szCs w:val="24"/>
                <w:highlight w:val="none"/>
                <w:lang w:val="en-US" w:eastAsia="zh-CN"/>
              </w:rPr>
              <w:t>1</w:t>
            </w:r>
            <w:r>
              <w:rPr>
                <w:b w:val="0"/>
                <w:color w:val="auto"/>
                <w:szCs w:val="24"/>
                <w:highlight w:val="none"/>
              </w:rPr>
              <w:t>套“密闭车间负压收集+大旋风+滤芯式二级回收系统”系统装置。未收集的粉尘于车间内无组织排放。此过程会产生喷粉粉尘。</w:t>
            </w:r>
          </w:p>
          <w:p w14:paraId="1F4BA75F">
            <w:pPr>
              <w:pStyle w:val="173"/>
              <w:wordWrap w:val="0"/>
              <w:topLinePunct/>
              <w:adjustRightInd w:val="0"/>
              <w:spacing w:before="0" w:beforeAutospacing="0"/>
              <w:ind w:firstLine="482" w:firstLineChars="200"/>
              <w:rPr>
                <w:rFonts w:hint="default" w:ascii="Times New Roman" w:hAnsi="Times New Roman" w:cs="Times New Roman"/>
                <w:b w:val="0"/>
                <w:color w:val="auto"/>
                <w:szCs w:val="24"/>
                <w:highlight w:val="none"/>
              </w:rPr>
            </w:pPr>
            <w:r>
              <w:rPr>
                <w:rFonts w:hint="eastAsia"/>
                <w:color w:val="auto"/>
                <w:szCs w:val="24"/>
                <w:highlight w:val="none"/>
                <w:lang w:eastAsia="zh-CN"/>
              </w:rPr>
              <w:t>（</w:t>
            </w:r>
            <w:r>
              <w:rPr>
                <w:rFonts w:hint="eastAsia"/>
                <w:color w:val="auto"/>
                <w:szCs w:val="24"/>
                <w:highlight w:val="none"/>
                <w:lang w:val="en-US" w:eastAsia="zh-CN"/>
              </w:rPr>
              <w:t>6</w:t>
            </w:r>
            <w:r>
              <w:rPr>
                <w:rFonts w:hint="eastAsia"/>
                <w:color w:val="auto"/>
                <w:szCs w:val="24"/>
                <w:highlight w:val="none"/>
                <w:lang w:eastAsia="zh-CN"/>
              </w:rPr>
              <w:t>）</w:t>
            </w:r>
            <w:r>
              <w:rPr>
                <w:color w:val="auto"/>
                <w:szCs w:val="24"/>
                <w:highlight w:val="none"/>
              </w:rPr>
              <w:t>喷粉</w:t>
            </w:r>
            <w:r>
              <w:rPr>
                <w:b/>
                <w:bCs/>
                <w:color w:val="auto"/>
                <w:szCs w:val="24"/>
                <w:highlight w:val="none"/>
              </w:rPr>
              <w:t>固化</w:t>
            </w:r>
            <w:r>
              <w:rPr>
                <w:b w:val="0"/>
                <w:color w:val="auto"/>
                <w:szCs w:val="24"/>
                <w:highlight w:val="none"/>
              </w:rPr>
              <w:t>：工件经喷粉后需要加热使粉末涂料固化。工件送入固化线内加热。固化时间一般为</w:t>
            </w:r>
            <w:r>
              <w:rPr>
                <w:rFonts w:hint="eastAsia"/>
                <w:b w:val="0"/>
                <w:color w:val="auto"/>
                <w:szCs w:val="24"/>
                <w:highlight w:val="none"/>
                <w:lang w:val="en-US" w:eastAsia="zh-CN"/>
              </w:rPr>
              <w:t>6-12</w:t>
            </w:r>
            <w:r>
              <w:rPr>
                <w:b w:val="0"/>
                <w:color w:val="auto"/>
                <w:szCs w:val="24"/>
                <w:highlight w:val="none"/>
              </w:rPr>
              <w:t>min，温度一般为160℃~200℃。热量由天然气燃烧产生，通过</w:t>
            </w:r>
            <w:r>
              <w:rPr>
                <w:rFonts w:hint="default" w:ascii="Times New Roman" w:hAnsi="Times New Roman" w:cs="Times New Roman"/>
                <w:b w:val="0"/>
                <w:color w:val="auto"/>
                <w:szCs w:val="24"/>
                <w:highlight w:val="none"/>
              </w:rPr>
              <w:t>热气直接接触工件进行加热固化。粉末涂料固化过程会产生天然气燃烧废气、固化有机废气及臭气浓度。</w:t>
            </w:r>
          </w:p>
          <w:p w14:paraId="29CF3B8F">
            <w:pPr>
              <w:pStyle w:val="173"/>
              <w:wordWrap w:val="0"/>
              <w:topLinePunct/>
              <w:adjustRightInd w:val="0"/>
              <w:spacing w:before="0" w:beforeAutospacing="0"/>
              <w:ind w:firstLine="482" w:firstLineChars="200"/>
              <w:rPr>
                <w:rFonts w:hint="default" w:ascii="Times New Roman" w:hAnsi="Times New Roman" w:cs="Times New Roman"/>
                <w:b w:val="0"/>
                <w:color w:val="auto"/>
                <w:szCs w:val="24"/>
                <w:highlight w:val="none"/>
              </w:rPr>
            </w:pPr>
            <w:r>
              <w:rPr>
                <w:rFonts w:hint="default" w:ascii="Times New Roman" w:hAnsi="Times New Roman" w:cs="Times New Roman"/>
                <w:color w:val="auto"/>
                <w:szCs w:val="24"/>
                <w:highlight w:val="none"/>
                <w:lang w:eastAsia="zh-CN"/>
              </w:rPr>
              <w:t>（</w:t>
            </w:r>
            <w:r>
              <w:rPr>
                <w:rFonts w:hint="eastAsia" w:cs="Times New Roman"/>
                <w:color w:val="auto"/>
                <w:szCs w:val="24"/>
                <w:highlight w:val="none"/>
                <w:lang w:val="en-US" w:eastAsia="zh-CN"/>
              </w:rPr>
              <w:t>7</w:t>
            </w:r>
            <w:r>
              <w:rPr>
                <w:rFonts w:hint="default" w:ascii="Times New Roman" w:hAnsi="Times New Roman" w:cs="Times New Roman"/>
                <w:color w:val="auto"/>
                <w:szCs w:val="24"/>
                <w:highlight w:val="none"/>
                <w:lang w:eastAsia="zh-CN"/>
              </w:rPr>
              <w:t>）</w:t>
            </w:r>
            <w:r>
              <w:rPr>
                <w:rFonts w:hint="default" w:ascii="Times New Roman" w:hAnsi="Times New Roman" w:cs="Times New Roman"/>
                <w:b/>
                <w:bCs/>
                <w:color w:val="auto"/>
                <w:szCs w:val="24"/>
                <w:highlight w:val="none"/>
              </w:rPr>
              <w:t>调漆</w:t>
            </w:r>
            <w:r>
              <w:rPr>
                <w:rFonts w:hint="default" w:ascii="Times New Roman" w:hAnsi="Times New Roman" w:cs="Times New Roman"/>
                <w:b w:val="0"/>
                <w:color w:val="auto"/>
                <w:szCs w:val="24"/>
                <w:highlight w:val="none"/>
              </w:rPr>
              <w:t>：喷漆前根据产品要求进行调漆，本项目调漆在调漆房内完成。</w:t>
            </w:r>
          </w:p>
          <w:p w14:paraId="1DE4FF4D">
            <w:pPr>
              <w:pStyle w:val="173"/>
              <w:wordWrap w:val="0"/>
              <w:topLinePunct/>
              <w:adjustRightInd w:val="0"/>
              <w:spacing w:before="0" w:beforeAutospacing="0"/>
              <w:ind w:firstLine="482" w:firstLineChars="200"/>
              <w:rPr>
                <w:rFonts w:hint="default" w:eastAsia="宋体"/>
                <w:b w:val="0"/>
                <w:color w:val="auto"/>
                <w:szCs w:val="24"/>
                <w:highlight w:val="none"/>
                <w:lang w:val="en-US" w:eastAsia="zh-CN"/>
              </w:rPr>
            </w:pPr>
            <w:r>
              <w:rPr>
                <w:rFonts w:hint="default" w:ascii="Times New Roman" w:hAnsi="Times New Roman" w:cs="Times New Roman"/>
                <w:color w:val="auto"/>
                <w:szCs w:val="24"/>
                <w:highlight w:val="none"/>
                <w:lang w:eastAsia="zh-CN"/>
              </w:rPr>
              <w:t>（</w:t>
            </w:r>
            <w:r>
              <w:rPr>
                <w:rFonts w:hint="eastAsia" w:cs="Times New Roman"/>
                <w:color w:val="auto"/>
                <w:szCs w:val="24"/>
                <w:highlight w:val="none"/>
                <w:lang w:val="en-US" w:eastAsia="zh-CN"/>
              </w:rPr>
              <w:t>8</w:t>
            </w:r>
            <w:r>
              <w:rPr>
                <w:rFonts w:hint="default" w:ascii="Times New Roman" w:hAnsi="Times New Roman" w:cs="Times New Roman"/>
                <w:b/>
                <w:bCs w:val="0"/>
                <w:color w:val="auto"/>
                <w:szCs w:val="24"/>
                <w:highlight w:val="none"/>
                <w:lang w:eastAsia="zh-CN"/>
              </w:rPr>
              <w:t>）</w:t>
            </w:r>
            <w:r>
              <w:rPr>
                <w:rFonts w:hint="default" w:ascii="Times New Roman" w:hAnsi="Times New Roman" w:cs="Times New Roman"/>
                <w:b/>
                <w:bCs w:val="0"/>
                <w:color w:val="auto"/>
                <w:szCs w:val="24"/>
                <w:highlight w:val="none"/>
              </w:rPr>
              <w:t>喷</w:t>
            </w:r>
            <w:r>
              <w:rPr>
                <w:b/>
                <w:bCs w:val="0"/>
                <w:color w:val="auto"/>
                <w:szCs w:val="24"/>
                <w:highlight w:val="none"/>
              </w:rPr>
              <w:t>漆：</w:t>
            </w:r>
            <w:r>
              <w:rPr>
                <w:b w:val="0"/>
                <w:color w:val="auto"/>
                <w:szCs w:val="24"/>
                <w:highlight w:val="none"/>
              </w:rPr>
              <w:t>底漆的作用在于提高涂层抗渗透能力，增强对底材的保护，稳定金属表层，加强面漆与金属表面附着力；面漆涂层在底漆涂层之上，其主要作用是提高装饰性，也有一定的防腐性和耐磨性；</w:t>
            </w:r>
            <w:r>
              <w:rPr>
                <w:rFonts w:hint="eastAsia"/>
                <w:b w:val="0"/>
                <w:color w:val="auto"/>
                <w:szCs w:val="24"/>
                <w:highlight w:val="none"/>
                <w:lang w:val="en-US" w:eastAsia="zh-CN"/>
              </w:rPr>
              <w:t>清</w:t>
            </w:r>
            <w:r>
              <w:rPr>
                <w:b w:val="0"/>
                <w:color w:val="auto"/>
                <w:szCs w:val="24"/>
                <w:highlight w:val="none"/>
              </w:rPr>
              <w:t>漆涂层在面漆涂层之上，为增强涂层的光泽、丰满度。工件通过流水线进入全线密闭的喷漆生产线内，工件进入喷漆室进行手工+自动化喷漆，工件每进行一次喷漆后进行一次流平，工件经流平表面形成一个平整、光滑、均匀的涂膜。</w:t>
            </w:r>
            <w:r>
              <w:rPr>
                <w:rFonts w:hint="eastAsia"/>
                <w:b w:val="0"/>
                <w:color w:val="auto"/>
                <w:szCs w:val="24"/>
                <w:highlight w:val="none"/>
                <w:lang w:val="en-US" w:eastAsia="zh-CN"/>
              </w:rPr>
              <w:t>精涂机为空气喷涂式，对漆层进一步喷涂均匀。</w:t>
            </w:r>
          </w:p>
          <w:p w14:paraId="7179A27B">
            <w:pPr>
              <w:pStyle w:val="173"/>
              <w:wordWrap w:val="0"/>
              <w:topLinePunct/>
              <w:adjustRightInd w:val="0"/>
              <w:spacing w:before="0" w:beforeAutospacing="0"/>
              <w:ind w:firstLine="482" w:firstLineChars="200"/>
              <w:rPr>
                <w:b w:val="0"/>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9</w:t>
            </w:r>
            <w:r>
              <w:rPr>
                <w:rFonts w:hint="eastAsia" w:ascii="宋体" w:hAnsi="宋体" w:cs="宋体"/>
                <w:color w:val="auto"/>
                <w:szCs w:val="24"/>
                <w:highlight w:val="none"/>
                <w:lang w:eastAsia="zh-CN"/>
              </w:rPr>
              <w:t>）</w:t>
            </w:r>
            <w:r>
              <w:rPr>
                <w:color w:val="auto"/>
                <w:szCs w:val="24"/>
                <w:highlight w:val="none"/>
              </w:rPr>
              <w:t>喷漆</w:t>
            </w:r>
            <w:r>
              <w:rPr>
                <w:b/>
                <w:bCs/>
                <w:color w:val="auto"/>
                <w:szCs w:val="24"/>
                <w:highlight w:val="none"/>
              </w:rPr>
              <w:t>固化</w:t>
            </w:r>
            <w:r>
              <w:rPr>
                <w:b w:val="0"/>
                <w:color w:val="auto"/>
                <w:szCs w:val="24"/>
                <w:highlight w:val="none"/>
              </w:rPr>
              <w:t>：喷漆后的工件需进行加热固化，通过流水线送入高温固化通道，使之流平、固化，从而得到预期的工件表面效果，喷油性漆的工件固化温度170℃、固化时间约</w:t>
            </w:r>
            <w:r>
              <w:rPr>
                <w:rFonts w:hint="eastAsia"/>
                <w:b w:val="0"/>
                <w:color w:val="auto"/>
                <w:szCs w:val="24"/>
                <w:highlight w:val="none"/>
                <w:lang w:val="en-US" w:eastAsia="zh-CN"/>
              </w:rPr>
              <w:t>6-12</w:t>
            </w:r>
            <w:r>
              <w:rPr>
                <w:b w:val="0"/>
                <w:color w:val="auto"/>
                <w:szCs w:val="24"/>
                <w:highlight w:val="none"/>
              </w:rPr>
              <w:t>min</w:t>
            </w:r>
            <w:r>
              <w:rPr>
                <w:color w:val="auto"/>
                <w:highlight w:val="none"/>
              </w:rPr>
              <w:t>。</w:t>
            </w:r>
          </w:p>
          <w:p w14:paraId="0BA063BB">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调漆、喷漆、流平、烘干固化过程中产生有机废气（VOCs、</w:t>
            </w:r>
            <w:r>
              <w:rPr>
                <w:rFonts w:hint="eastAsia"/>
                <w:b w:val="0"/>
                <w:color w:val="auto"/>
                <w:szCs w:val="24"/>
                <w:highlight w:val="none"/>
                <w:lang w:val="en-US" w:eastAsia="zh-CN"/>
              </w:rPr>
              <w:t>苯系物</w:t>
            </w:r>
            <w:r>
              <w:rPr>
                <w:b w:val="0"/>
                <w:color w:val="auto"/>
                <w:szCs w:val="24"/>
                <w:highlight w:val="none"/>
              </w:rPr>
              <w:t>）、臭气浓度、漆雾、</w:t>
            </w:r>
            <w:r>
              <w:rPr>
                <w:rFonts w:hint="eastAsia"/>
                <w:b w:val="0"/>
                <w:color w:val="auto"/>
                <w:szCs w:val="24"/>
                <w:highlight w:val="none"/>
                <w:lang w:val="en-US" w:eastAsia="zh-CN"/>
              </w:rPr>
              <w:t>喷淋废液及沉渣</w:t>
            </w:r>
            <w:r>
              <w:rPr>
                <w:b w:val="0"/>
                <w:color w:val="auto"/>
                <w:szCs w:val="24"/>
                <w:highlight w:val="none"/>
              </w:rPr>
              <w:t>、天然气燃烧废气、废原料桶及设备生产噪声。</w:t>
            </w:r>
          </w:p>
          <w:p w14:paraId="22FBAC6F">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此外，本项目使用</w:t>
            </w:r>
            <w:r>
              <w:rPr>
                <w:rFonts w:hint="eastAsia"/>
                <w:b w:val="0"/>
                <w:color w:val="auto"/>
                <w:szCs w:val="24"/>
                <w:highlight w:val="none"/>
                <w:lang w:val="en-US" w:eastAsia="zh-CN"/>
              </w:rPr>
              <w:t>清洗</w:t>
            </w:r>
            <w:r>
              <w:rPr>
                <w:b w:val="0"/>
                <w:color w:val="auto"/>
                <w:szCs w:val="24"/>
                <w:highlight w:val="none"/>
              </w:rPr>
              <w:t>剂定期对喷漆枪头进行清洗，此过程会产生喷枪清洗废液，作为危险废物进行暂存、转运处理。</w:t>
            </w:r>
          </w:p>
          <w:p w14:paraId="60CBF078">
            <w:pPr>
              <w:pStyle w:val="173"/>
              <w:wordWrap w:val="0"/>
              <w:topLinePunct/>
              <w:adjustRightInd w:val="0"/>
              <w:spacing w:before="0" w:beforeAutospacing="0"/>
              <w:ind w:firstLine="482" w:firstLineChars="200"/>
              <w:rPr>
                <w:b w:val="0"/>
                <w:color w:val="auto"/>
                <w:szCs w:val="24"/>
                <w:highlight w:val="none"/>
              </w:rPr>
            </w:pPr>
            <w:r>
              <w:rPr>
                <w:rFonts w:hint="eastAsia" w:ascii="宋体" w:hAnsi="宋体" w:cs="宋体"/>
                <w:b/>
                <w:bCs/>
                <w:color w:val="auto"/>
                <w:szCs w:val="24"/>
                <w:highlight w:val="none"/>
                <w:lang w:eastAsia="zh-CN"/>
              </w:rPr>
              <w:t>（</w:t>
            </w:r>
            <w:r>
              <w:rPr>
                <w:rFonts w:hint="eastAsia" w:ascii="宋体" w:hAnsi="宋体" w:cs="宋体"/>
                <w:b/>
                <w:bCs/>
                <w:color w:val="auto"/>
                <w:szCs w:val="24"/>
                <w:highlight w:val="none"/>
                <w:lang w:val="en-US" w:eastAsia="zh-CN"/>
              </w:rPr>
              <w:t>10</w:t>
            </w:r>
            <w:r>
              <w:rPr>
                <w:rFonts w:hint="eastAsia" w:ascii="宋体" w:hAnsi="宋体" w:cs="宋体"/>
                <w:b/>
                <w:bCs/>
                <w:color w:val="auto"/>
                <w:szCs w:val="24"/>
                <w:highlight w:val="none"/>
                <w:lang w:eastAsia="zh-CN"/>
              </w:rPr>
              <w:t>）</w:t>
            </w:r>
            <w:r>
              <w:rPr>
                <w:b/>
                <w:bCs/>
                <w:color w:val="auto"/>
                <w:szCs w:val="24"/>
                <w:highlight w:val="none"/>
              </w:rPr>
              <w:t>检验</w:t>
            </w:r>
            <w:r>
              <w:rPr>
                <w:rFonts w:hint="eastAsia"/>
                <w:b/>
                <w:bCs/>
                <w:color w:val="auto"/>
                <w:szCs w:val="24"/>
                <w:highlight w:val="none"/>
                <w:lang w:val="en-US" w:eastAsia="zh-CN"/>
              </w:rPr>
              <w:t>入库</w:t>
            </w:r>
            <w:r>
              <w:rPr>
                <w:b/>
                <w:bCs/>
                <w:color w:val="auto"/>
                <w:szCs w:val="24"/>
                <w:highlight w:val="none"/>
              </w:rPr>
              <w:t>：</w:t>
            </w:r>
            <w:r>
              <w:rPr>
                <w:b w:val="0"/>
                <w:color w:val="auto"/>
                <w:szCs w:val="24"/>
                <w:highlight w:val="none"/>
              </w:rPr>
              <w:t>对</w:t>
            </w:r>
            <w:r>
              <w:rPr>
                <w:rFonts w:hint="eastAsia"/>
                <w:b w:val="0"/>
                <w:color w:val="auto"/>
                <w:szCs w:val="24"/>
                <w:highlight w:val="none"/>
                <w:lang w:val="en-US" w:eastAsia="zh-CN"/>
              </w:rPr>
              <w:t>产品</w:t>
            </w:r>
            <w:r>
              <w:rPr>
                <w:b w:val="0"/>
                <w:color w:val="auto"/>
                <w:szCs w:val="24"/>
                <w:highlight w:val="none"/>
              </w:rPr>
              <w:t>的性能进行质检。需对照图纸测量产品尺寸是否达标，且用冲击仪检测产品抗冲击力是否达标。合格品包装成品入库暂存，对不合格的产品作残次品交物资部门回收处置。</w:t>
            </w:r>
          </w:p>
          <w:p w14:paraId="73ACF81B">
            <w:pPr>
              <w:spacing w:line="360" w:lineRule="auto"/>
              <w:ind w:firstLine="482" w:firstLineChars="200"/>
              <w:jc w:val="left"/>
              <w:rPr>
                <w:rFonts w:hint="default" w:ascii="Times New Roman" w:hAnsi="Times New Roman" w:cs="Times New Roman"/>
                <w:color w:val="auto"/>
                <w:kern w:val="0"/>
                <w:sz w:val="24"/>
              </w:rPr>
            </w:pPr>
            <w:r>
              <w:rPr>
                <w:rFonts w:hint="default" w:ascii="Times New Roman" w:hAnsi="Times New Roman" w:cs="Times New Roman"/>
                <w:b/>
                <w:bCs/>
                <w:color w:val="auto"/>
                <w:kern w:val="0"/>
                <w:sz w:val="24"/>
              </w:rPr>
              <w:t>2、本项目生产过程中的主要产污环节如下：</w:t>
            </w:r>
          </w:p>
          <w:p w14:paraId="3A53C02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项目主要产污节点一览表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309"/>
              <w:gridCol w:w="2821"/>
              <w:gridCol w:w="2449"/>
            </w:tblGrid>
            <w:tr w14:paraId="0B04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5968926E">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类型</w:t>
                  </w:r>
                </w:p>
              </w:tc>
              <w:tc>
                <w:tcPr>
                  <w:tcW w:w="1398" w:type="pct"/>
                  <w:noWrap w:val="0"/>
                  <w:vAlign w:val="center"/>
                </w:tcPr>
                <w:p w14:paraId="68519356">
                  <w:pPr>
                    <w:adjustRightInd w:val="0"/>
                    <w:snapToGrid w:val="0"/>
                    <w:spacing w:line="240" w:lineRule="auto"/>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污染源</w:t>
                  </w:r>
                </w:p>
              </w:tc>
              <w:tc>
                <w:tcPr>
                  <w:tcW w:w="1708" w:type="pct"/>
                  <w:noWrap w:val="0"/>
                  <w:vAlign w:val="center"/>
                </w:tcPr>
                <w:p w14:paraId="2BB848EC">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主要污染物名称</w:t>
                  </w:r>
                </w:p>
              </w:tc>
              <w:tc>
                <w:tcPr>
                  <w:tcW w:w="1483" w:type="pct"/>
                  <w:noWrap w:val="0"/>
                  <w:vAlign w:val="center"/>
                </w:tcPr>
                <w:p w14:paraId="229B91EB">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处理情况及去向</w:t>
                  </w:r>
                </w:p>
              </w:tc>
            </w:tr>
            <w:tr w14:paraId="6B19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4B90A61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废气</w:t>
                  </w:r>
                </w:p>
              </w:tc>
              <w:tc>
                <w:tcPr>
                  <w:tcW w:w="1398" w:type="pct"/>
                  <w:noWrap w:val="0"/>
                  <w:vAlign w:val="center"/>
                </w:tcPr>
                <w:p w14:paraId="6D813292">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切割粉尘</w:t>
                  </w:r>
                </w:p>
              </w:tc>
              <w:tc>
                <w:tcPr>
                  <w:tcW w:w="1708" w:type="pct"/>
                  <w:noWrap w:val="0"/>
                  <w:vAlign w:val="center"/>
                </w:tcPr>
                <w:p w14:paraId="2782224E">
                  <w:pPr>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color w:val="auto"/>
                      <w:kern w:val="0"/>
                      <w:sz w:val="21"/>
                      <w:szCs w:val="21"/>
                      <w:lang w:val="en-US" w:eastAsia="zh-CN" w:bidi="ar"/>
                    </w:rPr>
                    <w:t>颗粒物</w:t>
                  </w:r>
                </w:p>
              </w:tc>
              <w:tc>
                <w:tcPr>
                  <w:tcW w:w="1483" w:type="pct"/>
                  <w:vMerge w:val="restart"/>
                  <w:noWrap w:val="0"/>
                  <w:vAlign w:val="center"/>
                </w:tcPr>
                <w:p w14:paraId="08D35532">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rPr>
                    <w:t>经加强通风处理后于车间内无组织排放</w:t>
                  </w:r>
                </w:p>
              </w:tc>
            </w:tr>
            <w:tr w14:paraId="0BA7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C819F51">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shd w:val="clear" w:color="auto" w:fill="auto"/>
                  <w:noWrap w:val="0"/>
                  <w:vAlign w:val="center"/>
                </w:tcPr>
                <w:p w14:paraId="043E0FFF">
                  <w:pPr>
                    <w:adjustRightInd w:val="0"/>
                    <w:snapToGrid w:val="0"/>
                    <w:spacing w:line="240" w:lineRule="auto"/>
                    <w:jc w:val="center"/>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焊接</w:t>
                  </w:r>
                  <w:r>
                    <w:rPr>
                      <w:rFonts w:hint="eastAsia" w:ascii="Times New Roman" w:hAnsi="Times New Roman" w:cs="Times New Roman"/>
                      <w:color w:val="auto"/>
                      <w:kern w:val="2"/>
                      <w:sz w:val="21"/>
                      <w:szCs w:val="21"/>
                      <w:highlight w:val="none"/>
                      <w:lang w:val="en-US" w:eastAsia="zh-CN"/>
                    </w:rPr>
                    <w:t>烟尘</w:t>
                  </w:r>
                </w:p>
              </w:tc>
              <w:tc>
                <w:tcPr>
                  <w:tcW w:w="1708" w:type="pct"/>
                  <w:shd w:val="clear" w:color="auto" w:fill="auto"/>
                  <w:noWrap w:val="0"/>
                  <w:vAlign w:val="center"/>
                </w:tcPr>
                <w:p w14:paraId="616605C2">
                  <w:pPr>
                    <w:adjustRightInd w:val="0"/>
                    <w:snapToGrid w:val="0"/>
                    <w:spacing w:line="240" w:lineRule="auto"/>
                    <w:jc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vMerge w:val="continue"/>
                  <w:noWrap w:val="0"/>
                  <w:vAlign w:val="center"/>
                </w:tcPr>
                <w:p w14:paraId="0ADB248A">
                  <w:pPr>
                    <w:adjustRightInd w:val="0"/>
                    <w:snapToGrid w:val="0"/>
                    <w:spacing w:line="240" w:lineRule="auto"/>
                    <w:jc w:val="center"/>
                    <w:rPr>
                      <w:rFonts w:hint="eastAsia" w:ascii="Times New Roman" w:hAnsi="Times New Roman" w:cs="Times New Roman"/>
                      <w:color w:val="auto"/>
                      <w:sz w:val="21"/>
                      <w:szCs w:val="21"/>
                      <w:lang w:val="en-US" w:eastAsia="zh-CN"/>
                    </w:rPr>
                  </w:pPr>
                </w:p>
              </w:tc>
            </w:tr>
            <w:tr w14:paraId="289B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A19F263">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69EC533B">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表面预处理废气</w:t>
                  </w:r>
                </w:p>
              </w:tc>
              <w:tc>
                <w:tcPr>
                  <w:tcW w:w="1708" w:type="pct"/>
                  <w:noWrap w:val="0"/>
                  <w:vAlign w:val="center"/>
                </w:tcPr>
                <w:p w14:paraId="0B5FAC04">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氟化物、</w:t>
                  </w:r>
                  <w:r>
                    <w:rPr>
                      <w:rFonts w:hint="default" w:ascii="Times New Roman" w:hAnsi="Times New Roman" w:cs="Times New Roman"/>
                      <w:color w:val="auto"/>
                      <w:kern w:val="2"/>
                      <w:sz w:val="21"/>
                      <w:szCs w:val="21"/>
                      <w:highlight w:val="none"/>
                      <w:lang w:eastAsia="zh-CN"/>
                    </w:rPr>
                    <w:t>氮氧化物、颗粒物、二氧化硫、</w:t>
                  </w:r>
                  <w:r>
                    <w:rPr>
                      <w:rFonts w:hint="default" w:ascii="Times New Roman" w:hAnsi="Times New Roman" w:cs="Times New Roman"/>
                      <w:color w:val="auto"/>
                      <w:kern w:val="2"/>
                      <w:sz w:val="21"/>
                      <w:szCs w:val="21"/>
                      <w:highlight w:val="none"/>
                      <w:lang w:val="en-US" w:eastAsia="zh-CN"/>
                    </w:rPr>
                    <w:t>烟气黑度</w:t>
                  </w:r>
                </w:p>
              </w:tc>
              <w:tc>
                <w:tcPr>
                  <w:tcW w:w="1483" w:type="pct"/>
                  <w:noWrap w:val="0"/>
                  <w:vAlign w:val="center"/>
                </w:tcPr>
                <w:p w14:paraId="65C85650">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经碱液喷淋后通过15m排气筒（DA003）排放</w:t>
                  </w:r>
                </w:p>
              </w:tc>
            </w:tr>
            <w:tr w14:paraId="045B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6E16B0DC">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3DB54E5F">
                  <w:pPr>
                    <w:adjustRightInd w:val="0"/>
                    <w:snapToGrid w:val="0"/>
                    <w:spacing w:line="240" w:lineRule="auto"/>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eastAsia="zh-CN"/>
                    </w:rPr>
                    <w:t>抛光打磨</w:t>
                  </w:r>
                  <w:r>
                    <w:rPr>
                      <w:rFonts w:hint="default" w:ascii="Times New Roman" w:hAnsi="Times New Roman" w:cs="Times New Roman"/>
                      <w:color w:val="auto"/>
                      <w:kern w:val="2"/>
                      <w:sz w:val="21"/>
                      <w:szCs w:val="21"/>
                      <w:highlight w:val="none"/>
                    </w:rPr>
                    <w:t>粉尘</w:t>
                  </w:r>
                </w:p>
              </w:tc>
              <w:tc>
                <w:tcPr>
                  <w:tcW w:w="1708" w:type="pct"/>
                  <w:noWrap w:val="0"/>
                  <w:vAlign w:val="center"/>
                </w:tcPr>
                <w:p w14:paraId="62EC0D22">
                  <w:pPr>
                    <w:adjustRightInd w:val="0"/>
                    <w:snapToGrid w:val="0"/>
                    <w:spacing w:line="240" w:lineRule="auto"/>
                    <w:jc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noWrap w:val="0"/>
                  <w:vAlign w:val="center"/>
                </w:tcPr>
                <w:p w14:paraId="434E852F">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经</w:t>
                  </w:r>
                  <w:r>
                    <w:rPr>
                      <w:rFonts w:hint="eastAsia" w:cs="Times New Roman"/>
                      <w:color w:val="auto"/>
                      <w:kern w:val="0"/>
                      <w:sz w:val="21"/>
                      <w:szCs w:val="21"/>
                      <w:lang w:val="en-US" w:eastAsia="zh-CN" w:bidi="ar"/>
                    </w:rPr>
                    <w:t>自然沉降后无组织排放于车间</w:t>
                  </w:r>
                </w:p>
              </w:tc>
            </w:tr>
            <w:tr w14:paraId="7B3A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33137643">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400A120A">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喷粉粉尘</w:t>
                  </w:r>
                </w:p>
              </w:tc>
              <w:tc>
                <w:tcPr>
                  <w:tcW w:w="1708" w:type="pct"/>
                  <w:noWrap w:val="0"/>
                  <w:vAlign w:val="center"/>
                </w:tcPr>
                <w:p w14:paraId="24837366">
                  <w:pPr>
                    <w:adjustRightInd w:val="0"/>
                    <w:snapToGrid w:val="0"/>
                    <w:spacing w:line="240" w:lineRule="auto"/>
                    <w:jc w:val="center"/>
                    <w:rPr>
                      <w:rFonts w:hint="eastAsia"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noWrap w:val="0"/>
                  <w:vAlign w:val="center"/>
                </w:tcPr>
                <w:p w14:paraId="03795556">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密闭车间负压收集+大旋风+滤芯式二级回收系统”处理后呈无组织排放</w:t>
                  </w:r>
                </w:p>
              </w:tc>
            </w:tr>
            <w:tr w14:paraId="0FB9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46B12CA">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2721538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喷漆废气</w:t>
                  </w:r>
                </w:p>
              </w:tc>
              <w:tc>
                <w:tcPr>
                  <w:tcW w:w="1708" w:type="pct"/>
                  <w:noWrap w:val="0"/>
                  <w:vAlign w:val="center"/>
                </w:tcPr>
                <w:p w14:paraId="78DED8BA">
                  <w:pPr>
                    <w:adjustRightInd w:val="0"/>
                    <w:snapToGrid w:val="0"/>
                    <w:spacing w:line="240" w:lineRule="auto"/>
                    <w:jc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颗粒物、非甲烷总烃、苯系物、臭气浓度</w:t>
                  </w:r>
                </w:p>
              </w:tc>
              <w:tc>
                <w:tcPr>
                  <w:tcW w:w="1483" w:type="pct"/>
                  <w:noWrap w:val="0"/>
                  <w:vAlign w:val="center"/>
                </w:tcPr>
                <w:p w14:paraId="74A5CCCE">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经水帘柜</w:t>
                  </w:r>
                  <w:r>
                    <w:rPr>
                      <w:rFonts w:hint="eastAsia" w:cs="Times New Roman"/>
                      <w:color w:val="auto"/>
                      <w:kern w:val="0"/>
                      <w:sz w:val="21"/>
                      <w:szCs w:val="21"/>
                      <w:lang w:val="en-US" w:eastAsia="zh-CN" w:bidi="ar"/>
                    </w:rPr>
                    <w:t>喷淋</w:t>
                  </w:r>
                  <w:r>
                    <w:rPr>
                      <w:rFonts w:hint="eastAsia" w:ascii="Times New Roman" w:hAnsi="Times New Roman" w:eastAsia="宋体" w:cs="Times New Roman"/>
                      <w:color w:val="auto"/>
                      <w:kern w:val="0"/>
                      <w:sz w:val="21"/>
                      <w:szCs w:val="21"/>
                      <w:lang w:val="en-US" w:eastAsia="zh-CN" w:bidi="ar"/>
                    </w:rPr>
                    <w:t>+干式过滤+活性炭吸附脱附催化燃烧</w:t>
                  </w:r>
                  <w:r>
                    <w:rPr>
                      <w:rFonts w:hint="eastAsia" w:cs="Times New Roman"/>
                      <w:color w:val="auto"/>
                      <w:kern w:val="0"/>
                      <w:sz w:val="21"/>
                      <w:szCs w:val="21"/>
                      <w:lang w:val="en-US" w:eastAsia="zh-CN" w:bidi="ar"/>
                    </w:rPr>
                    <w:t>+活性炭吸附</w:t>
                  </w:r>
                  <w:r>
                    <w:rPr>
                      <w:rFonts w:hint="default" w:ascii="Times New Roman" w:hAnsi="Times New Roman" w:eastAsia="宋体" w:cs="Times New Roman"/>
                      <w:color w:val="auto"/>
                      <w:kern w:val="0"/>
                      <w:sz w:val="21"/>
                      <w:szCs w:val="21"/>
                      <w:lang w:val="en-US" w:eastAsia="zh-CN" w:bidi="ar"/>
                    </w:rPr>
                    <w:t>处理后经15m高排气筒（</w:t>
                  </w:r>
                  <w:r>
                    <w:rPr>
                      <w:rFonts w:hint="eastAsia" w:cs="Times New Roman"/>
                      <w:color w:val="auto"/>
                      <w:kern w:val="0"/>
                      <w:sz w:val="21"/>
                      <w:szCs w:val="21"/>
                      <w:lang w:val="en-US" w:eastAsia="zh-CN" w:bidi="ar"/>
                    </w:rPr>
                    <w:t>DA001</w:t>
                  </w:r>
                  <w:r>
                    <w:rPr>
                      <w:rFonts w:hint="default" w:ascii="Times New Roman" w:hAnsi="Times New Roman" w:eastAsia="宋体" w:cs="Times New Roman"/>
                      <w:color w:val="auto"/>
                      <w:kern w:val="0"/>
                      <w:sz w:val="21"/>
                      <w:szCs w:val="21"/>
                      <w:lang w:val="en-US" w:eastAsia="zh-CN" w:bidi="ar"/>
                    </w:rPr>
                    <w:t>）排放</w:t>
                  </w:r>
                </w:p>
              </w:tc>
            </w:tr>
            <w:tr w14:paraId="3138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3C1F1AE">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6E49377B">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固化废气</w:t>
                  </w:r>
                </w:p>
              </w:tc>
              <w:tc>
                <w:tcPr>
                  <w:tcW w:w="1708" w:type="pct"/>
                  <w:noWrap w:val="0"/>
                  <w:vAlign w:val="center"/>
                </w:tcPr>
                <w:p w14:paraId="5ED34100">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颗粒物、非甲烷总烃、苯系物、臭气浓度</w:t>
                  </w:r>
                  <w:r>
                    <w:rPr>
                      <w:rFonts w:hint="eastAsia"/>
                      <w:color w:val="auto"/>
                      <w:lang w:eastAsia="zh-CN"/>
                    </w:rPr>
                    <w:t>、</w:t>
                  </w:r>
                  <w:r>
                    <w:rPr>
                      <w:rFonts w:hint="default" w:ascii="Times New Roman" w:hAnsi="Times New Roman" w:cs="Times New Roman"/>
                      <w:color w:val="auto"/>
                      <w:kern w:val="2"/>
                      <w:sz w:val="21"/>
                      <w:szCs w:val="21"/>
                      <w:highlight w:val="none"/>
                      <w:lang w:eastAsia="zh-CN"/>
                    </w:rPr>
                    <w:t>氮氧化物、颗粒物、二氧化硫、</w:t>
                  </w:r>
                  <w:r>
                    <w:rPr>
                      <w:rFonts w:hint="default" w:ascii="Times New Roman" w:hAnsi="Times New Roman" w:cs="Times New Roman"/>
                      <w:color w:val="auto"/>
                      <w:kern w:val="2"/>
                      <w:sz w:val="21"/>
                      <w:szCs w:val="21"/>
                      <w:highlight w:val="none"/>
                      <w:lang w:val="en-US" w:eastAsia="zh-CN"/>
                    </w:rPr>
                    <w:t>烟气黑度</w:t>
                  </w:r>
                </w:p>
              </w:tc>
              <w:tc>
                <w:tcPr>
                  <w:tcW w:w="1483" w:type="pct"/>
                  <w:noWrap w:val="0"/>
                  <w:vAlign w:val="center"/>
                </w:tcPr>
                <w:p w14:paraId="59BF8171">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经喷淋+干式过滤</w:t>
                  </w:r>
                  <w:r>
                    <w:rPr>
                      <w:rFonts w:hint="eastAsia" w:cs="Times New Roman"/>
                      <w:color w:val="auto"/>
                      <w:kern w:val="0"/>
                      <w:sz w:val="21"/>
                      <w:szCs w:val="21"/>
                      <w:lang w:val="en-US" w:eastAsia="zh-CN" w:bidi="ar"/>
                    </w:rPr>
                    <w:t>+二级活性炭吸附</w:t>
                  </w:r>
                  <w:r>
                    <w:rPr>
                      <w:rFonts w:hint="default" w:ascii="Times New Roman" w:hAnsi="Times New Roman" w:eastAsia="宋体" w:cs="Times New Roman"/>
                      <w:color w:val="auto"/>
                      <w:kern w:val="0"/>
                      <w:sz w:val="21"/>
                      <w:szCs w:val="21"/>
                      <w:lang w:val="en-US" w:eastAsia="zh-CN" w:bidi="ar"/>
                    </w:rPr>
                    <w:t>处理后经15m高排气筒（</w:t>
                  </w:r>
                  <w:r>
                    <w:rPr>
                      <w:rFonts w:hint="eastAsia" w:cs="Times New Roman"/>
                      <w:color w:val="auto"/>
                      <w:kern w:val="0"/>
                      <w:sz w:val="21"/>
                      <w:szCs w:val="21"/>
                      <w:lang w:val="en-US" w:eastAsia="zh-CN" w:bidi="ar"/>
                    </w:rPr>
                    <w:t>DA002</w:t>
                  </w:r>
                  <w:r>
                    <w:rPr>
                      <w:rFonts w:hint="default" w:ascii="Times New Roman" w:hAnsi="Times New Roman" w:eastAsia="宋体" w:cs="Times New Roman"/>
                      <w:color w:val="auto"/>
                      <w:kern w:val="0"/>
                      <w:sz w:val="21"/>
                      <w:szCs w:val="21"/>
                      <w:lang w:val="en-US" w:eastAsia="zh-CN" w:bidi="ar"/>
                    </w:rPr>
                    <w:t>）排放</w:t>
                  </w:r>
                </w:p>
              </w:tc>
            </w:tr>
            <w:tr w14:paraId="6495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C38D1F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10545211">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厨房油烟废气</w:t>
                  </w:r>
                </w:p>
              </w:tc>
              <w:tc>
                <w:tcPr>
                  <w:tcW w:w="1708" w:type="pct"/>
                  <w:noWrap w:val="0"/>
                  <w:vAlign w:val="center"/>
                </w:tcPr>
                <w:p w14:paraId="09D2ABDE">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油烟</w:t>
                  </w:r>
                </w:p>
              </w:tc>
              <w:tc>
                <w:tcPr>
                  <w:tcW w:w="1483" w:type="pct"/>
                  <w:noWrap w:val="0"/>
                  <w:vAlign w:val="center"/>
                </w:tcPr>
                <w:p w14:paraId="2882ABF3">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经</w:t>
                  </w:r>
                  <w:r>
                    <w:rPr>
                      <w:rFonts w:hint="eastAsia" w:ascii="Times New Roman" w:hAnsi="Times New Roman" w:eastAsia="宋体" w:cs="Times New Roman"/>
                      <w:color w:val="auto"/>
                      <w:kern w:val="0"/>
                      <w:sz w:val="21"/>
                      <w:szCs w:val="21"/>
                      <w:lang w:val="en-US" w:eastAsia="zh-CN" w:bidi="ar"/>
                    </w:rPr>
                    <w:t>专用排烟管</w:t>
                  </w:r>
                  <w:r>
                    <w:rPr>
                      <w:rFonts w:hint="eastAsia" w:cs="Times New Roman"/>
                      <w:color w:val="auto"/>
                      <w:kern w:val="0"/>
                      <w:sz w:val="21"/>
                      <w:szCs w:val="21"/>
                      <w:lang w:val="en-US" w:eastAsia="zh-CN" w:bidi="ar"/>
                    </w:rPr>
                    <w:t>（DA004）</w:t>
                  </w:r>
                  <w:r>
                    <w:rPr>
                      <w:rFonts w:hint="default" w:ascii="Times New Roman" w:hAnsi="Times New Roman" w:eastAsia="宋体" w:cs="Times New Roman"/>
                      <w:color w:val="auto"/>
                      <w:kern w:val="0"/>
                      <w:sz w:val="21"/>
                      <w:szCs w:val="21"/>
                      <w:lang w:val="en-US" w:eastAsia="zh-CN" w:bidi="ar"/>
                    </w:rPr>
                    <w:t>高空排放</w:t>
                  </w:r>
                </w:p>
              </w:tc>
            </w:tr>
            <w:tr w14:paraId="7895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4B92D8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674C93B4">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污水处理站</w:t>
                  </w:r>
                </w:p>
              </w:tc>
              <w:tc>
                <w:tcPr>
                  <w:tcW w:w="1708" w:type="pct"/>
                  <w:noWrap w:val="0"/>
                  <w:vAlign w:val="center"/>
                </w:tcPr>
                <w:p w14:paraId="1D29B2C0">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氨、硫化氢、臭气浓度</w:t>
                  </w:r>
                </w:p>
              </w:tc>
              <w:tc>
                <w:tcPr>
                  <w:tcW w:w="1483" w:type="pct"/>
                  <w:noWrap w:val="0"/>
                  <w:vAlign w:val="center"/>
                </w:tcPr>
                <w:p w14:paraId="5B65BDD7">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加盖密闭、加强通风措施后无组织排放</w:t>
                  </w:r>
                </w:p>
              </w:tc>
            </w:tr>
            <w:tr w14:paraId="3DF6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67F235D7">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废水</w:t>
                  </w:r>
                </w:p>
              </w:tc>
              <w:tc>
                <w:tcPr>
                  <w:tcW w:w="1398" w:type="pct"/>
                  <w:noWrap w:val="0"/>
                  <w:vAlign w:val="center"/>
                </w:tcPr>
                <w:p w14:paraId="7EEEC4FC">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厂内员工生活污水</w:t>
                  </w:r>
                </w:p>
              </w:tc>
              <w:tc>
                <w:tcPr>
                  <w:tcW w:w="1708" w:type="pct"/>
                  <w:noWrap w:val="0"/>
                  <w:vAlign w:val="center"/>
                </w:tcPr>
                <w:p w14:paraId="4F6C13E0">
                  <w:pPr>
                    <w:adjustRightInd w:val="0"/>
                    <w:snapToGrid w:val="0"/>
                    <w:spacing w:line="240" w:lineRule="auto"/>
                    <w:jc w:val="center"/>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pH、COD</w:t>
                  </w:r>
                  <w:r>
                    <w:rPr>
                      <w:rFonts w:hint="default" w:ascii="Times New Roman" w:hAnsi="Times New Roman" w:eastAsia="宋体" w:cs="Times New Roman"/>
                      <w:bCs/>
                      <w:color w:val="auto"/>
                      <w:sz w:val="21"/>
                      <w:szCs w:val="21"/>
                      <w:vertAlign w:val="subscript"/>
                    </w:rPr>
                    <w:t>Cr</w:t>
                  </w:r>
                  <w:r>
                    <w:rPr>
                      <w:rFonts w:hint="default" w:ascii="Times New Roman" w:hAnsi="Times New Roman" w:eastAsia="宋体" w:cs="Times New Roman"/>
                      <w:bCs/>
                      <w:color w:val="auto"/>
                      <w:sz w:val="21"/>
                      <w:szCs w:val="21"/>
                    </w:rPr>
                    <w:t>、BOD</w:t>
                  </w:r>
                  <w:r>
                    <w:rPr>
                      <w:rFonts w:hint="default" w:ascii="Times New Roman" w:hAnsi="Times New Roman" w:eastAsia="宋体" w:cs="Times New Roman"/>
                      <w:bCs/>
                      <w:color w:val="auto"/>
                      <w:sz w:val="21"/>
                      <w:szCs w:val="21"/>
                      <w:vertAlign w:val="subscript"/>
                    </w:rPr>
                    <w:t>5</w:t>
                  </w:r>
                  <w:r>
                    <w:rPr>
                      <w:rFonts w:hint="default" w:ascii="Times New Roman" w:hAnsi="Times New Roman" w:eastAsia="宋体" w:cs="Times New Roman"/>
                      <w:bCs/>
                      <w:color w:val="auto"/>
                      <w:sz w:val="21"/>
                      <w:szCs w:val="21"/>
                    </w:rPr>
                    <w:t>、SS、氨氮、</w:t>
                  </w:r>
                  <w:r>
                    <w:rPr>
                      <w:rFonts w:hint="eastAsia" w:ascii="Times New Roman" w:hAnsi="Times New Roman" w:eastAsia="宋体" w:cs="Times New Roman"/>
                      <w:bCs/>
                      <w:color w:val="auto"/>
                      <w:sz w:val="21"/>
                      <w:szCs w:val="21"/>
                      <w:lang w:val="en-US" w:eastAsia="zh-CN"/>
                    </w:rPr>
                    <w:t>总磷、</w:t>
                  </w:r>
                  <w:r>
                    <w:rPr>
                      <w:rFonts w:hint="eastAsia" w:cs="Times New Roman"/>
                      <w:bCs/>
                      <w:color w:val="auto"/>
                      <w:sz w:val="21"/>
                      <w:szCs w:val="21"/>
                      <w:lang w:val="en-US" w:eastAsia="zh-CN"/>
                    </w:rPr>
                    <w:t>动植物油</w:t>
                  </w:r>
                </w:p>
              </w:tc>
              <w:tc>
                <w:tcPr>
                  <w:tcW w:w="1483" w:type="pct"/>
                  <w:noWrap w:val="0"/>
                  <w:vAlign w:val="center"/>
                </w:tcPr>
                <w:p w14:paraId="0487BF6F">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经三级化粪池</w:t>
                  </w:r>
                  <w:r>
                    <w:rPr>
                      <w:rFonts w:hint="eastAsia" w:ascii="Times New Roman" w:hAnsi="Times New Roman" w:eastAsia="宋体" w:cs="Times New Roman"/>
                      <w:bCs/>
                      <w:color w:val="auto"/>
                      <w:sz w:val="21"/>
                      <w:szCs w:val="21"/>
                      <w:lang w:val="en-US" w:eastAsia="zh-CN"/>
                    </w:rPr>
                    <w:t>+隔油隔渣池</w:t>
                  </w:r>
                  <w:r>
                    <w:rPr>
                      <w:rFonts w:hint="default" w:ascii="Times New Roman" w:hAnsi="Times New Roman" w:eastAsia="宋体" w:cs="Times New Roman"/>
                      <w:bCs/>
                      <w:color w:val="auto"/>
                      <w:sz w:val="21"/>
                      <w:szCs w:val="21"/>
                      <w:lang w:val="en-US" w:eastAsia="zh-CN"/>
                    </w:rPr>
                    <w:t>处理后排入园区污水处理厂</w:t>
                  </w:r>
                </w:p>
              </w:tc>
            </w:tr>
            <w:tr w14:paraId="7E5A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0" w:type="pct"/>
                  <w:vMerge w:val="continue"/>
                  <w:noWrap w:val="0"/>
                  <w:vAlign w:val="center"/>
                </w:tcPr>
                <w:p w14:paraId="1CE32B62">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710629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color w:val="auto"/>
                      <w:kern w:val="2"/>
                      <w:sz w:val="21"/>
                      <w:szCs w:val="21"/>
                      <w:highlight w:val="none"/>
                      <w:lang w:val="en-US" w:eastAsia="zh-CN"/>
                    </w:rPr>
                    <w:t>外排生产废水</w:t>
                  </w:r>
                </w:p>
              </w:tc>
              <w:tc>
                <w:tcPr>
                  <w:tcW w:w="1708" w:type="pct"/>
                  <w:noWrap w:val="0"/>
                  <w:vAlign w:val="center"/>
                </w:tcPr>
                <w:p w14:paraId="41DFF39F">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sz w:val="21"/>
                      <w:szCs w:val="21"/>
                      <w:lang w:val="en-US"/>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eastAsia" w:ascii="Times New Roman" w:hAnsi="Times New Roman" w:cs="Times New Roman"/>
                      <w:color w:val="auto"/>
                      <w:sz w:val="21"/>
                      <w:szCs w:val="21"/>
                      <w:highlight w:val="none"/>
                      <w:lang w:val="en-US" w:eastAsia="zh-CN"/>
                    </w:rPr>
                    <w:t>BOD</w:t>
                  </w:r>
                  <w:r>
                    <w:rPr>
                      <w:rFonts w:hint="eastAsia" w:ascii="Times New Roman" w:hAnsi="Times New Roman" w:cs="Times New Roman"/>
                      <w:color w:val="auto"/>
                      <w:sz w:val="21"/>
                      <w:szCs w:val="21"/>
                      <w:highlight w:val="none"/>
                      <w:vertAlign w:val="subscript"/>
                      <w:lang w:val="en-US" w:eastAsia="zh-CN"/>
                    </w:rPr>
                    <w:t>5</w:t>
                  </w:r>
                  <w:r>
                    <w:rPr>
                      <w:rFonts w:hint="eastAsia" w:ascii="Times New Roman" w:hAnsi="Times New Roman" w:cs="Times New Roman"/>
                      <w:color w:val="auto"/>
                      <w:sz w:val="21"/>
                      <w:szCs w:val="21"/>
                      <w:highlight w:val="none"/>
                      <w:lang w:val="en-US" w:eastAsia="zh-CN"/>
                    </w:rPr>
                    <w:t>、NH</w:t>
                  </w:r>
                  <w:r>
                    <w:rPr>
                      <w:rFonts w:hint="eastAsia" w:ascii="Times New Roman" w:hAnsi="Times New Roman" w:cs="Times New Roman"/>
                      <w:color w:val="auto"/>
                      <w:sz w:val="21"/>
                      <w:szCs w:val="21"/>
                      <w:highlight w:val="none"/>
                      <w:vertAlign w:val="subscript"/>
                      <w:lang w:val="en-US" w:eastAsia="zh-CN"/>
                    </w:rPr>
                    <w:t>3</w:t>
                  </w:r>
                  <w:r>
                    <w:rPr>
                      <w:rFonts w:hint="eastAsia"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SS、石油类、氟化物、LAS</w:t>
                  </w:r>
                  <w:r>
                    <w:rPr>
                      <w:rFonts w:hint="eastAsia" w:ascii="Times New Roman" w:hAnsi="Times New Roman" w:cs="Times New Roman"/>
                      <w:color w:val="auto"/>
                      <w:kern w:val="2"/>
                      <w:sz w:val="21"/>
                      <w:szCs w:val="21"/>
                      <w:highlight w:val="none"/>
                      <w:lang w:eastAsia="zh-CN"/>
                    </w:rPr>
                    <w:t>、</w:t>
                  </w:r>
                  <w:r>
                    <w:rPr>
                      <w:rFonts w:hint="eastAsia" w:ascii="Times New Roman" w:hAnsi="Times New Roman" w:cs="Times New Roman"/>
                      <w:color w:val="auto"/>
                      <w:kern w:val="2"/>
                      <w:sz w:val="21"/>
                      <w:szCs w:val="21"/>
                      <w:highlight w:val="none"/>
                      <w:lang w:val="en-US" w:eastAsia="zh-CN"/>
                    </w:rPr>
                    <w:t>TN、TP、总铝</w:t>
                  </w:r>
                </w:p>
              </w:tc>
              <w:tc>
                <w:tcPr>
                  <w:tcW w:w="1483" w:type="pct"/>
                  <w:noWrap w:val="0"/>
                  <w:vAlign w:val="center"/>
                </w:tcPr>
                <w:p w14:paraId="0BE1F31A">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经自建污水处理站处理后</w:t>
                  </w:r>
                  <w:r>
                    <w:rPr>
                      <w:rFonts w:hint="eastAsia" w:ascii="Times New Roman" w:hAnsi="Times New Roman" w:eastAsia="宋体" w:cs="Times New Roman"/>
                      <w:bCs/>
                      <w:color w:val="auto"/>
                      <w:sz w:val="21"/>
                      <w:szCs w:val="21"/>
                      <w:lang w:val="en-US" w:eastAsia="zh-CN"/>
                    </w:rPr>
                    <w:t>排入</w:t>
                  </w:r>
                  <w:r>
                    <w:rPr>
                      <w:rFonts w:hint="default" w:ascii="Times New Roman" w:hAnsi="Times New Roman" w:eastAsia="宋体" w:cs="Times New Roman"/>
                      <w:bCs/>
                      <w:color w:val="auto"/>
                      <w:sz w:val="21"/>
                      <w:szCs w:val="21"/>
                      <w:lang w:val="en-US" w:eastAsia="zh-CN"/>
                    </w:rPr>
                    <w:t>园区污水处理厂</w:t>
                  </w:r>
                </w:p>
              </w:tc>
            </w:tr>
            <w:tr w14:paraId="4BC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58C8AD9E">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固体废物</w:t>
                  </w:r>
                </w:p>
              </w:tc>
              <w:tc>
                <w:tcPr>
                  <w:tcW w:w="1398" w:type="pct"/>
                  <w:vMerge w:val="restart"/>
                  <w:noWrap w:val="0"/>
                  <w:vAlign w:val="center"/>
                </w:tcPr>
                <w:p w14:paraId="0D6FDFCE">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员工生活办公</w:t>
                  </w:r>
                </w:p>
              </w:tc>
              <w:tc>
                <w:tcPr>
                  <w:tcW w:w="1708" w:type="pct"/>
                  <w:noWrap w:val="0"/>
                  <w:vAlign w:val="center"/>
                </w:tcPr>
                <w:p w14:paraId="772B7D70">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生活垃圾</w:t>
                  </w:r>
                </w:p>
              </w:tc>
              <w:tc>
                <w:tcPr>
                  <w:tcW w:w="1483" w:type="pct"/>
                  <w:noWrap w:val="0"/>
                  <w:vAlign w:val="center"/>
                </w:tcPr>
                <w:p w14:paraId="23484A9D">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由环卫部门收集处理</w:t>
                  </w:r>
                </w:p>
              </w:tc>
            </w:tr>
            <w:tr w14:paraId="3D14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062E19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continue"/>
                  <w:noWrap w:val="0"/>
                  <w:vAlign w:val="center"/>
                </w:tcPr>
                <w:p w14:paraId="0BBB6768">
                  <w:pPr>
                    <w:adjustRightInd w:val="0"/>
                    <w:snapToGrid w:val="0"/>
                    <w:spacing w:line="240" w:lineRule="auto"/>
                    <w:jc w:val="center"/>
                    <w:rPr>
                      <w:rFonts w:hint="default" w:ascii="Times New Roman" w:hAnsi="Times New Roman" w:eastAsia="宋体" w:cs="Times New Roman"/>
                      <w:bCs/>
                      <w:color w:val="auto"/>
                      <w:sz w:val="21"/>
                      <w:szCs w:val="21"/>
                    </w:rPr>
                  </w:pPr>
                </w:p>
              </w:tc>
              <w:tc>
                <w:tcPr>
                  <w:tcW w:w="1708" w:type="pct"/>
                  <w:noWrap w:val="0"/>
                  <w:vAlign w:val="center"/>
                </w:tcPr>
                <w:p w14:paraId="5BB65DF1">
                  <w:pPr>
                    <w:adjustRightInd w:val="0"/>
                    <w:snapToGrid w:val="0"/>
                    <w:spacing w:line="240" w:lineRule="auto"/>
                    <w:jc w:val="center"/>
                    <w:rPr>
                      <w:rFonts w:hint="default" w:ascii="Times New Roman" w:hAnsi="Times New Roman" w:eastAsia="宋体" w:cs="Times New Roman"/>
                      <w:bCs/>
                      <w:color w:val="auto"/>
                      <w:sz w:val="21"/>
                      <w:szCs w:val="21"/>
                    </w:rPr>
                  </w:pPr>
                  <w:r>
                    <w:rPr>
                      <w:rFonts w:hint="eastAsia"/>
                      <w:color w:val="auto"/>
                      <w:sz w:val="21"/>
                      <w:szCs w:val="21"/>
                      <w:lang w:val="en-US" w:eastAsia="zh-CN"/>
                    </w:rPr>
                    <w:t>废油脂</w:t>
                  </w:r>
                </w:p>
              </w:tc>
              <w:tc>
                <w:tcPr>
                  <w:tcW w:w="1483" w:type="pct"/>
                  <w:noWrap w:val="0"/>
                  <w:vAlign w:val="center"/>
                </w:tcPr>
                <w:p w14:paraId="5CE98E17">
                  <w:pPr>
                    <w:adjustRightInd w:val="0"/>
                    <w:snapToGrid w:val="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交</w:t>
                  </w:r>
                  <w:r>
                    <w:rPr>
                      <w:rFonts w:hint="default" w:ascii="Times New Roman" w:hAnsi="Times New Roman" w:eastAsia="宋体" w:cs="Times New Roman"/>
                      <w:color w:val="auto"/>
                      <w:sz w:val="21"/>
                      <w:szCs w:val="21"/>
                      <w:lang w:val="en-US" w:eastAsia="zh-CN"/>
                    </w:rPr>
                    <w:t>专业单位回收处置</w:t>
                  </w:r>
                </w:p>
              </w:tc>
            </w:tr>
            <w:tr w14:paraId="185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1DC2316">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5C1B9BE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rPr>
                    <w:t>自建污水处理站</w:t>
                  </w:r>
                </w:p>
              </w:tc>
              <w:tc>
                <w:tcPr>
                  <w:tcW w:w="1708" w:type="pct"/>
                  <w:noWrap w:val="0"/>
                  <w:vAlign w:val="center"/>
                </w:tcPr>
                <w:p w14:paraId="6A416A03">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废水处理站污泥、</w:t>
                  </w:r>
                  <w:r>
                    <w:rPr>
                      <w:rFonts w:hint="default" w:ascii="Times New Roman" w:hAnsi="Times New Roman" w:cs="Times New Roman"/>
                      <w:b w:val="0"/>
                      <w:bCs w:val="0"/>
                      <w:color w:val="auto"/>
                      <w:kern w:val="2"/>
                      <w:sz w:val="21"/>
                      <w:szCs w:val="21"/>
                      <w:highlight w:val="none"/>
                      <w:lang w:eastAsia="zh-CN"/>
                    </w:rPr>
                    <w:t>废</w:t>
                  </w:r>
                  <w:r>
                    <w:rPr>
                      <w:rFonts w:hint="default" w:ascii="Times New Roman" w:hAnsi="Times New Roman" w:cs="Times New Roman"/>
                      <w:b w:val="0"/>
                      <w:bCs w:val="0"/>
                      <w:color w:val="auto"/>
                      <w:kern w:val="2"/>
                      <w:sz w:val="21"/>
                      <w:szCs w:val="21"/>
                      <w:highlight w:val="none"/>
                    </w:rPr>
                    <w:t>pH调整剂</w:t>
                  </w:r>
                  <w:r>
                    <w:rPr>
                      <w:rFonts w:hint="default" w:ascii="Times New Roman" w:hAnsi="Times New Roman" w:cs="Times New Roman"/>
                      <w:b w:val="0"/>
                      <w:bCs w:val="0"/>
                      <w:color w:val="auto"/>
                      <w:kern w:val="2"/>
                      <w:sz w:val="21"/>
                      <w:szCs w:val="21"/>
                      <w:highlight w:val="none"/>
                      <w:lang w:eastAsia="zh-CN"/>
                    </w:rPr>
                    <w:t>包装桶</w:t>
                  </w:r>
                </w:p>
              </w:tc>
              <w:tc>
                <w:tcPr>
                  <w:tcW w:w="1483" w:type="pct"/>
                  <w:vMerge w:val="restart"/>
                  <w:noWrap w:val="0"/>
                  <w:vAlign w:val="center"/>
                </w:tcPr>
                <w:p w14:paraId="18F782F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eastAsia" w:cs="Times New Roman"/>
                      <w:i w:val="0"/>
                      <w:iCs w:val="0"/>
                      <w:color w:val="auto"/>
                      <w:kern w:val="0"/>
                      <w:sz w:val="21"/>
                      <w:szCs w:val="21"/>
                      <w:highlight w:val="none"/>
                      <w:u w:val="none"/>
                      <w:lang w:val="en-US" w:eastAsia="zh-CN" w:bidi="ar"/>
                    </w:rPr>
                    <w:t>经收集后</w:t>
                  </w:r>
                  <w:r>
                    <w:rPr>
                      <w:rFonts w:hint="default" w:ascii="Times New Roman" w:hAnsi="Times New Roman" w:eastAsia="宋体" w:cs="Times New Roman"/>
                      <w:bCs/>
                      <w:color w:val="auto"/>
                      <w:sz w:val="21"/>
                      <w:szCs w:val="21"/>
                      <w:lang w:val="en-US" w:eastAsia="zh-CN"/>
                    </w:rPr>
                    <w:t>暂存</w:t>
                  </w:r>
                  <w:r>
                    <w:rPr>
                      <w:rFonts w:hint="eastAsia" w:ascii="Times New Roman" w:hAnsi="Times New Roman" w:eastAsia="宋体" w:cs="Times New Roman"/>
                      <w:bCs/>
                      <w:color w:val="auto"/>
                      <w:sz w:val="21"/>
                      <w:szCs w:val="21"/>
                      <w:lang w:val="en-US" w:eastAsia="zh-CN"/>
                    </w:rPr>
                    <w:t>于</w:t>
                  </w:r>
                  <w:r>
                    <w:rPr>
                      <w:rFonts w:hint="eastAsia" w:cs="Times New Roman"/>
                      <w:bCs/>
                      <w:color w:val="auto"/>
                      <w:sz w:val="21"/>
                      <w:szCs w:val="21"/>
                      <w:lang w:val="en-US" w:eastAsia="zh-CN"/>
                    </w:rPr>
                    <w:t>危险废物贮存间</w:t>
                  </w:r>
                  <w:r>
                    <w:rPr>
                      <w:rFonts w:hint="default" w:ascii="Times New Roman" w:hAnsi="Times New Roman" w:eastAsia="宋体" w:cs="Times New Roman"/>
                      <w:bCs/>
                      <w:color w:val="auto"/>
                      <w:sz w:val="21"/>
                      <w:szCs w:val="21"/>
                      <w:lang w:val="en-US" w:eastAsia="zh-CN"/>
                    </w:rPr>
                    <w:t>，交有危险废物处理资质单位处理</w:t>
                  </w:r>
                </w:p>
              </w:tc>
            </w:tr>
            <w:tr w14:paraId="4545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F0D996C">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1DF68B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预脱脂池、脱脂池</w:t>
                  </w:r>
                </w:p>
              </w:tc>
              <w:tc>
                <w:tcPr>
                  <w:tcW w:w="1708" w:type="pct"/>
                  <w:tcBorders>
                    <w:bottom w:val="single" w:color="000000" w:sz="4" w:space="0"/>
                  </w:tcBorders>
                  <w:noWrap w:val="0"/>
                  <w:vAlign w:val="center"/>
                </w:tcPr>
                <w:p w14:paraId="3C42B82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color w:val="auto"/>
                      <w:kern w:val="2"/>
                      <w:sz w:val="21"/>
                      <w:szCs w:val="21"/>
                      <w:highlight w:val="none"/>
                      <w:lang w:eastAsia="zh-CN"/>
                    </w:rPr>
                    <w:t>废</w:t>
                  </w:r>
                  <w:r>
                    <w:rPr>
                      <w:rFonts w:hint="eastAsia" w:ascii="Times New Roman" w:hAnsi="Times New Roman" w:cs="Times New Roman"/>
                      <w:color w:val="auto"/>
                      <w:kern w:val="2"/>
                      <w:sz w:val="21"/>
                      <w:szCs w:val="21"/>
                      <w:highlight w:val="none"/>
                      <w:lang w:val="en-US" w:eastAsia="zh-CN"/>
                    </w:rPr>
                    <w:t>表面处理剂</w:t>
                  </w:r>
                  <w:r>
                    <w:rPr>
                      <w:rFonts w:hint="eastAsia" w:ascii="Times New Roman" w:hAnsi="Times New Roman" w:cs="Times New Roman"/>
                      <w:color w:val="auto"/>
                      <w:kern w:val="2"/>
                      <w:sz w:val="21"/>
                      <w:szCs w:val="21"/>
                      <w:highlight w:val="none"/>
                      <w:lang w:eastAsia="zh-CN"/>
                    </w:rPr>
                    <w:t>包装桶、</w:t>
                  </w:r>
                  <w:r>
                    <w:rPr>
                      <w:rFonts w:hint="eastAsia" w:ascii="Times New Roman" w:hAnsi="Times New Roman" w:cs="Times New Roman"/>
                      <w:color w:val="auto"/>
                      <w:kern w:val="2"/>
                      <w:sz w:val="21"/>
                      <w:szCs w:val="21"/>
                      <w:highlight w:val="none"/>
                      <w:lang w:val="en-US" w:eastAsia="zh-CN"/>
                    </w:rPr>
                    <w:t>预处理池泥渣及管道循环装置废物</w:t>
                  </w:r>
                </w:p>
              </w:tc>
              <w:tc>
                <w:tcPr>
                  <w:tcW w:w="1483" w:type="pct"/>
                  <w:vMerge w:val="continue"/>
                  <w:noWrap w:val="0"/>
                  <w:vAlign w:val="center"/>
                </w:tcPr>
                <w:p w14:paraId="190B223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3C4A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3DD1A02">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7FE962F4">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无铬钝化池</w:t>
                  </w:r>
                </w:p>
              </w:tc>
              <w:tc>
                <w:tcPr>
                  <w:tcW w:w="1708" w:type="pct"/>
                  <w:tcBorders>
                    <w:bottom w:val="single" w:color="000000" w:sz="4" w:space="0"/>
                  </w:tcBorders>
                  <w:noWrap w:val="0"/>
                  <w:vAlign w:val="center"/>
                </w:tcPr>
                <w:p w14:paraId="0E4E11C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eastAsia="zh-CN"/>
                    </w:rPr>
                    <w:t>废</w:t>
                  </w:r>
                  <w:r>
                    <w:rPr>
                      <w:rFonts w:hint="eastAsia" w:ascii="Times New Roman" w:hAnsi="Times New Roman" w:cs="Times New Roman"/>
                      <w:color w:val="auto"/>
                      <w:kern w:val="2"/>
                      <w:sz w:val="21"/>
                      <w:szCs w:val="21"/>
                      <w:highlight w:val="none"/>
                      <w:lang w:val="en-US" w:eastAsia="zh-CN"/>
                    </w:rPr>
                    <w:t>表面处理剂</w:t>
                  </w:r>
                  <w:r>
                    <w:rPr>
                      <w:rFonts w:hint="eastAsia" w:ascii="Times New Roman" w:hAnsi="Times New Roman" w:cs="Times New Roman"/>
                      <w:color w:val="auto"/>
                      <w:kern w:val="2"/>
                      <w:sz w:val="21"/>
                      <w:szCs w:val="21"/>
                      <w:highlight w:val="none"/>
                      <w:lang w:eastAsia="zh-CN"/>
                    </w:rPr>
                    <w:t>包装桶</w:t>
                  </w:r>
                  <w:r>
                    <w:rPr>
                      <w:rFonts w:hint="default" w:ascii="Times New Roman" w:hAnsi="Times New Roman" w:cs="Times New Roman"/>
                      <w:b w:val="0"/>
                      <w:bCs w:val="0"/>
                      <w:color w:val="auto"/>
                      <w:kern w:val="2"/>
                      <w:sz w:val="21"/>
                      <w:szCs w:val="21"/>
                      <w:highlight w:val="none"/>
                      <w:lang w:eastAsia="zh-CN"/>
                    </w:rPr>
                    <w:t>、</w:t>
                  </w:r>
                  <w:r>
                    <w:rPr>
                      <w:rFonts w:hint="eastAsia" w:ascii="Times New Roman" w:hAnsi="Times New Roman" w:cs="Times New Roman"/>
                      <w:b w:val="0"/>
                      <w:bCs w:val="0"/>
                      <w:color w:val="auto"/>
                      <w:kern w:val="2"/>
                      <w:sz w:val="21"/>
                      <w:szCs w:val="21"/>
                      <w:highlight w:val="none"/>
                      <w:lang w:val="en-US" w:eastAsia="zh-CN"/>
                    </w:rPr>
                    <w:t>无铬钝化池</w:t>
                  </w:r>
                  <w:r>
                    <w:rPr>
                      <w:rFonts w:hint="default" w:ascii="Times New Roman" w:hAnsi="Times New Roman" w:cs="Times New Roman"/>
                      <w:color w:val="auto"/>
                      <w:kern w:val="2"/>
                      <w:sz w:val="21"/>
                      <w:szCs w:val="21"/>
                      <w:highlight w:val="none"/>
                      <w:lang w:val="en-US" w:eastAsia="zh-CN"/>
                    </w:rPr>
                    <w:t>废槽液</w:t>
                  </w:r>
                </w:p>
              </w:tc>
              <w:tc>
                <w:tcPr>
                  <w:tcW w:w="1483" w:type="pct"/>
                  <w:vMerge w:val="continue"/>
                  <w:noWrap w:val="0"/>
                  <w:vAlign w:val="center"/>
                </w:tcPr>
                <w:p w14:paraId="6E74D96D">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623F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10" w:type="pct"/>
                  <w:vMerge w:val="continue"/>
                  <w:noWrap w:val="0"/>
                  <w:vAlign w:val="center"/>
                </w:tcPr>
                <w:p w14:paraId="08FA54A8">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722265BD">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rPr>
                    <w:t>设备维修保养</w:t>
                  </w:r>
                </w:p>
              </w:tc>
              <w:tc>
                <w:tcPr>
                  <w:tcW w:w="1708" w:type="pct"/>
                  <w:tcBorders>
                    <w:bottom w:val="single" w:color="000000" w:sz="4" w:space="0"/>
                  </w:tcBorders>
                  <w:noWrap w:val="0"/>
                  <w:vAlign w:val="center"/>
                </w:tcPr>
                <w:p w14:paraId="7F2304F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废机油桶、废机油</w:t>
                  </w:r>
                  <w:r>
                    <w:rPr>
                      <w:rFonts w:hint="eastAsia" w:ascii="Times New Roman" w:hAnsi="Times New Roman" w:cs="Times New Roman"/>
                      <w:color w:val="auto"/>
                      <w:kern w:val="2"/>
                      <w:sz w:val="21"/>
                      <w:szCs w:val="21"/>
                      <w:highlight w:val="none"/>
                      <w:lang w:eastAsia="zh-CN"/>
                    </w:rPr>
                    <w:t>、</w:t>
                  </w:r>
                  <w:r>
                    <w:rPr>
                      <w:rFonts w:hint="eastAsia" w:ascii="Times New Roman" w:hAnsi="Times New Roman" w:cs="Times New Roman"/>
                      <w:color w:val="auto"/>
                      <w:kern w:val="2"/>
                      <w:sz w:val="21"/>
                      <w:szCs w:val="21"/>
                      <w:highlight w:val="none"/>
                      <w:lang w:val="en-US" w:eastAsia="zh-CN"/>
                    </w:rPr>
                    <w:t>废含油手套抹布</w:t>
                  </w:r>
                </w:p>
              </w:tc>
              <w:tc>
                <w:tcPr>
                  <w:tcW w:w="1483" w:type="pct"/>
                  <w:vMerge w:val="continue"/>
                  <w:noWrap w:val="0"/>
                  <w:vAlign w:val="center"/>
                </w:tcPr>
                <w:p w14:paraId="73BD03B1">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3482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BFA88B7">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0EC36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钣金成型、喷</w:t>
                  </w:r>
                  <w:r>
                    <w:rPr>
                      <w:rFonts w:hint="eastAsia" w:cs="Times New Roman"/>
                      <w:i w:val="0"/>
                      <w:iCs w:val="0"/>
                      <w:color w:val="auto"/>
                      <w:kern w:val="0"/>
                      <w:sz w:val="21"/>
                      <w:szCs w:val="21"/>
                      <w:highlight w:val="none"/>
                      <w:u w:val="none"/>
                      <w:lang w:val="en-US" w:eastAsia="zh-CN" w:bidi="ar"/>
                    </w:rPr>
                    <w:t>涂</w:t>
                  </w:r>
                </w:p>
              </w:tc>
              <w:tc>
                <w:tcPr>
                  <w:tcW w:w="1708" w:type="pct"/>
                  <w:tcBorders>
                    <w:bottom w:val="single" w:color="000000" w:sz="4" w:space="0"/>
                  </w:tcBorders>
                  <w:noWrap w:val="0"/>
                  <w:vAlign w:val="center"/>
                </w:tcPr>
                <w:p w14:paraId="4FEF7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废液压油</w:t>
                  </w:r>
                  <w:r>
                    <w:rPr>
                      <w:rFonts w:hint="eastAsia" w:ascii="Times New Roman" w:hAnsi="Times New Roman" w:eastAsia="宋体" w:cs="Times New Roman"/>
                      <w:i w:val="0"/>
                      <w:iCs w:val="0"/>
                      <w:color w:val="auto"/>
                      <w:kern w:val="0"/>
                      <w:sz w:val="21"/>
                      <w:szCs w:val="21"/>
                      <w:highlight w:val="none"/>
                      <w:u w:val="none"/>
                      <w:lang w:val="en-US" w:eastAsia="zh-CN" w:bidi="ar"/>
                    </w:rPr>
                    <w:t>、废原料桶</w:t>
                  </w:r>
                  <w:r>
                    <w:rPr>
                      <w:rFonts w:hint="eastAsia" w:cs="Times New Roman"/>
                      <w:i w:val="0"/>
                      <w:iCs w:val="0"/>
                      <w:color w:val="auto"/>
                      <w:kern w:val="0"/>
                      <w:sz w:val="21"/>
                      <w:szCs w:val="21"/>
                      <w:highlight w:val="none"/>
                      <w:u w:val="none"/>
                      <w:lang w:val="en-US" w:eastAsia="zh-CN" w:bidi="ar"/>
                    </w:rPr>
                    <w:t>、废粉末涂料</w:t>
                  </w:r>
                </w:p>
              </w:tc>
              <w:tc>
                <w:tcPr>
                  <w:tcW w:w="1483" w:type="pct"/>
                  <w:vMerge w:val="continue"/>
                  <w:noWrap w:val="0"/>
                  <w:vAlign w:val="center"/>
                </w:tcPr>
                <w:p w14:paraId="28F41C9E">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656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F1D499E">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top w:val="single" w:color="000000" w:sz="4" w:space="0"/>
                  </w:tcBorders>
                  <w:noWrap w:val="0"/>
                  <w:vAlign w:val="center"/>
                </w:tcPr>
                <w:p w14:paraId="1A54130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机加工</w:t>
                  </w:r>
                </w:p>
              </w:tc>
              <w:tc>
                <w:tcPr>
                  <w:tcW w:w="1708" w:type="pct"/>
                  <w:tcBorders>
                    <w:top w:val="single" w:color="000000" w:sz="4" w:space="0"/>
                  </w:tcBorders>
                  <w:noWrap w:val="0"/>
                  <w:vAlign w:val="center"/>
                </w:tcPr>
                <w:p w14:paraId="2737898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包装废料</w:t>
                  </w:r>
                  <w:r>
                    <w:rPr>
                      <w:rFonts w:hint="default" w:ascii="Times New Roman" w:hAnsi="Times New Roman" w:cs="Times New Roman"/>
                      <w:color w:val="auto"/>
                      <w:kern w:val="2"/>
                      <w:sz w:val="21"/>
                      <w:szCs w:val="21"/>
                      <w:highlight w:val="none"/>
                    </w:rPr>
                    <w:t>、机加工边角料</w:t>
                  </w:r>
                </w:p>
              </w:tc>
              <w:tc>
                <w:tcPr>
                  <w:tcW w:w="1483" w:type="pct"/>
                  <w:vMerge w:val="restart"/>
                  <w:noWrap w:val="0"/>
                  <w:vAlign w:val="center"/>
                </w:tcPr>
                <w:p w14:paraId="7FB77C80">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eastAsia" w:cs="Times New Roman"/>
                      <w:i w:val="0"/>
                      <w:iCs w:val="0"/>
                      <w:color w:val="auto"/>
                      <w:kern w:val="0"/>
                      <w:sz w:val="21"/>
                      <w:szCs w:val="21"/>
                      <w:highlight w:val="none"/>
                      <w:u w:val="none"/>
                      <w:lang w:val="en-US" w:eastAsia="zh-CN" w:bidi="ar"/>
                    </w:rPr>
                    <w:t>经收集后暂存</w:t>
                  </w:r>
                  <w:r>
                    <w:rPr>
                      <w:rFonts w:hint="default" w:ascii="Times New Roman" w:hAnsi="Times New Roman" w:eastAsia="宋体" w:cs="Times New Roman"/>
                      <w:i w:val="0"/>
                      <w:iCs w:val="0"/>
                      <w:color w:val="auto"/>
                      <w:kern w:val="0"/>
                      <w:sz w:val="21"/>
                      <w:szCs w:val="21"/>
                      <w:highlight w:val="none"/>
                      <w:u w:val="none"/>
                      <w:lang w:val="en-US" w:eastAsia="zh-CN" w:bidi="ar"/>
                    </w:rPr>
                    <w:t>于一般固废暂存</w:t>
                  </w:r>
                  <w:r>
                    <w:rPr>
                      <w:rFonts w:hint="eastAsia" w:cs="Times New Roman"/>
                      <w:i w:val="0"/>
                      <w:iCs w:val="0"/>
                      <w:color w:val="auto"/>
                      <w:kern w:val="0"/>
                      <w:sz w:val="21"/>
                      <w:szCs w:val="21"/>
                      <w:highlight w:val="none"/>
                      <w:u w:val="none"/>
                      <w:lang w:val="en-US" w:eastAsia="zh-CN" w:bidi="ar"/>
                    </w:rPr>
                    <w:t>间，交专业单位回收处理</w:t>
                  </w:r>
                </w:p>
              </w:tc>
            </w:tr>
            <w:tr w14:paraId="27F7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88C21B0">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restart"/>
                  <w:noWrap w:val="0"/>
                  <w:vAlign w:val="center"/>
                </w:tcPr>
                <w:p w14:paraId="29FD5C02">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废气处理设施</w:t>
                  </w:r>
                </w:p>
              </w:tc>
              <w:tc>
                <w:tcPr>
                  <w:tcW w:w="1708" w:type="pct"/>
                  <w:noWrap w:val="0"/>
                  <w:vAlign w:val="center"/>
                </w:tcPr>
                <w:p w14:paraId="69D1949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2"/>
                      <w:sz w:val="21"/>
                      <w:szCs w:val="21"/>
                      <w:highlight w:val="none"/>
                      <w:lang w:val="en-US" w:eastAsia="zh-CN"/>
                    </w:rPr>
                    <w:t>废金属粉尘、废滤芯</w:t>
                  </w:r>
                </w:p>
              </w:tc>
              <w:tc>
                <w:tcPr>
                  <w:tcW w:w="1483" w:type="pct"/>
                  <w:vMerge w:val="continue"/>
                  <w:noWrap w:val="0"/>
                  <w:vAlign w:val="center"/>
                </w:tcPr>
                <w:p w14:paraId="447733A5">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p>
              </w:tc>
            </w:tr>
            <w:tr w14:paraId="7008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0B1148C">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continue"/>
                  <w:noWrap w:val="0"/>
                  <w:vAlign w:val="center"/>
                </w:tcPr>
                <w:p w14:paraId="5EB1EA6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cs="Times New Roman"/>
                      <w:color w:val="auto"/>
                      <w:kern w:val="2"/>
                      <w:sz w:val="21"/>
                      <w:szCs w:val="21"/>
                      <w:highlight w:val="none"/>
                      <w:lang w:val="en-US" w:eastAsia="zh-CN"/>
                    </w:rPr>
                  </w:pPr>
                </w:p>
              </w:tc>
              <w:tc>
                <w:tcPr>
                  <w:tcW w:w="1708" w:type="pct"/>
                  <w:noWrap w:val="0"/>
                  <w:vAlign w:val="center"/>
                </w:tcPr>
                <w:p w14:paraId="496A903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lang w:val="en-US"/>
                    </w:rPr>
                  </w:pPr>
                  <w:r>
                    <w:rPr>
                      <w:rFonts w:hint="eastAsia" w:cs="Times New Roman"/>
                      <w:color w:val="auto"/>
                      <w:kern w:val="2"/>
                      <w:sz w:val="21"/>
                      <w:szCs w:val="21"/>
                      <w:highlight w:val="none"/>
                      <w:lang w:val="en-US" w:eastAsia="zh-CN"/>
                    </w:rPr>
                    <w:t>废过滤棉、废活性炭、喷淋废液及沉渣、喷枪清洗废液、废静电喷粉滤芯、废催化剂</w:t>
                  </w:r>
                </w:p>
              </w:tc>
              <w:tc>
                <w:tcPr>
                  <w:tcW w:w="1483" w:type="pct"/>
                  <w:noWrap w:val="0"/>
                  <w:vAlign w:val="center"/>
                </w:tcPr>
                <w:p w14:paraId="3A5A89A2">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i w:val="0"/>
                      <w:iCs w:val="0"/>
                      <w:color w:val="auto"/>
                      <w:kern w:val="0"/>
                      <w:sz w:val="21"/>
                      <w:szCs w:val="21"/>
                      <w:highlight w:val="none"/>
                      <w:u w:val="none"/>
                      <w:lang w:val="en-US" w:eastAsia="zh-CN" w:bidi="ar"/>
                    </w:rPr>
                    <w:t>经收集后</w:t>
                  </w:r>
                  <w:r>
                    <w:rPr>
                      <w:rFonts w:hint="default" w:ascii="Times New Roman" w:hAnsi="Times New Roman" w:eastAsia="宋体" w:cs="Times New Roman"/>
                      <w:bCs/>
                      <w:color w:val="auto"/>
                      <w:sz w:val="21"/>
                      <w:szCs w:val="21"/>
                      <w:lang w:val="en-US" w:eastAsia="zh-CN"/>
                    </w:rPr>
                    <w:t>暂存</w:t>
                  </w:r>
                  <w:r>
                    <w:rPr>
                      <w:rFonts w:hint="eastAsia" w:ascii="Times New Roman" w:hAnsi="Times New Roman" w:eastAsia="宋体" w:cs="Times New Roman"/>
                      <w:bCs/>
                      <w:color w:val="auto"/>
                      <w:sz w:val="21"/>
                      <w:szCs w:val="21"/>
                      <w:lang w:val="en-US" w:eastAsia="zh-CN"/>
                    </w:rPr>
                    <w:t>于</w:t>
                  </w:r>
                  <w:r>
                    <w:rPr>
                      <w:rFonts w:hint="eastAsia" w:cs="Times New Roman"/>
                      <w:bCs/>
                      <w:color w:val="auto"/>
                      <w:sz w:val="21"/>
                      <w:szCs w:val="21"/>
                      <w:lang w:val="en-US" w:eastAsia="zh-CN"/>
                    </w:rPr>
                    <w:t>危险废物贮存间</w:t>
                  </w:r>
                  <w:r>
                    <w:rPr>
                      <w:rFonts w:hint="default" w:ascii="Times New Roman" w:hAnsi="Times New Roman" w:eastAsia="宋体" w:cs="Times New Roman"/>
                      <w:bCs/>
                      <w:color w:val="auto"/>
                      <w:sz w:val="21"/>
                      <w:szCs w:val="21"/>
                      <w:lang w:val="en-US" w:eastAsia="zh-CN"/>
                    </w:rPr>
                    <w:t>，交有危险废物处理资质单位处理</w:t>
                  </w:r>
                </w:p>
              </w:tc>
            </w:tr>
            <w:tr w14:paraId="7A7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3862FFDA">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噪声</w:t>
                  </w:r>
                </w:p>
              </w:tc>
              <w:tc>
                <w:tcPr>
                  <w:tcW w:w="1398" w:type="pct"/>
                  <w:noWrap w:val="0"/>
                  <w:vAlign w:val="center"/>
                </w:tcPr>
                <w:p w14:paraId="7E00A2A8">
                  <w:pPr>
                    <w:adjustRightInd w:val="0"/>
                    <w:snapToGrid w:val="0"/>
                    <w:spacing w:line="240" w:lineRule="auto"/>
                    <w:jc w:val="center"/>
                    <w:rPr>
                      <w:rFonts w:hint="default" w:ascii="Times New Roman" w:hAnsi="Times New Roman" w:eastAsia="宋体" w:cs="Times New Roman"/>
                      <w:bCs/>
                      <w:color w:val="auto"/>
                      <w:sz w:val="21"/>
                      <w:szCs w:val="21"/>
                    </w:rPr>
                  </w:pPr>
                  <w:r>
                    <w:rPr>
                      <w:rFonts w:hint="eastAsia" w:cs="Times New Roman"/>
                      <w:color w:val="auto"/>
                      <w:sz w:val="21"/>
                      <w:szCs w:val="21"/>
                      <w:lang w:val="en-US" w:eastAsia="zh-CN"/>
                    </w:rPr>
                    <w:t>各类生产设备、</w:t>
                  </w:r>
                  <w:r>
                    <w:rPr>
                      <w:rFonts w:hint="default" w:ascii="Times New Roman" w:hAnsi="Times New Roman" w:eastAsia="宋体" w:cs="Times New Roman"/>
                      <w:color w:val="auto"/>
                      <w:sz w:val="21"/>
                      <w:szCs w:val="21"/>
                      <w:lang w:val="en-US" w:eastAsia="zh-CN"/>
                    </w:rPr>
                    <w:t>污水泵、</w:t>
                  </w:r>
                  <w:r>
                    <w:rPr>
                      <w:rFonts w:hint="eastAsia" w:cs="Times New Roman"/>
                      <w:color w:val="auto"/>
                      <w:sz w:val="21"/>
                      <w:szCs w:val="21"/>
                      <w:lang w:val="en-US" w:eastAsia="zh-CN"/>
                    </w:rPr>
                    <w:t>风机</w:t>
                  </w:r>
                  <w:r>
                    <w:rPr>
                      <w:rFonts w:hint="default" w:ascii="Times New Roman" w:hAnsi="Times New Roman" w:eastAsia="宋体" w:cs="Times New Roman"/>
                      <w:color w:val="auto"/>
                      <w:sz w:val="21"/>
                      <w:szCs w:val="21"/>
                      <w:lang w:val="en-US" w:eastAsia="zh-CN"/>
                    </w:rPr>
                    <w:t>等</w:t>
                  </w:r>
                  <w:r>
                    <w:rPr>
                      <w:rFonts w:hint="default" w:ascii="Times New Roman" w:hAnsi="Times New Roman" w:eastAsia="宋体" w:cs="Times New Roman"/>
                      <w:bCs/>
                      <w:color w:val="auto"/>
                      <w:sz w:val="21"/>
                      <w:szCs w:val="21"/>
                    </w:rPr>
                    <w:t>设备运行</w:t>
                  </w:r>
                </w:p>
              </w:tc>
              <w:tc>
                <w:tcPr>
                  <w:tcW w:w="1708" w:type="pct"/>
                  <w:noWrap w:val="0"/>
                  <w:vAlign w:val="center"/>
                </w:tcPr>
                <w:p w14:paraId="2F8B7D91">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噪声</w:t>
                  </w:r>
                </w:p>
              </w:tc>
              <w:tc>
                <w:tcPr>
                  <w:tcW w:w="1483" w:type="pct"/>
                  <w:noWrap w:val="0"/>
                  <w:vAlign w:val="center"/>
                </w:tcPr>
                <w:p w14:paraId="28EB1A6B">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基础减振、墙体隔声、距离衰减</w:t>
                  </w:r>
                </w:p>
              </w:tc>
            </w:tr>
          </w:tbl>
          <w:p w14:paraId="32CA5189">
            <w:pPr>
              <w:spacing w:line="360" w:lineRule="auto"/>
              <w:ind w:firstLine="720" w:firstLineChars="200"/>
              <w:rPr>
                <w:rFonts w:ascii="黑体" w:hAnsi="黑体" w:eastAsia="黑体"/>
                <w:snapToGrid w:val="0"/>
                <w:color w:val="auto"/>
                <w:sz w:val="36"/>
                <w:szCs w:val="36"/>
                <w:highlight w:val="none"/>
                <w:vertAlign w:val="baseline"/>
              </w:rPr>
            </w:pPr>
          </w:p>
        </w:tc>
      </w:tr>
      <w:tr w14:paraId="6A99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0" w:hRule="atLeast"/>
        </w:trPr>
        <w:tc>
          <w:tcPr>
            <w:tcW w:w="575" w:type="dxa"/>
            <w:noWrap w:val="0"/>
            <w:vAlign w:val="center"/>
          </w:tcPr>
          <w:p w14:paraId="3F62E2E6">
            <w:pPr>
              <w:pStyle w:val="45"/>
              <w:adjustRightInd w:val="0"/>
              <w:snapToGrid w:val="0"/>
              <w:spacing w:before="0" w:beforeAutospacing="0" w:after="0" w:afterAutospacing="0"/>
              <w:rPr>
                <w:rFonts w:ascii="黑体" w:hAnsi="黑体" w:eastAsia="黑体"/>
                <w:snapToGrid w:val="0"/>
                <w:color w:val="auto"/>
                <w:sz w:val="36"/>
                <w:szCs w:val="36"/>
                <w:highlight w:val="none"/>
                <w:vertAlign w:val="baseline"/>
              </w:rPr>
            </w:pPr>
            <w:r>
              <w:rPr>
                <w:rFonts w:hint="default" w:ascii="Times New Roman" w:hAnsi="Times New Roman" w:cs="Times New Roman"/>
                <w:bCs/>
                <w:color w:val="auto"/>
                <w:kern w:val="2"/>
                <w:szCs w:val="24"/>
                <w:highlight w:val="none"/>
              </w:rPr>
              <w:t>与项目有关的原有环境污染问题</w:t>
            </w:r>
          </w:p>
        </w:tc>
        <w:tc>
          <w:tcPr>
            <w:tcW w:w="8485" w:type="dxa"/>
            <w:noWrap w:val="0"/>
            <w:vAlign w:val="center"/>
          </w:tcPr>
          <w:p w14:paraId="4FB402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b/>
                <w:color w:val="auto"/>
                <w:sz w:val="24"/>
                <w:szCs w:val="21"/>
                <w:highlight w:val="none"/>
              </w:rPr>
              <w:t>1.</w:t>
            </w:r>
            <w:r>
              <w:rPr>
                <w:rFonts w:hint="default" w:ascii="Times New Roman" w:hAnsi="Times New Roman" w:eastAsia="宋体" w:cs="Times New Roman"/>
                <w:b/>
                <w:color w:val="auto"/>
                <w:sz w:val="24"/>
                <w:highlight w:val="none"/>
              </w:rPr>
              <w:t>与本项目有关的原有污染情况</w:t>
            </w:r>
          </w:p>
          <w:p w14:paraId="63EA80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1"/>
                <w:highlight w:val="none"/>
              </w:rPr>
              <w:t>本项目属新建项目，无与本项目有关的原有污染情况。</w:t>
            </w:r>
          </w:p>
          <w:p w14:paraId="1F4E134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2.园区现状污染源情况</w:t>
            </w:r>
          </w:p>
          <w:p w14:paraId="51B30B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截至202</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月，乐昌产业转移工业园范围内产业现状基本以工业产业为主，共涉及</w:t>
            </w:r>
            <w:r>
              <w:rPr>
                <w:rFonts w:hint="eastAsia" w:cs="Times New Roman"/>
                <w:color w:val="auto"/>
                <w:kern w:val="2"/>
                <w:sz w:val="24"/>
                <w:szCs w:val="24"/>
                <w:highlight w:val="none"/>
                <w:lang w:val="en-US" w:eastAsia="zh-CN" w:bidi="ar-SA"/>
              </w:rPr>
              <w:t>114</w:t>
            </w:r>
            <w:r>
              <w:rPr>
                <w:rFonts w:hint="default" w:ascii="Times New Roman" w:hAnsi="Times New Roman" w:eastAsia="宋体" w:cs="Times New Roman"/>
                <w:color w:val="auto"/>
                <w:kern w:val="2"/>
                <w:sz w:val="24"/>
                <w:szCs w:val="24"/>
                <w:highlight w:val="none"/>
                <w:lang w:val="en-US" w:eastAsia="zh-CN" w:bidi="ar-SA"/>
              </w:rPr>
              <w:t>家企业，其中</w:t>
            </w:r>
            <w:r>
              <w:rPr>
                <w:rFonts w:hint="eastAsia" w:cs="Times New Roman"/>
                <w:color w:val="auto"/>
                <w:kern w:val="2"/>
                <w:sz w:val="24"/>
                <w:szCs w:val="24"/>
                <w:highlight w:val="none"/>
                <w:lang w:val="en-US" w:eastAsia="zh-CN" w:bidi="ar-SA"/>
              </w:rPr>
              <w:t>6家企业</w:t>
            </w:r>
            <w:r>
              <w:rPr>
                <w:rFonts w:hint="default" w:ascii="Times New Roman" w:hAnsi="Times New Roman" w:eastAsia="宋体" w:cs="Times New Roman"/>
                <w:color w:val="auto"/>
                <w:kern w:val="2"/>
                <w:sz w:val="24"/>
                <w:szCs w:val="24"/>
                <w:highlight w:val="none"/>
                <w:lang w:val="en-US" w:eastAsia="zh-CN" w:bidi="ar-SA"/>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334A0F3">
            <w:pPr>
              <w:pStyle w:val="16"/>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园区通过环评审批企业情况统计</w:t>
            </w:r>
          </w:p>
          <w:tbl>
            <w:tblPr>
              <w:tblStyle w:val="132"/>
              <w:tblW w:w="83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0"/>
              <w:gridCol w:w="1301"/>
              <w:gridCol w:w="372"/>
              <w:gridCol w:w="1015"/>
              <w:gridCol w:w="904"/>
              <w:gridCol w:w="2499"/>
              <w:gridCol w:w="1897"/>
            </w:tblGrid>
            <w:tr w14:paraId="79843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30" w:type="dxa"/>
                  <w:vAlign w:val="center"/>
                </w:tcPr>
                <w:p w14:paraId="7278E2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bookmarkStart w:id="12" w:name="_Ref11703236"/>
                  <w:r>
                    <w:rPr>
                      <w:rFonts w:hint="default" w:ascii="Times New Roman" w:hAnsi="Times New Roman" w:eastAsia="宋体" w:cs="Times New Roman"/>
                      <w:b/>
                      <w:bCs/>
                      <w:i w:val="0"/>
                      <w:iCs w:val="0"/>
                      <w:color w:val="auto"/>
                      <w:kern w:val="0"/>
                      <w:sz w:val="21"/>
                      <w:szCs w:val="21"/>
                      <w:highlight w:val="none"/>
                      <w:u w:val="none"/>
                      <w:lang w:val="en-US" w:eastAsia="zh-CN"/>
                    </w:rPr>
                    <w:t>序号</w:t>
                  </w:r>
                </w:p>
              </w:tc>
              <w:tc>
                <w:tcPr>
                  <w:tcW w:w="1301" w:type="dxa"/>
                  <w:vAlign w:val="center"/>
                </w:tcPr>
                <w:p w14:paraId="7579DF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企业名称</w:t>
                  </w:r>
                </w:p>
              </w:tc>
              <w:tc>
                <w:tcPr>
                  <w:tcW w:w="372" w:type="dxa"/>
                  <w:vAlign w:val="center"/>
                </w:tcPr>
                <w:p w14:paraId="472CC3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建设情况</w:t>
                  </w:r>
                </w:p>
              </w:tc>
              <w:tc>
                <w:tcPr>
                  <w:tcW w:w="1015" w:type="dxa"/>
                  <w:vAlign w:val="center"/>
                </w:tcPr>
                <w:p w14:paraId="7EFB6D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产业类型</w:t>
                  </w:r>
                </w:p>
              </w:tc>
              <w:tc>
                <w:tcPr>
                  <w:tcW w:w="904" w:type="dxa"/>
                  <w:vAlign w:val="center"/>
                </w:tcPr>
                <w:p w14:paraId="3DC509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占地面积（平方米）</w:t>
                  </w:r>
                </w:p>
              </w:tc>
              <w:tc>
                <w:tcPr>
                  <w:tcW w:w="2499" w:type="dxa"/>
                  <w:vAlign w:val="center"/>
                </w:tcPr>
                <w:p w14:paraId="7E6CA0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主要产品及规模</w:t>
                  </w:r>
                </w:p>
              </w:tc>
              <w:tc>
                <w:tcPr>
                  <w:tcW w:w="1897" w:type="dxa"/>
                  <w:vAlign w:val="center"/>
                </w:tcPr>
                <w:p w14:paraId="30E0D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环评批复</w:t>
                  </w:r>
                </w:p>
              </w:tc>
            </w:tr>
            <w:tr w14:paraId="1D907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00C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w:t>
                  </w:r>
                </w:p>
              </w:tc>
              <w:tc>
                <w:tcPr>
                  <w:tcW w:w="1301" w:type="dxa"/>
                  <w:vAlign w:val="center"/>
                </w:tcPr>
                <w:p w14:paraId="123DA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乐昌市金丰机械有限公司</w:t>
                  </w:r>
                </w:p>
              </w:tc>
              <w:tc>
                <w:tcPr>
                  <w:tcW w:w="372" w:type="dxa"/>
                  <w:vAlign w:val="center"/>
                </w:tcPr>
                <w:p w14:paraId="190463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55C28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904" w:type="dxa"/>
                  <w:vAlign w:val="center"/>
                </w:tcPr>
                <w:p w14:paraId="6F65E8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38528.3</w:t>
                  </w:r>
                </w:p>
              </w:tc>
              <w:tc>
                <w:tcPr>
                  <w:tcW w:w="2499" w:type="dxa"/>
                  <w:vAlign w:val="center"/>
                </w:tcPr>
                <w:p w14:paraId="7F17CC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2.4 万吨金属铸件，年加工 1800 吨机械零部件</w:t>
                  </w:r>
                </w:p>
              </w:tc>
              <w:tc>
                <w:tcPr>
                  <w:tcW w:w="1897" w:type="dxa"/>
                  <w:vAlign w:val="center"/>
                </w:tcPr>
                <w:p w14:paraId="40B6F8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]33 号、韶环乐审〔2022〕01 号</w:t>
                  </w:r>
                </w:p>
              </w:tc>
            </w:tr>
            <w:tr w14:paraId="324D0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8C1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w:t>
                  </w:r>
                </w:p>
              </w:tc>
              <w:tc>
                <w:tcPr>
                  <w:tcW w:w="1301" w:type="dxa"/>
                  <w:vAlign w:val="center"/>
                </w:tcPr>
                <w:p w14:paraId="7AE100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乐昌市捷凯家具有限公司</w:t>
                  </w:r>
                </w:p>
              </w:tc>
              <w:tc>
                <w:tcPr>
                  <w:tcW w:w="372" w:type="dxa"/>
                  <w:vAlign w:val="center"/>
                </w:tcPr>
                <w:p w14:paraId="2EC4DA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442E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D3ADA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19980</w:t>
                  </w:r>
                </w:p>
              </w:tc>
              <w:tc>
                <w:tcPr>
                  <w:tcW w:w="2499" w:type="dxa"/>
                  <w:vAlign w:val="center"/>
                </w:tcPr>
                <w:p w14:paraId="1CACBA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年产家具铸铁件 1.2 万件</w:t>
                  </w:r>
                </w:p>
              </w:tc>
              <w:tc>
                <w:tcPr>
                  <w:tcW w:w="1897" w:type="dxa"/>
                  <w:vAlign w:val="center"/>
                </w:tcPr>
                <w:p w14:paraId="201B41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w:t>
                  </w:r>
                </w:p>
              </w:tc>
            </w:tr>
            <w:tr w14:paraId="5DE6C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E4109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w:t>
                  </w:r>
                </w:p>
              </w:tc>
              <w:tc>
                <w:tcPr>
                  <w:tcW w:w="1301" w:type="dxa"/>
                  <w:vAlign w:val="center"/>
                </w:tcPr>
                <w:p w14:paraId="0E774D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乐昌市瑞创精工制造有限公</w:t>
                  </w:r>
                </w:p>
                <w:p w14:paraId="4367EE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3E526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79BA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79DA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19600</w:t>
                  </w:r>
                </w:p>
              </w:tc>
              <w:tc>
                <w:tcPr>
                  <w:tcW w:w="2499" w:type="dxa"/>
                  <w:vAlign w:val="center"/>
                </w:tcPr>
                <w:p w14:paraId="59D6DE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年产铸铁电饭煲内胆 10 万件、水泵铸件20 万件、铸铁烤网100 万件、铸铁发热板 220 万件、搪瓷炉架 100 万件</w:t>
                  </w:r>
                </w:p>
              </w:tc>
              <w:tc>
                <w:tcPr>
                  <w:tcW w:w="1897" w:type="dxa"/>
                  <w:vAlign w:val="center"/>
                </w:tcPr>
                <w:p w14:paraId="4A5FA9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]48 号</w:t>
                  </w:r>
                </w:p>
              </w:tc>
            </w:tr>
            <w:tr w14:paraId="39B78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48779E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w:t>
                  </w:r>
                </w:p>
              </w:tc>
              <w:tc>
                <w:tcPr>
                  <w:tcW w:w="1301" w:type="dxa"/>
                  <w:vAlign w:val="center"/>
                </w:tcPr>
                <w:p w14:paraId="6A75A6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乐昌市瑛龙高精铸造有限公</w:t>
                  </w:r>
                </w:p>
                <w:p w14:paraId="31E679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6A088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A654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E0BD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10702.96</w:t>
                  </w:r>
                </w:p>
              </w:tc>
              <w:tc>
                <w:tcPr>
                  <w:tcW w:w="2499" w:type="dxa"/>
                  <w:vAlign w:val="center"/>
                </w:tcPr>
                <w:p w14:paraId="04F0F7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年产机械设备类的机械设备 1.1 万吨</w:t>
                  </w:r>
                </w:p>
              </w:tc>
              <w:tc>
                <w:tcPr>
                  <w:tcW w:w="1897" w:type="dxa"/>
                  <w:vAlign w:val="center"/>
                </w:tcPr>
                <w:p w14:paraId="7EF591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]40 号</w:t>
                  </w:r>
                </w:p>
              </w:tc>
            </w:tr>
            <w:tr w14:paraId="549F7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76290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w:t>
                  </w:r>
                </w:p>
              </w:tc>
              <w:tc>
                <w:tcPr>
                  <w:tcW w:w="1301" w:type="dxa"/>
                  <w:vAlign w:val="center"/>
                </w:tcPr>
                <w:p w14:paraId="5740FE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乐昌市湘源金属制品有限公</w:t>
                  </w:r>
                </w:p>
                <w:p w14:paraId="1FD16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73FCE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84708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0CC6D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13339.8</w:t>
                  </w:r>
                </w:p>
              </w:tc>
              <w:tc>
                <w:tcPr>
                  <w:tcW w:w="2499" w:type="dxa"/>
                  <w:vAlign w:val="center"/>
                </w:tcPr>
                <w:p w14:paraId="3B185F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年产铸件 11500 吨</w:t>
                  </w:r>
                </w:p>
              </w:tc>
              <w:tc>
                <w:tcPr>
                  <w:tcW w:w="1897" w:type="dxa"/>
                  <w:vAlign w:val="center"/>
                </w:tcPr>
                <w:p w14:paraId="03E410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]43 号、韶环乐审〔2022〕13 号</w:t>
                  </w:r>
                </w:p>
              </w:tc>
            </w:tr>
            <w:tr w14:paraId="1E10C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234423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4B4F9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w:t>
                  </w:r>
                </w:p>
              </w:tc>
              <w:tc>
                <w:tcPr>
                  <w:tcW w:w="1301" w:type="dxa"/>
                  <w:vAlign w:val="center"/>
                </w:tcPr>
                <w:p w14:paraId="06C2EA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乐昌市钜宝科技制造有限公</w:t>
                  </w:r>
                </w:p>
                <w:p w14:paraId="7134C3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BC374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B3431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4776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904" w:type="dxa"/>
                  <w:vAlign w:val="center"/>
                </w:tcPr>
                <w:p w14:paraId="0DC08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5C9CDE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23539.9</w:t>
                  </w:r>
                </w:p>
              </w:tc>
              <w:tc>
                <w:tcPr>
                  <w:tcW w:w="2499" w:type="dxa"/>
                  <w:vAlign w:val="center"/>
                </w:tcPr>
                <w:p w14:paraId="7B9B20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年产户外家具 49.8 万件、水泵铸件 6.52 万件、铸铁烤网 51</w:t>
                  </w:r>
                </w:p>
                <w:p w14:paraId="4131B7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万件、铸铁发热板 161 万件、机加工铸铁件 4000 吨、喷粉铸</w:t>
                  </w:r>
                </w:p>
                <w:p w14:paraId="077B1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铁件 1000 吨、搪瓷铸铁件 1000 吨</w:t>
                  </w:r>
                </w:p>
              </w:tc>
              <w:tc>
                <w:tcPr>
                  <w:tcW w:w="1897" w:type="dxa"/>
                  <w:vAlign w:val="center"/>
                </w:tcPr>
                <w:p w14:paraId="0997C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]47 号、韶环乐审</w:t>
                  </w:r>
                </w:p>
                <w:p w14:paraId="1E7A78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]30 号</w:t>
                  </w:r>
                </w:p>
              </w:tc>
            </w:tr>
            <w:tr w14:paraId="4B88D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7BB9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w:t>
                  </w:r>
                </w:p>
              </w:tc>
              <w:tc>
                <w:tcPr>
                  <w:tcW w:w="1301" w:type="dxa"/>
                  <w:vAlign w:val="center"/>
                </w:tcPr>
                <w:p w14:paraId="4BF241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乐昌胜旗精工科技有限公司</w:t>
                  </w:r>
                </w:p>
              </w:tc>
              <w:tc>
                <w:tcPr>
                  <w:tcW w:w="372" w:type="dxa"/>
                  <w:vAlign w:val="center"/>
                </w:tcPr>
                <w:p w14:paraId="53432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A3903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48F73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13322</w:t>
                  </w:r>
                </w:p>
              </w:tc>
              <w:tc>
                <w:tcPr>
                  <w:tcW w:w="2499" w:type="dxa"/>
                  <w:vAlign w:val="center"/>
                </w:tcPr>
                <w:p w14:paraId="0CB69B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年产炉架 10 万件、炉排、炉头、家具件、机械件、减速机波</w:t>
                  </w:r>
                </w:p>
                <w:p w14:paraId="67DFF3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箱各 5 万件、发热盘 3 万件</w:t>
                  </w:r>
                </w:p>
              </w:tc>
              <w:tc>
                <w:tcPr>
                  <w:tcW w:w="1897" w:type="dxa"/>
                  <w:vAlign w:val="center"/>
                </w:tcPr>
                <w:p w14:paraId="14E007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]44 号</w:t>
                  </w:r>
                </w:p>
              </w:tc>
            </w:tr>
            <w:tr w14:paraId="17EB6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E2918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w:t>
                  </w:r>
                </w:p>
              </w:tc>
              <w:tc>
                <w:tcPr>
                  <w:tcW w:w="1301" w:type="dxa"/>
                  <w:vAlign w:val="center"/>
                </w:tcPr>
                <w:p w14:paraId="2FB25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乐昌市钜烽机械制造有限公</w:t>
                  </w:r>
                </w:p>
                <w:p w14:paraId="09F1A8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2BB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58D5F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48962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4E2A5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年产机械铸件 1 万吨</w:t>
                  </w:r>
                </w:p>
              </w:tc>
              <w:tc>
                <w:tcPr>
                  <w:tcW w:w="1897" w:type="dxa"/>
                  <w:vAlign w:val="center"/>
                </w:tcPr>
                <w:p w14:paraId="312AD4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3BF5A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04BCD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w:t>
                  </w:r>
                </w:p>
              </w:tc>
              <w:tc>
                <w:tcPr>
                  <w:tcW w:w="1301" w:type="dxa"/>
                  <w:vAlign w:val="center"/>
                </w:tcPr>
                <w:p w14:paraId="5D4440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乐昌市金利华机械制造有限</w:t>
                  </w:r>
                </w:p>
                <w:p w14:paraId="7A21F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63BE54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D39D8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7890B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4FAD1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年产食品机械铸件 1 万件</w:t>
                  </w:r>
                </w:p>
              </w:tc>
              <w:tc>
                <w:tcPr>
                  <w:tcW w:w="1897" w:type="dxa"/>
                  <w:vAlign w:val="center"/>
                </w:tcPr>
                <w:p w14:paraId="299D0C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]42 号</w:t>
                  </w:r>
                </w:p>
              </w:tc>
            </w:tr>
            <w:tr w14:paraId="5F036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DCBD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1301" w:type="dxa"/>
                  <w:vAlign w:val="center"/>
                </w:tcPr>
                <w:p w14:paraId="66A9A1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乐昌市宏信精工制造有限公</w:t>
                  </w:r>
                </w:p>
                <w:p w14:paraId="2ACC59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1EF1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C344B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04405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7E033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年产球墨模具、零件 4000 吨、灰口模具、零件 6000 吨</w:t>
                  </w:r>
                </w:p>
              </w:tc>
              <w:tc>
                <w:tcPr>
                  <w:tcW w:w="1897" w:type="dxa"/>
                  <w:vAlign w:val="center"/>
                </w:tcPr>
                <w:p w14:paraId="644276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]39 号、韶环乐审</w:t>
                  </w:r>
                </w:p>
                <w:p w14:paraId="368802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2079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B802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w:t>
                  </w:r>
                </w:p>
              </w:tc>
              <w:tc>
                <w:tcPr>
                  <w:tcW w:w="1301" w:type="dxa"/>
                  <w:vAlign w:val="center"/>
                </w:tcPr>
                <w:p w14:paraId="12E4B5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乐昌市金来得实业有限公司</w:t>
                  </w:r>
                </w:p>
              </w:tc>
              <w:tc>
                <w:tcPr>
                  <w:tcW w:w="372" w:type="dxa"/>
                  <w:vAlign w:val="center"/>
                </w:tcPr>
                <w:p w14:paraId="170B44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042A0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橡胶和塑料制品业、家具制造业</w:t>
                  </w:r>
                </w:p>
              </w:tc>
              <w:tc>
                <w:tcPr>
                  <w:tcW w:w="904" w:type="dxa"/>
                  <w:vAlign w:val="center"/>
                </w:tcPr>
                <w:p w14:paraId="17ADFB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23018.4</w:t>
                  </w:r>
                </w:p>
              </w:tc>
              <w:tc>
                <w:tcPr>
                  <w:tcW w:w="2499" w:type="dxa"/>
                  <w:vAlign w:val="center"/>
                </w:tcPr>
                <w:p w14:paraId="4F7B2F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年产卫浴、衣柜 1.6 万套；聚乙烯高分子材料 4.8 万立方米</w:t>
                  </w:r>
                </w:p>
              </w:tc>
              <w:tc>
                <w:tcPr>
                  <w:tcW w:w="1897" w:type="dxa"/>
                  <w:vAlign w:val="center"/>
                </w:tcPr>
                <w:p w14:paraId="51C473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号、乐环审〔2020〕</w:t>
                  </w:r>
                </w:p>
                <w:p w14:paraId="2852D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 号</w:t>
                  </w:r>
                </w:p>
              </w:tc>
            </w:tr>
            <w:tr w14:paraId="65D4D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30" w:type="dxa"/>
                  <w:vAlign w:val="center"/>
                </w:tcPr>
                <w:p w14:paraId="64A450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0B52D3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w:t>
                  </w:r>
                </w:p>
              </w:tc>
              <w:tc>
                <w:tcPr>
                  <w:tcW w:w="1301" w:type="dxa"/>
                  <w:vAlign w:val="center"/>
                </w:tcPr>
                <w:p w14:paraId="60C47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广东沃府实业有限公司</w:t>
                  </w:r>
                </w:p>
              </w:tc>
              <w:tc>
                <w:tcPr>
                  <w:tcW w:w="372" w:type="dxa"/>
                  <w:vAlign w:val="center"/>
                </w:tcPr>
                <w:p w14:paraId="130E4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EE5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2FCA6D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12EEA1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64A4AB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73337</w:t>
                  </w:r>
                </w:p>
              </w:tc>
              <w:tc>
                <w:tcPr>
                  <w:tcW w:w="2499" w:type="dxa"/>
                  <w:vAlign w:val="center"/>
                </w:tcPr>
                <w:p w14:paraId="4EB2D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10 万吨、家电塑料配件2000 吨</w:t>
                  </w:r>
                </w:p>
              </w:tc>
              <w:tc>
                <w:tcPr>
                  <w:tcW w:w="1897" w:type="dxa"/>
                  <w:vAlign w:val="center"/>
                </w:tcPr>
                <w:p w14:paraId="081BE4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177 号、乐环审</w:t>
                  </w:r>
                </w:p>
                <w:p w14:paraId="7386D2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〔2021〕05 号、韶环乐审〔2025〕</w:t>
                  </w:r>
                </w:p>
                <w:p w14:paraId="304558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 号</w:t>
                  </w:r>
                </w:p>
              </w:tc>
            </w:tr>
            <w:tr w14:paraId="0A49F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5280E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163C10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w:t>
                  </w:r>
                </w:p>
              </w:tc>
              <w:tc>
                <w:tcPr>
                  <w:tcW w:w="1301" w:type="dxa"/>
                  <w:vAlign w:val="center"/>
                </w:tcPr>
                <w:p w14:paraId="4980B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韶关乐淇包装材料有限公司</w:t>
                  </w:r>
                </w:p>
              </w:tc>
              <w:tc>
                <w:tcPr>
                  <w:tcW w:w="372" w:type="dxa"/>
                  <w:vAlign w:val="center"/>
                </w:tcPr>
                <w:p w14:paraId="6028D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9880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4A2FC9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021182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170049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50991.9</w:t>
                  </w:r>
                </w:p>
              </w:tc>
              <w:tc>
                <w:tcPr>
                  <w:tcW w:w="2499" w:type="dxa"/>
                  <w:vAlign w:val="center"/>
                </w:tcPr>
                <w:p w14:paraId="707019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年产塑料新材料 7.22 万吨</w:t>
                  </w:r>
                </w:p>
              </w:tc>
              <w:tc>
                <w:tcPr>
                  <w:tcW w:w="1897" w:type="dxa"/>
                  <w:vAlign w:val="center"/>
                </w:tcPr>
                <w:p w14:paraId="4C4D3E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]04 号</w:t>
                  </w:r>
                </w:p>
              </w:tc>
            </w:tr>
            <w:tr w14:paraId="266F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75DE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w:t>
                  </w:r>
                </w:p>
              </w:tc>
              <w:tc>
                <w:tcPr>
                  <w:tcW w:w="1301" w:type="dxa"/>
                  <w:vAlign w:val="center"/>
                </w:tcPr>
                <w:p w14:paraId="4B4CE8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乐昌市华国艺术装饰建材有</w:t>
                  </w:r>
                </w:p>
                <w:p w14:paraId="410ED5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3DDC7D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5D403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03CF7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27375.05</w:t>
                  </w:r>
                </w:p>
              </w:tc>
              <w:tc>
                <w:tcPr>
                  <w:tcW w:w="2499" w:type="dxa"/>
                  <w:vAlign w:val="center"/>
                </w:tcPr>
                <w:p w14:paraId="5C499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1897" w:type="dxa"/>
                  <w:vAlign w:val="center"/>
                </w:tcPr>
                <w:p w14:paraId="04A125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]35 号</w:t>
                  </w:r>
                </w:p>
              </w:tc>
            </w:tr>
            <w:tr w14:paraId="6FB93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5D5C7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w:t>
                  </w:r>
                </w:p>
              </w:tc>
              <w:tc>
                <w:tcPr>
                  <w:tcW w:w="1301" w:type="dxa"/>
                  <w:vAlign w:val="center"/>
                </w:tcPr>
                <w:p w14:paraId="6E76B1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汇隽新材料科技（乐昌）有限</w:t>
                  </w:r>
                </w:p>
                <w:p w14:paraId="0A0C74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759672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026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D408D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7349.3</w:t>
                  </w:r>
                </w:p>
              </w:tc>
              <w:tc>
                <w:tcPr>
                  <w:tcW w:w="2499" w:type="dxa"/>
                  <w:vAlign w:val="center"/>
                </w:tcPr>
                <w:p w14:paraId="6DF50D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750 吨、聚氨酯装饰制品 250 吨</w:t>
                  </w:r>
                </w:p>
              </w:tc>
              <w:tc>
                <w:tcPr>
                  <w:tcW w:w="1897" w:type="dxa"/>
                  <w:vAlign w:val="center"/>
                </w:tcPr>
                <w:p w14:paraId="0CF68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13 号</w:t>
                  </w:r>
                </w:p>
              </w:tc>
            </w:tr>
            <w:tr w14:paraId="304C8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35CA8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w:t>
                  </w:r>
                </w:p>
              </w:tc>
              <w:tc>
                <w:tcPr>
                  <w:tcW w:w="1301" w:type="dxa"/>
                  <w:vAlign w:val="center"/>
                </w:tcPr>
                <w:p w14:paraId="10DD4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广东宝创环保新材料制品有</w:t>
                  </w:r>
                </w:p>
                <w:p w14:paraId="132EB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56AFB7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1AC1D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145DB8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32671.2</w:t>
                  </w:r>
                </w:p>
              </w:tc>
              <w:tc>
                <w:tcPr>
                  <w:tcW w:w="2499" w:type="dxa"/>
                  <w:vAlign w:val="center"/>
                </w:tcPr>
                <w:p w14:paraId="515ECB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年产热轧无纺布 2800 吨、口罩 30000 万片、纺粘熔喷无纺布</w:t>
                  </w:r>
                </w:p>
                <w:p w14:paraId="21B3A8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7440 吨、衬布 5720 万米、热风无纺布 860 吨、复合芯体 1430</w:t>
                  </w:r>
                </w:p>
                <w:p w14:paraId="0B490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吨、湿巾 360 万包、熔喷无纺布 1500 吨、网膜无纺布 825</w:t>
                  </w:r>
                </w:p>
                <w:p w14:paraId="37F50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万米、无纺布抽取式干巾 57 万盒、无纺布床单 570 万张、口</w:t>
                  </w:r>
                </w:p>
                <w:p w14:paraId="5F0240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罩衬布 2000 万米、其他衬布 7000 万米</w:t>
                  </w:r>
                </w:p>
              </w:tc>
              <w:tc>
                <w:tcPr>
                  <w:tcW w:w="1897" w:type="dxa"/>
                  <w:vAlign w:val="center"/>
                </w:tcPr>
                <w:p w14:paraId="7CD2D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号、乐环审〔2020〕 23 号、韶环乐审〔2021〕26 号</w:t>
                  </w:r>
                </w:p>
              </w:tc>
            </w:tr>
            <w:tr w14:paraId="48033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D0656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w:t>
                  </w:r>
                </w:p>
              </w:tc>
              <w:tc>
                <w:tcPr>
                  <w:tcW w:w="1301" w:type="dxa"/>
                  <w:vAlign w:val="center"/>
                </w:tcPr>
                <w:p w14:paraId="7FB6DE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广东泰邦耐磨金属科技有限</w:t>
                  </w:r>
                </w:p>
                <w:p w14:paraId="4D012D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6369C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5771E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0C8D4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33583</w:t>
                  </w:r>
                </w:p>
              </w:tc>
              <w:tc>
                <w:tcPr>
                  <w:tcW w:w="2499" w:type="dxa"/>
                  <w:vAlign w:val="center"/>
                </w:tcPr>
                <w:p w14:paraId="2A6BC8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 1 万吨</w:t>
                  </w:r>
                </w:p>
              </w:tc>
              <w:tc>
                <w:tcPr>
                  <w:tcW w:w="1897" w:type="dxa"/>
                  <w:vAlign w:val="center"/>
                </w:tcPr>
                <w:p w14:paraId="0D75D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]25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 号</w:t>
                  </w:r>
                </w:p>
              </w:tc>
            </w:tr>
            <w:tr w14:paraId="1FE7F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39E849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w:t>
                  </w:r>
                </w:p>
              </w:tc>
              <w:tc>
                <w:tcPr>
                  <w:tcW w:w="1301" w:type="dxa"/>
                  <w:vAlign w:val="center"/>
                </w:tcPr>
                <w:p w14:paraId="5A14EC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乐昌市明俊铸造有限公司</w:t>
                  </w:r>
                </w:p>
              </w:tc>
              <w:tc>
                <w:tcPr>
                  <w:tcW w:w="372" w:type="dxa"/>
                  <w:vAlign w:val="center"/>
                </w:tcPr>
                <w:p w14:paraId="2CA85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E6D3C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6A0EA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12666</w:t>
                  </w:r>
                </w:p>
              </w:tc>
              <w:tc>
                <w:tcPr>
                  <w:tcW w:w="2499" w:type="dxa"/>
                  <w:vAlign w:val="center"/>
                </w:tcPr>
                <w:p w14:paraId="44AF62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年产水泵类铸件、油泵 6000 吨</w:t>
                  </w:r>
                </w:p>
              </w:tc>
              <w:tc>
                <w:tcPr>
                  <w:tcW w:w="1897" w:type="dxa"/>
                  <w:vAlign w:val="center"/>
                </w:tcPr>
                <w:p w14:paraId="70A5A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12 号、乐环审</w:t>
                  </w:r>
                </w:p>
                <w:p w14:paraId="68DC53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号、韶环乐审〔2022〕14</w:t>
                  </w:r>
                </w:p>
                <w:p w14:paraId="6ACB83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号</w:t>
                  </w:r>
                </w:p>
              </w:tc>
            </w:tr>
            <w:tr w14:paraId="54392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56F28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w:t>
                  </w:r>
                </w:p>
              </w:tc>
              <w:tc>
                <w:tcPr>
                  <w:tcW w:w="1301" w:type="dxa"/>
                  <w:vAlign w:val="center"/>
                </w:tcPr>
                <w:p w14:paraId="1CCF4A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乐昌市翔辉皮革有限公司</w:t>
                  </w:r>
                </w:p>
              </w:tc>
              <w:tc>
                <w:tcPr>
                  <w:tcW w:w="372" w:type="dxa"/>
                  <w:vAlign w:val="center"/>
                </w:tcPr>
                <w:p w14:paraId="386C64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19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904" w:type="dxa"/>
                  <w:vAlign w:val="center"/>
                </w:tcPr>
                <w:p w14:paraId="62B616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14014.6</w:t>
                  </w:r>
                </w:p>
              </w:tc>
              <w:tc>
                <w:tcPr>
                  <w:tcW w:w="2499" w:type="dxa"/>
                  <w:vAlign w:val="center"/>
                </w:tcPr>
                <w:p w14:paraId="5A31D8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年产二层贴膜榔皮 200 万呎、3 贴膜 PU0 万码</w:t>
                  </w:r>
                </w:p>
              </w:tc>
              <w:tc>
                <w:tcPr>
                  <w:tcW w:w="1897" w:type="dxa"/>
                  <w:vAlign w:val="center"/>
                </w:tcPr>
                <w:p w14:paraId="7F96D7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]07 号</w:t>
                  </w:r>
                </w:p>
              </w:tc>
            </w:tr>
            <w:tr w14:paraId="1A44F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090D6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w:t>
                  </w:r>
                </w:p>
              </w:tc>
              <w:tc>
                <w:tcPr>
                  <w:tcW w:w="1301" w:type="dxa"/>
                  <w:vAlign w:val="center"/>
                </w:tcPr>
                <w:p w14:paraId="1052D0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广东欧匹特智能装备有限公</w:t>
                  </w:r>
                </w:p>
                <w:p w14:paraId="5DB9F4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44C0C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E5252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160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26032</w:t>
                  </w:r>
                </w:p>
              </w:tc>
              <w:tc>
                <w:tcPr>
                  <w:tcW w:w="2499" w:type="dxa"/>
                  <w:vAlign w:val="center"/>
                </w:tcPr>
                <w:p w14:paraId="779D6B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年产数控机床 450 台</w:t>
                  </w:r>
                </w:p>
              </w:tc>
              <w:tc>
                <w:tcPr>
                  <w:tcW w:w="1897" w:type="dxa"/>
                  <w:vAlign w:val="center"/>
                </w:tcPr>
                <w:p w14:paraId="35CFEE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乐环审〔2020〕16 号</w:t>
                  </w:r>
                </w:p>
              </w:tc>
            </w:tr>
            <w:tr w14:paraId="2DA55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91B7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21</w:t>
                  </w:r>
                </w:p>
              </w:tc>
              <w:tc>
                <w:tcPr>
                  <w:tcW w:w="1301" w:type="dxa"/>
                  <w:vAlign w:val="center"/>
                </w:tcPr>
                <w:p w14:paraId="05743D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乐昌市泰瑞菲实业有限公司</w:t>
                  </w:r>
                </w:p>
              </w:tc>
              <w:tc>
                <w:tcPr>
                  <w:tcW w:w="372" w:type="dxa"/>
                  <w:vAlign w:val="center"/>
                </w:tcPr>
                <w:p w14:paraId="0D157F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A99E5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0C01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15266</w:t>
                  </w:r>
                </w:p>
              </w:tc>
              <w:tc>
                <w:tcPr>
                  <w:tcW w:w="2499" w:type="dxa"/>
                  <w:vAlign w:val="center"/>
                </w:tcPr>
                <w:p w14:paraId="4A2867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年产新型塑料装饰材料 1 万吨</w:t>
                  </w:r>
                </w:p>
              </w:tc>
              <w:tc>
                <w:tcPr>
                  <w:tcW w:w="1897" w:type="dxa"/>
                  <w:vAlign w:val="center"/>
                </w:tcPr>
                <w:p w14:paraId="0A074E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]55 号</w:t>
                  </w:r>
                </w:p>
              </w:tc>
            </w:tr>
            <w:tr w14:paraId="5F9D8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8A20F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w:t>
                  </w:r>
                </w:p>
              </w:tc>
              <w:tc>
                <w:tcPr>
                  <w:tcW w:w="1301" w:type="dxa"/>
                  <w:vAlign w:val="center"/>
                </w:tcPr>
                <w:p w14:paraId="6396B5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韶关韶瑞铸钢有限公司</w:t>
                  </w:r>
                </w:p>
              </w:tc>
              <w:tc>
                <w:tcPr>
                  <w:tcW w:w="372" w:type="dxa"/>
                  <w:vAlign w:val="center"/>
                </w:tcPr>
                <w:p w14:paraId="6703DB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16D08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2ACF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75085</w:t>
                  </w:r>
                </w:p>
              </w:tc>
              <w:tc>
                <w:tcPr>
                  <w:tcW w:w="2499" w:type="dxa"/>
                  <w:vAlign w:val="center"/>
                </w:tcPr>
                <w:p w14:paraId="4EF6E3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年产铸钢件、铸铁件 4.1 万吨</w:t>
                  </w:r>
                </w:p>
              </w:tc>
              <w:tc>
                <w:tcPr>
                  <w:tcW w:w="1897" w:type="dxa"/>
                  <w:vAlign w:val="center"/>
                </w:tcPr>
                <w:p w14:paraId="49D0F3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163 号、乐环审 [</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]01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19 号</w:t>
                  </w:r>
                </w:p>
              </w:tc>
            </w:tr>
            <w:tr w14:paraId="2E442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D0B2A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w:t>
                  </w:r>
                </w:p>
              </w:tc>
              <w:tc>
                <w:tcPr>
                  <w:tcW w:w="1301" w:type="dxa"/>
                  <w:vAlign w:val="center"/>
                </w:tcPr>
                <w:p w14:paraId="5622F1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精信（乐昌）机械有限公司</w:t>
                  </w:r>
                </w:p>
              </w:tc>
              <w:tc>
                <w:tcPr>
                  <w:tcW w:w="372" w:type="dxa"/>
                  <w:vAlign w:val="center"/>
                </w:tcPr>
                <w:p w14:paraId="3D5F56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90EC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15E3E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16950.3</w:t>
                  </w:r>
                </w:p>
              </w:tc>
              <w:tc>
                <w:tcPr>
                  <w:tcW w:w="2499" w:type="dxa"/>
                  <w:vAlign w:val="center"/>
                </w:tcPr>
                <w:p w14:paraId="459AF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年产人防门配件 11250 套</w:t>
                  </w:r>
                </w:p>
              </w:tc>
              <w:tc>
                <w:tcPr>
                  <w:tcW w:w="1897" w:type="dxa"/>
                  <w:vAlign w:val="center"/>
                </w:tcPr>
                <w:p w14:paraId="57A205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韶环乐审〔2021〕25 号</w:t>
                  </w:r>
                </w:p>
              </w:tc>
            </w:tr>
            <w:tr w14:paraId="3DC58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4F8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w:t>
                  </w:r>
                </w:p>
              </w:tc>
              <w:tc>
                <w:tcPr>
                  <w:tcW w:w="1301" w:type="dxa"/>
                  <w:vAlign w:val="center"/>
                </w:tcPr>
                <w:p w14:paraId="75D600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韶关高尔德防雷科技有限公</w:t>
                  </w:r>
                </w:p>
                <w:p w14:paraId="75F6F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E709D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61168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0F46F3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15561.5</w:t>
                  </w:r>
                </w:p>
              </w:tc>
              <w:tc>
                <w:tcPr>
                  <w:tcW w:w="2499" w:type="dxa"/>
                  <w:vAlign w:val="center"/>
                </w:tcPr>
                <w:p w14:paraId="7C2EB9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年产防雷电子器件 10 万套、3 万台移动通信基站电源、 480</w:t>
                  </w:r>
                </w:p>
                <w:p w14:paraId="0EB876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 AH 铁锂电池</w:t>
                  </w:r>
                </w:p>
              </w:tc>
              <w:tc>
                <w:tcPr>
                  <w:tcW w:w="1897" w:type="dxa"/>
                  <w:vAlign w:val="center"/>
                </w:tcPr>
                <w:p w14:paraId="7162FE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2015</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]240 号、乐环审〔2020〕12 号</w:t>
                  </w:r>
                </w:p>
              </w:tc>
            </w:tr>
            <w:tr w14:paraId="2B5E9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CA849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1301" w:type="dxa"/>
                  <w:vAlign w:val="center"/>
                </w:tcPr>
                <w:p w14:paraId="6D243B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韶关博尔兹阀门工业有限公</w:t>
                  </w:r>
                </w:p>
                <w:p w14:paraId="0FA3BA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5FFCB1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09619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75B94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20198.7</w:t>
                  </w:r>
                </w:p>
              </w:tc>
              <w:tc>
                <w:tcPr>
                  <w:tcW w:w="2499" w:type="dxa"/>
                  <w:vAlign w:val="center"/>
                </w:tcPr>
                <w:p w14:paraId="2DEAA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年产阀门 5000 件、铸钢件 1.2 万件、铸铁件2.3 万件、机械</w:t>
                  </w:r>
                </w:p>
                <w:p w14:paraId="3425F6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配件 1 万件</w:t>
                  </w:r>
                </w:p>
              </w:tc>
              <w:tc>
                <w:tcPr>
                  <w:tcW w:w="1897" w:type="dxa"/>
                  <w:vAlign w:val="center"/>
                </w:tcPr>
                <w:p w14:paraId="741A7E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]94 号、乐环审〔2018〕</w:t>
                  </w:r>
                </w:p>
                <w:p w14:paraId="4428D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 号</w:t>
                  </w:r>
                </w:p>
              </w:tc>
            </w:tr>
            <w:tr w14:paraId="27243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86F90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w:t>
                  </w:r>
                </w:p>
              </w:tc>
              <w:tc>
                <w:tcPr>
                  <w:tcW w:w="1301" w:type="dxa"/>
                  <w:vAlign w:val="center"/>
                </w:tcPr>
                <w:p w14:paraId="01BDAB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广东科拓电子元件有限公司</w:t>
                  </w:r>
                </w:p>
              </w:tc>
              <w:tc>
                <w:tcPr>
                  <w:tcW w:w="372" w:type="dxa"/>
                  <w:vAlign w:val="center"/>
                </w:tcPr>
                <w:p w14:paraId="57103F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25965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83F49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1720.83</w:t>
                  </w:r>
                </w:p>
              </w:tc>
              <w:tc>
                <w:tcPr>
                  <w:tcW w:w="2499" w:type="dxa"/>
                  <w:vAlign w:val="center"/>
                </w:tcPr>
                <w:p w14:paraId="2BFCDB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年产电容、电阻器 8 亿只</w:t>
                  </w:r>
                </w:p>
              </w:tc>
              <w:tc>
                <w:tcPr>
                  <w:tcW w:w="1897" w:type="dxa"/>
                  <w:vAlign w:val="center"/>
                </w:tcPr>
                <w:p w14:paraId="3E6E2F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韶环乐审〔2021〕13 号</w:t>
                  </w:r>
                </w:p>
              </w:tc>
            </w:tr>
            <w:tr w14:paraId="7BCF5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20A70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w:t>
                  </w:r>
                </w:p>
              </w:tc>
              <w:tc>
                <w:tcPr>
                  <w:tcW w:w="1301" w:type="dxa"/>
                  <w:vAlign w:val="center"/>
                </w:tcPr>
                <w:p w14:paraId="2AC19F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宇创箱包制品（韶关市乐昌）</w:t>
                  </w:r>
                </w:p>
                <w:p w14:paraId="3ACF9B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372" w:type="dxa"/>
                  <w:vAlign w:val="center"/>
                </w:tcPr>
                <w:p w14:paraId="291AA4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375FA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904" w:type="dxa"/>
                  <w:vAlign w:val="center"/>
                </w:tcPr>
                <w:p w14:paraId="4DF98E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1200</w:t>
                  </w:r>
                </w:p>
              </w:tc>
              <w:tc>
                <w:tcPr>
                  <w:tcW w:w="2499" w:type="dxa"/>
                  <w:vAlign w:val="center"/>
                </w:tcPr>
                <w:p w14:paraId="3DF097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年产钱包 30 万个，手袋 50 万个</w:t>
                  </w:r>
                </w:p>
              </w:tc>
              <w:tc>
                <w:tcPr>
                  <w:tcW w:w="1897" w:type="dxa"/>
                  <w:vAlign w:val="center"/>
                </w:tcPr>
                <w:p w14:paraId="2D79BF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乐环审〔2020〕09 号</w:t>
                  </w:r>
                </w:p>
              </w:tc>
            </w:tr>
            <w:tr w14:paraId="57D74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99783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28</w:t>
                  </w:r>
                </w:p>
              </w:tc>
              <w:tc>
                <w:tcPr>
                  <w:tcW w:w="1301" w:type="dxa"/>
                  <w:vAlign w:val="center"/>
                </w:tcPr>
                <w:p w14:paraId="194E9D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广东启轮金属制品有限公司</w:t>
                  </w:r>
                </w:p>
              </w:tc>
              <w:tc>
                <w:tcPr>
                  <w:tcW w:w="372" w:type="dxa"/>
                  <w:vAlign w:val="center"/>
                </w:tcPr>
                <w:p w14:paraId="7EA540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29517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72D07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10679.3</w:t>
                  </w:r>
                </w:p>
              </w:tc>
              <w:tc>
                <w:tcPr>
                  <w:tcW w:w="2499" w:type="dxa"/>
                  <w:vAlign w:val="center"/>
                </w:tcPr>
                <w:p w14:paraId="4A9F8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年产脚轮 100 万个</w:t>
                  </w:r>
                </w:p>
              </w:tc>
              <w:tc>
                <w:tcPr>
                  <w:tcW w:w="1897" w:type="dxa"/>
                  <w:vAlign w:val="center"/>
                </w:tcPr>
                <w:p w14:paraId="3BE82D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韶环乐审〔2021〕22 号、韶环乐审〔2025〕09 号</w:t>
                  </w:r>
                </w:p>
              </w:tc>
            </w:tr>
            <w:tr w14:paraId="1B84B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76A1E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w:t>
                  </w:r>
                </w:p>
              </w:tc>
              <w:tc>
                <w:tcPr>
                  <w:tcW w:w="1301" w:type="dxa"/>
                  <w:vAlign w:val="center"/>
                </w:tcPr>
                <w:p w14:paraId="3F43F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深圳艾尔康电子元器件有限公司乐昌分公司</w:t>
                  </w:r>
                </w:p>
              </w:tc>
              <w:tc>
                <w:tcPr>
                  <w:tcW w:w="372" w:type="dxa"/>
                  <w:vAlign w:val="center"/>
                </w:tcPr>
                <w:p w14:paraId="1F79F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C706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34081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20006.9</w:t>
                  </w:r>
                </w:p>
              </w:tc>
              <w:tc>
                <w:tcPr>
                  <w:tcW w:w="2499" w:type="dxa"/>
                  <w:vAlign w:val="center"/>
                </w:tcPr>
                <w:p w14:paraId="13A80E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年产探针 422 万、接线端子及其零部件 36000 万、感应器及其零部件 200 万、接插件及其零部件 2500 万、模具 50 套、五金产品 30000 万、塑胶配件 30000 万、自动化装备 50 台</w:t>
                  </w:r>
                </w:p>
              </w:tc>
              <w:tc>
                <w:tcPr>
                  <w:tcW w:w="1897" w:type="dxa"/>
                  <w:vAlign w:val="center"/>
                </w:tcPr>
                <w:p w14:paraId="1AD71F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1DA5D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D465E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1301" w:type="dxa"/>
                  <w:vAlign w:val="center"/>
                </w:tcPr>
                <w:p w14:paraId="791320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乐昌市缔恒科技有限公司</w:t>
                  </w:r>
                </w:p>
              </w:tc>
              <w:tc>
                <w:tcPr>
                  <w:tcW w:w="372" w:type="dxa"/>
                  <w:vAlign w:val="center"/>
                </w:tcPr>
                <w:p w14:paraId="4E6A5A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68FAC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7AF82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5000</w:t>
                  </w:r>
                </w:p>
              </w:tc>
              <w:tc>
                <w:tcPr>
                  <w:tcW w:w="2499" w:type="dxa"/>
                  <w:vAlign w:val="center"/>
                </w:tcPr>
                <w:p w14:paraId="3BC562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年产金刚石复合片 50 万片</w:t>
                  </w:r>
                </w:p>
              </w:tc>
              <w:tc>
                <w:tcPr>
                  <w:tcW w:w="1897" w:type="dxa"/>
                  <w:vAlign w:val="center"/>
                </w:tcPr>
                <w:p w14:paraId="269487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2DAF9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F3E8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w:t>
                  </w:r>
                </w:p>
              </w:tc>
              <w:tc>
                <w:tcPr>
                  <w:tcW w:w="1301" w:type="dxa"/>
                  <w:vAlign w:val="center"/>
                </w:tcPr>
                <w:p w14:paraId="057011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乐昌市盛昌钢构有限公司</w:t>
                  </w:r>
                </w:p>
              </w:tc>
              <w:tc>
                <w:tcPr>
                  <w:tcW w:w="372" w:type="dxa"/>
                  <w:vAlign w:val="center"/>
                </w:tcPr>
                <w:p w14:paraId="3A690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E9E2A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B04CF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9000</w:t>
                  </w:r>
                </w:p>
              </w:tc>
              <w:tc>
                <w:tcPr>
                  <w:tcW w:w="2499" w:type="dxa"/>
                  <w:vAlign w:val="center"/>
                </w:tcPr>
                <w:p w14:paraId="6AC139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 500 吨钢结构</w:t>
                  </w:r>
                </w:p>
              </w:tc>
              <w:tc>
                <w:tcPr>
                  <w:tcW w:w="1897" w:type="dxa"/>
                  <w:vAlign w:val="center"/>
                </w:tcPr>
                <w:p w14:paraId="6E4104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]80 号</w:t>
                  </w:r>
                </w:p>
              </w:tc>
            </w:tr>
            <w:tr w14:paraId="2142B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29F84D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w:t>
                  </w:r>
                </w:p>
              </w:tc>
              <w:tc>
                <w:tcPr>
                  <w:tcW w:w="1301" w:type="dxa"/>
                  <w:vAlign w:val="center"/>
                </w:tcPr>
                <w:p w14:paraId="44A70F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乐昌市安莉琪服饰有限公司</w:t>
                  </w:r>
                </w:p>
              </w:tc>
              <w:tc>
                <w:tcPr>
                  <w:tcW w:w="372" w:type="dxa"/>
                  <w:vAlign w:val="center"/>
                </w:tcPr>
                <w:p w14:paraId="32502B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7378F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纺织服装、服饰业</w:t>
                  </w:r>
                </w:p>
              </w:tc>
              <w:tc>
                <w:tcPr>
                  <w:tcW w:w="904" w:type="dxa"/>
                  <w:vAlign w:val="center"/>
                </w:tcPr>
                <w:p w14:paraId="0221C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13164.82</w:t>
                  </w:r>
                </w:p>
              </w:tc>
              <w:tc>
                <w:tcPr>
                  <w:tcW w:w="2499" w:type="dxa"/>
                  <w:vAlign w:val="center"/>
                </w:tcPr>
                <w:p w14:paraId="5C523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 万件服装</w:t>
                  </w:r>
                </w:p>
              </w:tc>
              <w:tc>
                <w:tcPr>
                  <w:tcW w:w="1897" w:type="dxa"/>
                  <w:vAlign w:val="center"/>
                </w:tcPr>
                <w:p w14:paraId="4D89E2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]61 号</w:t>
                  </w:r>
                </w:p>
              </w:tc>
            </w:tr>
            <w:tr w14:paraId="78881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40CD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w:t>
                  </w:r>
                </w:p>
              </w:tc>
              <w:tc>
                <w:tcPr>
                  <w:tcW w:w="1301" w:type="dxa"/>
                  <w:vAlign w:val="center"/>
                </w:tcPr>
                <w:p w14:paraId="379724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乐昌市宏泰机械制造有限公</w:t>
                  </w:r>
                </w:p>
                <w:p w14:paraId="715B44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BE658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20289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BF7E6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17320</w:t>
                  </w:r>
                </w:p>
              </w:tc>
              <w:tc>
                <w:tcPr>
                  <w:tcW w:w="2499" w:type="dxa"/>
                  <w:vAlign w:val="center"/>
                </w:tcPr>
                <w:p w14:paraId="441F24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 1.5 万吨、铸铁件 5000 吨</w:t>
                  </w:r>
                </w:p>
              </w:tc>
              <w:tc>
                <w:tcPr>
                  <w:tcW w:w="1897" w:type="dxa"/>
                  <w:vAlign w:val="center"/>
                </w:tcPr>
                <w:p w14:paraId="6DA65E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]36 号、乐环审〔2019〕</w:t>
                  </w:r>
                </w:p>
                <w:p w14:paraId="26D208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 号</w:t>
                  </w:r>
                </w:p>
              </w:tc>
            </w:tr>
            <w:tr w14:paraId="7950F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30" w:type="dxa"/>
                  <w:vAlign w:val="center"/>
                </w:tcPr>
                <w:p w14:paraId="74934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w:t>
                  </w:r>
                </w:p>
              </w:tc>
              <w:tc>
                <w:tcPr>
                  <w:tcW w:w="1301" w:type="dxa"/>
                  <w:vAlign w:val="center"/>
                </w:tcPr>
                <w:p w14:paraId="567CA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乐昌市特安消防器材有限公</w:t>
                  </w:r>
                </w:p>
                <w:p w14:paraId="5ABABC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8BFD5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3B07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0E15FA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1283.1</w:t>
                  </w:r>
                </w:p>
              </w:tc>
              <w:tc>
                <w:tcPr>
                  <w:tcW w:w="2499" w:type="dxa"/>
                  <w:vAlign w:val="center"/>
                </w:tcPr>
                <w:p w14:paraId="6F2F81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60 万件（含霍加拉特剂生产 600</w:t>
                  </w:r>
                </w:p>
                <w:p w14:paraId="512FDE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吨），逃生缓降器 3000 套，急逃生绳 3000 条，消防防护服2</w:t>
                  </w:r>
                </w:p>
                <w:p w14:paraId="5B21B2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万套，家庭应急供氧组合装备 1500 台，灭火毯 3000 张，箔</w:t>
                  </w:r>
                </w:p>
                <w:p w14:paraId="7094A0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隔热服 3000 套，以及应急包、应急箱 6000 套等</w:t>
                  </w:r>
                </w:p>
              </w:tc>
              <w:tc>
                <w:tcPr>
                  <w:tcW w:w="1897" w:type="dxa"/>
                  <w:vAlign w:val="center"/>
                </w:tcPr>
                <w:p w14:paraId="5496C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w:t>
                  </w:r>
                </w:p>
              </w:tc>
            </w:tr>
            <w:tr w14:paraId="472F0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69B9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w:t>
                  </w:r>
                </w:p>
              </w:tc>
              <w:tc>
                <w:tcPr>
                  <w:tcW w:w="1301" w:type="dxa"/>
                  <w:vAlign w:val="center"/>
                </w:tcPr>
                <w:p w14:paraId="512211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乐昌市同路单采血浆有限公</w:t>
                  </w:r>
                </w:p>
                <w:p w14:paraId="530C3C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00FFD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2889D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卫生</w:t>
                  </w:r>
                </w:p>
              </w:tc>
              <w:tc>
                <w:tcPr>
                  <w:tcW w:w="904" w:type="dxa"/>
                  <w:vAlign w:val="center"/>
                </w:tcPr>
                <w:p w14:paraId="5C697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9379</w:t>
                  </w:r>
                </w:p>
              </w:tc>
              <w:tc>
                <w:tcPr>
                  <w:tcW w:w="2499" w:type="dxa"/>
                  <w:vAlign w:val="center"/>
                </w:tcPr>
                <w:p w14:paraId="10A6F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采浆量为 40t/a</w:t>
                  </w:r>
                </w:p>
              </w:tc>
              <w:tc>
                <w:tcPr>
                  <w:tcW w:w="1897" w:type="dxa"/>
                  <w:vAlign w:val="center"/>
                </w:tcPr>
                <w:p w14:paraId="47A23F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2016</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]20 号</w:t>
                  </w:r>
                </w:p>
              </w:tc>
            </w:tr>
            <w:tr w14:paraId="49274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9BA9B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w:t>
                  </w:r>
                </w:p>
              </w:tc>
              <w:tc>
                <w:tcPr>
                  <w:tcW w:w="1301" w:type="dxa"/>
                  <w:vAlign w:val="center"/>
                </w:tcPr>
                <w:p w14:paraId="401924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韶关鑫瑞智能装备有限公司</w:t>
                  </w:r>
                </w:p>
              </w:tc>
              <w:tc>
                <w:tcPr>
                  <w:tcW w:w="372" w:type="dxa"/>
                  <w:vAlign w:val="center"/>
                </w:tcPr>
                <w:p w14:paraId="043EC0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D4E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72365D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17693</w:t>
                  </w:r>
                </w:p>
              </w:tc>
              <w:tc>
                <w:tcPr>
                  <w:tcW w:w="2499" w:type="dxa"/>
                  <w:vAlign w:val="center"/>
                </w:tcPr>
                <w:p w14:paraId="4F94CC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年产破碎、筛分单机设备，移动式破碎筛分装备和模块化装</w:t>
                  </w:r>
                </w:p>
                <w:p w14:paraId="1E0688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备 803 台</w:t>
                  </w:r>
                </w:p>
              </w:tc>
              <w:tc>
                <w:tcPr>
                  <w:tcW w:w="1897" w:type="dxa"/>
                  <w:vAlign w:val="center"/>
                </w:tcPr>
                <w:p w14:paraId="141E9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乐环审〔2019〕25 号</w:t>
                  </w:r>
                </w:p>
              </w:tc>
            </w:tr>
            <w:tr w14:paraId="7BA25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8070A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w:t>
                  </w:r>
                </w:p>
              </w:tc>
              <w:tc>
                <w:tcPr>
                  <w:tcW w:w="1301" w:type="dxa"/>
                  <w:vAlign w:val="center"/>
                </w:tcPr>
                <w:p w14:paraId="1538E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韶关龙督装饰材料有限公司</w:t>
                  </w:r>
                </w:p>
              </w:tc>
              <w:tc>
                <w:tcPr>
                  <w:tcW w:w="372" w:type="dxa"/>
                  <w:vAlign w:val="center"/>
                </w:tcPr>
                <w:p w14:paraId="48A9EF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B80B6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8E4B5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33812.1</w:t>
                  </w:r>
                </w:p>
              </w:tc>
              <w:tc>
                <w:tcPr>
                  <w:tcW w:w="2499" w:type="dxa"/>
                  <w:vAlign w:val="center"/>
                </w:tcPr>
                <w:p w14:paraId="0267B5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年产彩涂铝卷 400 万平方米，铝幕墙板、铝天花板 100 万平</w:t>
                  </w:r>
                </w:p>
                <w:p w14:paraId="10651A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方米</w:t>
                  </w:r>
                </w:p>
              </w:tc>
              <w:tc>
                <w:tcPr>
                  <w:tcW w:w="1897" w:type="dxa"/>
                  <w:vAlign w:val="center"/>
                </w:tcPr>
                <w:p w14:paraId="1DCC1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w:t>
                  </w:r>
                </w:p>
              </w:tc>
            </w:tr>
            <w:tr w14:paraId="3B247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4213A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w:t>
                  </w:r>
                </w:p>
              </w:tc>
              <w:tc>
                <w:tcPr>
                  <w:tcW w:w="1301" w:type="dxa"/>
                  <w:vAlign w:val="center"/>
                </w:tcPr>
                <w:p w14:paraId="1BEF72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乐昌市胜兴新材料有限公司</w:t>
                  </w:r>
                </w:p>
              </w:tc>
              <w:tc>
                <w:tcPr>
                  <w:tcW w:w="372" w:type="dxa"/>
                  <w:vAlign w:val="center"/>
                </w:tcPr>
                <w:p w14:paraId="52ADE4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52C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1989A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5760</w:t>
                  </w:r>
                </w:p>
              </w:tc>
              <w:tc>
                <w:tcPr>
                  <w:tcW w:w="2499" w:type="dxa"/>
                  <w:vAlign w:val="center"/>
                </w:tcPr>
                <w:p w14:paraId="2F12D1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年产衬布 6000 万米</w:t>
                  </w:r>
                </w:p>
              </w:tc>
              <w:tc>
                <w:tcPr>
                  <w:tcW w:w="1897" w:type="dxa"/>
                  <w:vAlign w:val="center"/>
                </w:tcPr>
                <w:p w14:paraId="76F04F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18 号</w:t>
                  </w:r>
                </w:p>
              </w:tc>
            </w:tr>
            <w:tr w14:paraId="132B6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3A27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w:t>
                  </w:r>
                </w:p>
              </w:tc>
              <w:tc>
                <w:tcPr>
                  <w:tcW w:w="1301" w:type="dxa"/>
                  <w:vAlign w:val="center"/>
                </w:tcPr>
                <w:p w14:paraId="38450A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乐昌市鸿鑫机械设备有限公</w:t>
                  </w:r>
                </w:p>
                <w:p w14:paraId="7F947D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175C6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26B68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5E9B63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700</w:t>
                  </w:r>
                </w:p>
              </w:tc>
              <w:tc>
                <w:tcPr>
                  <w:tcW w:w="2499" w:type="dxa"/>
                  <w:vAlign w:val="center"/>
                </w:tcPr>
                <w:p w14:paraId="6FAAC6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年产液压元件 1000 套</w:t>
                  </w:r>
                </w:p>
              </w:tc>
              <w:tc>
                <w:tcPr>
                  <w:tcW w:w="1897" w:type="dxa"/>
                  <w:vAlign w:val="center"/>
                </w:tcPr>
                <w:p w14:paraId="111C59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乐环审〔2019〕38 号</w:t>
                  </w:r>
                </w:p>
              </w:tc>
            </w:tr>
            <w:tr w14:paraId="4A638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60BB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w:t>
                  </w:r>
                </w:p>
              </w:tc>
              <w:tc>
                <w:tcPr>
                  <w:tcW w:w="1301" w:type="dxa"/>
                  <w:vAlign w:val="center"/>
                </w:tcPr>
                <w:p w14:paraId="7AF39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广东柏创智能装备有限公司</w:t>
                  </w:r>
                </w:p>
              </w:tc>
              <w:tc>
                <w:tcPr>
                  <w:tcW w:w="372" w:type="dxa"/>
                  <w:vAlign w:val="center"/>
                </w:tcPr>
                <w:p w14:paraId="5E3D4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4A0DA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7902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2499" w:type="dxa"/>
                  <w:vAlign w:val="center"/>
                </w:tcPr>
                <w:p w14:paraId="57693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年产单晶炉热交换器 1.2 万套、腔体部件 200 套、晶棒相关</w:t>
                  </w:r>
                </w:p>
                <w:p w14:paraId="1AF95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自动化设备 200 套</w:t>
                  </w:r>
                </w:p>
              </w:tc>
              <w:tc>
                <w:tcPr>
                  <w:tcW w:w="1897" w:type="dxa"/>
                  <w:vAlign w:val="center"/>
                </w:tcPr>
                <w:p w14:paraId="119B54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韶环乐审〔2023〕33 号</w:t>
                  </w:r>
                </w:p>
              </w:tc>
            </w:tr>
            <w:tr w14:paraId="4BAA0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1C37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41</w:t>
                  </w:r>
                </w:p>
              </w:tc>
              <w:tc>
                <w:tcPr>
                  <w:tcW w:w="1301" w:type="dxa"/>
                  <w:vAlign w:val="center"/>
                </w:tcPr>
                <w:p w14:paraId="7FB62F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广东中衡能源设备有限公司</w:t>
                  </w:r>
                </w:p>
              </w:tc>
              <w:tc>
                <w:tcPr>
                  <w:tcW w:w="372" w:type="dxa"/>
                  <w:vAlign w:val="center"/>
                </w:tcPr>
                <w:p w14:paraId="59DB84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8B71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54C55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13940.57</w:t>
                  </w:r>
                </w:p>
              </w:tc>
              <w:tc>
                <w:tcPr>
                  <w:tcW w:w="2499" w:type="dxa"/>
                  <w:vAlign w:val="center"/>
                </w:tcPr>
                <w:p w14:paraId="0D477A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年产移动通信基站设备 3 万套、移动通信机柜 2 万套</w:t>
                  </w:r>
                </w:p>
              </w:tc>
              <w:tc>
                <w:tcPr>
                  <w:tcW w:w="1897" w:type="dxa"/>
                  <w:vAlign w:val="center"/>
                </w:tcPr>
                <w:p w14:paraId="5EB73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韶环乐审〔2022〕12 号</w:t>
                  </w:r>
                </w:p>
              </w:tc>
            </w:tr>
            <w:tr w14:paraId="5A384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01E570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42</w:t>
                  </w:r>
                </w:p>
              </w:tc>
              <w:tc>
                <w:tcPr>
                  <w:tcW w:w="1301" w:type="dxa"/>
                  <w:vAlign w:val="center"/>
                </w:tcPr>
                <w:p w14:paraId="697E88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韶关欧亚特电子制品有限公</w:t>
                  </w:r>
                </w:p>
                <w:p w14:paraId="7D6F95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2E790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139AB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w:t>
                  </w:r>
                </w:p>
                <w:p w14:paraId="0ED820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他电子设备制造</w:t>
                  </w:r>
                </w:p>
                <w:p w14:paraId="2F3EEC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业、电气机械和器</w:t>
                  </w:r>
                </w:p>
                <w:p w14:paraId="599D4A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材制造业、橡胶和</w:t>
                  </w:r>
                </w:p>
                <w:p w14:paraId="78BD87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塑料制品业</w:t>
                  </w:r>
                </w:p>
              </w:tc>
              <w:tc>
                <w:tcPr>
                  <w:tcW w:w="904" w:type="dxa"/>
                  <w:vAlign w:val="center"/>
                </w:tcPr>
                <w:p w14:paraId="7B3BAE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18664</w:t>
                  </w:r>
                </w:p>
              </w:tc>
              <w:tc>
                <w:tcPr>
                  <w:tcW w:w="2499" w:type="dxa"/>
                  <w:vAlign w:val="center"/>
                </w:tcPr>
                <w:p w14:paraId="35B12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1000 万支热熔胶枪及 1000 万根插头线、3000 万条热熔</w:t>
                  </w:r>
                </w:p>
                <w:p w14:paraId="56E3AA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胶条</w:t>
                  </w:r>
                </w:p>
              </w:tc>
              <w:tc>
                <w:tcPr>
                  <w:tcW w:w="1897" w:type="dxa"/>
                  <w:vAlign w:val="center"/>
                </w:tcPr>
                <w:p w14:paraId="4CE9CE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号、乐环审</w:t>
                  </w:r>
                </w:p>
                <w:p w14:paraId="7A83F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]09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]52 号、</w:t>
                  </w:r>
                </w:p>
                <w:p w14:paraId="72F7E5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乐环审〔2020〕05 号</w:t>
                  </w:r>
                </w:p>
              </w:tc>
            </w:tr>
            <w:tr w14:paraId="1FA90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9D5F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w:t>
                  </w:r>
                </w:p>
              </w:tc>
              <w:tc>
                <w:tcPr>
                  <w:tcW w:w="1301" w:type="dxa"/>
                  <w:vAlign w:val="center"/>
                </w:tcPr>
                <w:p w14:paraId="6FE3EF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德尔安科技（广东）有限公司</w:t>
                  </w:r>
                </w:p>
              </w:tc>
              <w:tc>
                <w:tcPr>
                  <w:tcW w:w="372" w:type="dxa"/>
                  <w:vAlign w:val="center"/>
                </w:tcPr>
                <w:p w14:paraId="7D074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48EBC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4E7D9C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27672.2</w:t>
                  </w:r>
                </w:p>
              </w:tc>
              <w:tc>
                <w:tcPr>
                  <w:tcW w:w="2499" w:type="dxa"/>
                  <w:vAlign w:val="center"/>
                </w:tcPr>
                <w:p w14:paraId="411527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400 万具，水基型灭火器 100 万具，催化剂 600 吨和水系灭火剂2400 吨等</w:t>
                  </w:r>
                </w:p>
              </w:tc>
              <w:tc>
                <w:tcPr>
                  <w:tcW w:w="1897" w:type="dxa"/>
                  <w:vAlign w:val="center"/>
                </w:tcPr>
                <w:p w14:paraId="0DCE8D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韶环乐审〔2021〕23 号</w:t>
                  </w:r>
                </w:p>
              </w:tc>
            </w:tr>
            <w:tr w14:paraId="56011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1B6F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w:t>
                  </w:r>
                </w:p>
              </w:tc>
              <w:tc>
                <w:tcPr>
                  <w:tcW w:w="1301" w:type="dxa"/>
                  <w:vAlign w:val="center"/>
                </w:tcPr>
                <w:p w14:paraId="5BD1B5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广东东田实业有限公司</w:t>
                  </w:r>
                </w:p>
              </w:tc>
              <w:tc>
                <w:tcPr>
                  <w:tcW w:w="372" w:type="dxa"/>
                  <w:vAlign w:val="center"/>
                </w:tcPr>
                <w:p w14:paraId="2810D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B19B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4A2EEE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1557.48</w:t>
                  </w:r>
                </w:p>
              </w:tc>
              <w:tc>
                <w:tcPr>
                  <w:tcW w:w="2499" w:type="dxa"/>
                  <w:vAlign w:val="center"/>
                </w:tcPr>
                <w:p w14:paraId="45A6A5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年产移动通信基站电源钣金件 5 万套</w:t>
                  </w:r>
                </w:p>
              </w:tc>
              <w:tc>
                <w:tcPr>
                  <w:tcW w:w="1897" w:type="dxa"/>
                  <w:vAlign w:val="center"/>
                </w:tcPr>
                <w:p w14:paraId="6E5A0E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乐环审〔2020〕27 号</w:t>
                  </w:r>
                </w:p>
              </w:tc>
            </w:tr>
            <w:tr w14:paraId="344C1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5BE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45</w:t>
                  </w:r>
                </w:p>
              </w:tc>
              <w:tc>
                <w:tcPr>
                  <w:tcW w:w="1301" w:type="dxa"/>
                  <w:vAlign w:val="center"/>
                </w:tcPr>
                <w:p w14:paraId="672EBE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广东弘德宝厨具有限公司</w:t>
                  </w:r>
                </w:p>
              </w:tc>
              <w:tc>
                <w:tcPr>
                  <w:tcW w:w="372" w:type="dxa"/>
                  <w:vAlign w:val="center"/>
                </w:tcPr>
                <w:p w14:paraId="08F3E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48E3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634C5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26640</w:t>
                  </w:r>
                </w:p>
              </w:tc>
              <w:tc>
                <w:tcPr>
                  <w:tcW w:w="2499" w:type="dxa"/>
                  <w:vAlign w:val="center"/>
                </w:tcPr>
                <w:p w14:paraId="260CBE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年产铸铁厨房用具 2.5 万吨</w:t>
                  </w:r>
                </w:p>
              </w:tc>
              <w:tc>
                <w:tcPr>
                  <w:tcW w:w="1897" w:type="dxa"/>
                  <w:vAlign w:val="center"/>
                </w:tcPr>
                <w:p w14:paraId="503B1E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韶环乐审〔2022〕18 号</w:t>
                  </w:r>
                </w:p>
              </w:tc>
            </w:tr>
            <w:tr w14:paraId="6AE51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41DD6C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46</w:t>
                  </w:r>
                </w:p>
              </w:tc>
              <w:tc>
                <w:tcPr>
                  <w:tcW w:w="1301" w:type="dxa"/>
                  <w:vAlign w:val="center"/>
                </w:tcPr>
                <w:p w14:paraId="0C49A7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冠荣科技（韶关）有限公司</w:t>
                  </w:r>
                </w:p>
              </w:tc>
              <w:tc>
                <w:tcPr>
                  <w:tcW w:w="372" w:type="dxa"/>
                  <w:vAlign w:val="center"/>
                </w:tcPr>
                <w:p w14:paraId="6248F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7856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0E0D8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业、印刷和记录媒</w:t>
                  </w:r>
                </w:p>
                <w:p w14:paraId="6B66FE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介复制业</w:t>
                  </w:r>
                </w:p>
              </w:tc>
              <w:tc>
                <w:tcPr>
                  <w:tcW w:w="904" w:type="dxa"/>
                  <w:vAlign w:val="center"/>
                </w:tcPr>
                <w:p w14:paraId="212C6F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2499" w:type="dxa"/>
                  <w:vAlign w:val="center"/>
                </w:tcPr>
                <w:p w14:paraId="3251F0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年产商标 18000 万个、TPU 材料和硅胶材料 50 万平方米</w:t>
                  </w:r>
                </w:p>
              </w:tc>
              <w:tc>
                <w:tcPr>
                  <w:tcW w:w="1897" w:type="dxa"/>
                  <w:vAlign w:val="center"/>
                </w:tcPr>
                <w:p w14:paraId="6023DC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韶环乐审〔2023〕07 号</w:t>
                  </w:r>
                </w:p>
              </w:tc>
            </w:tr>
            <w:tr w14:paraId="6805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4CCAD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w:t>
                  </w:r>
                </w:p>
              </w:tc>
              <w:tc>
                <w:tcPr>
                  <w:tcW w:w="1301" w:type="dxa"/>
                  <w:vAlign w:val="center"/>
                </w:tcPr>
                <w:p w14:paraId="683890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添亿包装（广东）有限公司</w:t>
                  </w:r>
                </w:p>
              </w:tc>
              <w:tc>
                <w:tcPr>
                  <w:tcW w:w="372" w:type="dxa"/>
                  <w:vAlign w:val="center"/>
                </w:tcPr>
                <w:p w14:paraId="7F41E9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C178E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纸制品制造</w:t>
                  </w:r>
                </w:p>
              </w:tc>
              <w:tc>
                <w:tcPr>
                  <w:tcW w:w="904" w:type="dxa"/>
                  <w:vAlign w:val="center"/>
                </w:tcPr>
                <w:p w14:paraId="4E85A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16564.72</w:t>
                  </w:r>
                </w:p>
              </w:tc>
              <w:tc>
                <w:tcPr>
                  <w:tcW w:w="2499" w:type="dxa"/>
                  <w:vAlign w:val="center"/>
                </w:tcPr>
                <w:p w14:paraId="3428E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10 亿套</w:t>
                  </w:r>
                </w:p>
              </w:tc>
              <w:tc>
                <w:tcPr>
                  <w:tcW w:w="1897" w:type="dxa"/>
                  <w:vAlign w:val="center"/>
                </w:tcPr>
                <w:p w14:paraId="1EE1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韶环乐审〔2021〕24 号</w:t>
                  </w:r>
                </w:p>
              </w:tc>
            </w:tr>
            <w:tr w14:paraId="4E414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E5D2D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48</w:t>
                  </w:r>
                </w:p>
              </w:tc>
              <w:tc>
                <w:tcPr>
                  <w:tcW w:w="1301" w:type="dxa"/>
                  <w:vAlign w:val="center"/>
                </w:tcPr>
                <w:p w14:paraId="458A8F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广东光宝微电子有限公司</w:t>
                  </w:r>
                </w:p>
              </w:tc>
              <w:tc>
                <w:tcPr>
                  <w:tcW w:w="372" w:type="dxa"/>
                  <w:vAlign w:val="center"/>
                </w:tcPr>
                <w:p w14:paraId="65B75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8C7A8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75E9A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w:t>
                  </w:r>
                </w:p>
              </w:tc>
              <w:tc>
                <w:tcPr>
                  <w:tcW w:w="2499" w:type="dxa"/>
                  <w:vAlign w:val="center"/>
                </w:tcPr>
                <w:p w14:paraId="1C0123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年产发光二极管 1.2 亿个、光电耦合器件 1500 万个</w:t>
                  </w:r>
                </w:p>
              </w:tc>
              <w:tc>
                <w:tcPr>
                  <w:tcW w:w="1897" w:type="dxa"/>
                  <w:vAlign w:val="center"/>
                </w:tcPr>
                <w:p w14:paraId="4A58F4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韶环乐审〔2024〕21 号</w:t>
                  </w:r>
                </w:p>
              </w:tc>
            </w:tr>
            <w:tr w14:paraId="6825B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3872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49</w:t>
                  </w:r>
                </w:p>
              </w:tc>
              <w:tc>
                <w:tcPr>
                  <w:tcW w:w="1301" w:type="dxa"/>
                  <w:vAlign w:val="center"/>
                </w:tcPr>
                <w:p w14:paraId="5709B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韶关博鑫工程服务有限公司</w:t>
                  </w:r>
                </w:p>
              </w:tc>
              <w:tc>
                <w:tcPr>
                  <w:tcW w:w="372" w:type="dxa"/>
                  <w:vAlign w:val="center"/>
                </w:tcPr>
                <w:p w14:paraId="4D9953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95D44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7F2F8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51544.6</w:t>
                  </w:r>
                </w:p>
              </w:tc>
              <w:tc>
                <w:tcPr>
                  <w:tcW w:w="2499" w:type="dxa"/>
                  <w:vAlign w:val="center"/>
                </w:tcPr>
                <w:p w14:paraId="397DF6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年产铝合金模板 20 万立方米、翻新铝合金模板20 万立方米、</w:t>
                  </w:r>
                </w:p>
                <w:p w14:paraId="6C6931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翻新背楞 2000 吨、其他配套产品 3000 吨</w:t>
                  </w:r>
                </w:p>
              </w:tc>
              <w:tc>
                <w:tcPr>
                  <w:tcW w:w="1897" w:type="dxa"/>
                  <w:vAlign w:val="center"/>
                </w:tcPr>
                <w:p w14:paraId="79412E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韶环乐审〔2024〕34 号</w:t>
                  </w:r>
                </w:p>
              </w:tc>
            </w:tr>
            <w:tr w14:paraId="17C26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19D8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w:t>
                  </w:r>
                </w:p>
              </w:tc>
              <w:tc>
                <w:tcPr>
                  <w:tcW w:w="1301" w:type="dxa"/>
                  <w:vAlign w:val="center"/>
                </w:tcPr>
                <w:p w14:paraId="26D97D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乐昌市安顺达管道天然气有</w:t>
                  </w:r>
                </w:p>
                <w:p w14:paraId="5721CB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38EBA4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9F0E7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燃气生产和供应业</w:t>
                  </w:r>
                </w:p>
              </w:tc>
              <w:tc>
                <w:tcPr>
                  <w:tcW w:w="904" w:type="dxa"/>
                  <w:vAlign w:val="center"/>
                </w:tcPr>
                <w:p w14:paraId="660C62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20080</w:t>
                  </w:r>
                </w:p>
              </w:tc>
              <w:tc>
                <w:tcPr>
                  <w:tcW w:w="2499" w:type="dxa"/>
                  <w:vAlign w:val="center"/>
                </w:tcPr>
                <w:p w14:paraId="74EB8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日供气量约 15 万立方</w:t>
                  </w:r>
                </w:p>
              </w:tc>
              <w:tc>
                <w:tcPr>
                  <w:tcW w:w="1897" w:type="dxa"/>
                  <w:vAlign w:val="center"/>
                </w:tcPr>
                <w:p w14:paraId="3BE06D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]53 号</w:t>
                  </w:r>
                </w:p>
              </w:tc>
            </w:tr>
            <w:tr w14:paraId="5776E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7BE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w:t>
                  </w:r>
                </w:p>
              </w:tc>
              <w:tc>
                <w:tcPr>
                  <w:tcW w:w="1301" w:type="dxa"/>
                  <w:vAlign w:val="center"/>
                </w:tcPr>
                <w:p w14:paraId="06CEAC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广东利生源生物饲料有限公</w:t>
                  </w:r>
                </w:p>
                <w:p w14:paraId="0A5907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D59BC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546FE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农副食品加工业</w:t>
                  </w:r>
                </w:p>
              </w:tc>
              <w:tc>
                <w:tcPr>
                  <w:tcW w:w="904" w:type="dxa"/>
                  <w:vAlign w:val="center"/>
                </w:tcPr>
                <w:p w14:paraId="1EE531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10770</w:t>
                  </w:r>
                </w:p>
              </w:tc>
              <w:tc>
                <w:tcPr>
                  <w:tcW w:w="2499" w:type="dxa"/>
                  <w:vAlign w:val="center"/>
                </w:tcPr>
                <w:p w14:paraId="60A681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年产优能乳 10800 吨、利生宝 3000 吨</w:t>
                  </w:r>
                </w:p>
              </w:tc>
              <w:tc>
                <w:tcPr>
                  <w:tcW w:w="1897" w:type="dxa"/>
                  <w:vAlign w:val="center"/>
                </w:tcPr>
                <w:p w14:paraId="38870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6FBAC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5FF7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w:t>
                  </w:r>
                </w:p>
              </w:tc>
              <w:tc>
                <w:tcPr>
                  <w:tcW w:w="1301" w:type="dxa"/>
                  <w:vAlign w:val="center"/>
                </w:tcPr>
                <w:p w14:paraId="50257E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乐昌市自来水有限公司</w:t>
                  </w:r>
                </w:p>
              </w:tc>
              <w:tc>
                <w:tcPr>
                  <w:tcW w:w="372" w:type="dxa"/>
                  <w:vAlign w:val="center"/>
                </w:tcPr>
                <w:p w14:paraId="05422F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965C6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自来水生产和供应业</w:t>
                  </w:r>
                </w:p>
              </w:tc>
              <w:tc>
                <w:tcPr>
                  <w:tcW w:w="904" w:type="dxa"/>
                  <w:vAlign w:val="center"/>
                </w:tcPr>
                <w:p w14:paraId="5EF1B6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9303.8</w:t>
                  </w:r>
                </w:p>
              </w:tc>
              <w:tc>
                <w:tcPr>
                  <w:tcW w:w="2499" w:type="dxa"/>
                  <w:vAlign w:val="center"/>
                </w:tcPr>
                <w:p w14:paraId="0EC153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加压泵站建设，供应水量 5000 立方</w:t>
                  </w:r>
                </w:p>
              </w:tc>
              <w:tc>
                <w:tcPr>
                  <w:tcW w:w="1897" w:type="dxa"/>
                  <w:vAlign w:val="center"/>
                </w:tcPr>
                <w:p w14:paraId="5B0922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1F5C6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2B88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w:t>
                  </w:r>
                </w:p>
              </w:tc>
              <w:tc>
                <w:tcPr>
                  <w:tcW w:w="1301" w:type="dxa"/>
                  <w:vAlign w:val="center"/>
                </w:tcPr>
                <w:p w14:paraId="70A31F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东莞东坑（乐昌）产业转移园</w:t>
                  </w:r>
                </w:p>
                <w:p w14:paraId="1808A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污水处理厂</w:t>
                  </w:r>
                </w:p>
              </w:tc>
              <w:tc>
                <w:tcPr>
                  <w:tcW w:w="372" w:type="dxa"/>
                  <w:vAlign w:val="center"/>
                </w:tcPr>
                <w:p w14:paraId="17F985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D2B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904" w:type="dxa"/>
                  <w:vAlign w:val="center"/>
                </w:tcPr>
                <w:p w14:paraId="0997F5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15400</w:t>
                  </w:r>
                </w:p>
              </w:tc>
              <w:tc>
                <w:tcPr>
                  <w:tcW w:w="2499" w:type="dxa"/>
                  <w:vAlign w:val="center"/>
                </w:tcPr>
                <w:p w14:paraId="287ACA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处理水量 10000 立方米/d</w:t>
                  </w:r>
                </w:p>
              </w:tc>
              <w:tc>
                <w:tcPr>
                  <w:tcW w:w="1897" w:type="dxa"/>
                  <w:vAlign w:val="center"/>
                </w:tcPr>
                <w:p w14:paraId="5DB9C9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2010</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107 号</w:t>
                  </w:r>
                </w:p>
              </w:tc>
            </w:tr>
            <w:tr w14:paraId="6A1F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45075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w:t>
                  </w:r>
                </w:p>
              </w:tc>
              <w:tc>
                <w:tcPr>
                  <w:tcW w:w="1301" w:type="dxa"/>
                  <w:vAlign w:val="center"/>
                </w:tcPr>
                <w:p w14:paraId="2B877B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乐昌市玉煌科技有限公司</w:t>
                  </w:r>
                </w:p>
              </w:tc>
              <w:tc>
                <w:tcPr>
                  <w:tcW w:w="372" w:type="dxa"/>
                  <w:vAlign w:val="center"/>
                </w:tcPr>
                <w:p w14:paraId="43B2CA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09A23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9C34D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15291.1</w:t>
                  </w:r>
                </w:p>
              </w:tc>
              <w:tc>
                <w:tcPr>
                  <w:tcW w:w="2499" w:type="dxa"/>
                  <w:vAlign w:val="center"/>
                </w:tcPr>
                <w:p w14:paraId="36FAC7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年产螺丝紧固件 2000 吨</w:t>
                  </w:r>
                </w:p>
              </w:tc>
              <w:tc>
                <w:tcPr>
                  <w:tcW w:w="1897" w:type="dxa"/>
                  <w:vAlign w:val="center"/>
                </w:tcPr>
                <w:p w14:paraId="77F9C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]54 号</w:t>
                  </w:r>
                </w:p>
              </w:tc>
            </w:tr>
            <w:tr w14:paraId="34B5B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2B396B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55</w:t>
                  </w:r>
                </w:p>
              </w:tc>
              <w:tc>
                <w:tcPr>
                  <w:tcW w:w="1301" w:type="dxa"/>
                  <w:vAlign w:val="center"/>
                </w:tcPr>
                <w:p w14:paraId="354204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广东科优精密机械制造有限</w:t>
                  </w:r>
                </w:p>
                <w:p w14:paraId="393B53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2671A4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17DD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2CF25A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12528.8</w:t>
                  </w:r>
                </w:p>
              </w:tc>
              <w:tc>
                <w:tcPr>
                  <w:tcW w:w="2499" w:type="dxa"/>
                  <w:vAlign w:val="center"/>
                </w:tcPr>
                <w:p w14:paraId="2FCE6B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年产电磁阀用汇流板 5000 吨、精抽加工铝制品 400 吨，表面</w:t>
                  </w:r>
                </w:p>
                <w:p w14:paraId="28142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处理汇流板产品 1800 吨</w:t>
                  </w:r>
                </w:p>
              </w:tc>
              <w:tc>
                <w:tcPr>
                  <w:tcW w:w="1897" w:type="dxa"/>
                  <w:vAlign w:val="center"/>
                </w:tcPr>
                <w:p w14:paraId="61F8C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w:t>
                  </w:r>
                </w:p>
                <w:p w14:paraId="06C812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 号、韶环乐审〔2024〕04</w:t>
                  </w:r>
                </w:p>
                <w:p w14:paraId="67E13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号</w:t>
                  </w:r>
                </w:p>
              </w:tc>
            </w:tr>
            <w:tr w14:paraId="2FA03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9B461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w:t>
                  </w:r>
                </w:p>
              </w:tc>
              <w:tc>
                <w:tcPr>
                  <w:tcW w:w="1301" w:type="dxa"/>
                  <w:vAlign w:val="center"/>
                </w:tcPr>
                <w:p w14:paraId="59DF81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广东中博交通环保设备有限</w:t>
                  </w:r>
                </w:p>
                <w:p w14:paraId="724A3E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192C6A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56CE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1F9FEC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20059.4</w:t>
                  </w:r>
                </w:p>
              </w:tc>
              <w:tc>
                <w:tcPr>
                  <w:tcW w:w="2499" w:type="dxa"/>
                  <w:vAlign w:val="center"/>
                </w:tcPr>
                <w:p w14:paraId="1CB241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年加工生产交通环保材料 50 万件</w:t>
                  </w:r>
                </w:p>
              </w:tc>
              <w:tc>
                <w:tcPr>
                  <w:tcW w:w="1897" w:type="dxa"/>
                  <w:vAlign w:val="center"/>
                </w:tcPr>
                <w:p w14:paraId="1DD5E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]59 号</w:t>
                  </w:r>
                </w:p>
              </w:tc>
            </w:tr>
            <w:tr w14:paraId="419C5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DEF1D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w:t>
                  </w:r>
                </w:p>
              </w:tc>
              <w:tc>
                <w:tcPr>
                  <w:tcW w:w="1301" w:type="dxa"/>
                  <w:vAlign w:val="center"/>
                </w:tcPr>
                <w:p w14:paraId="2DDB1F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乐昌欧典高分子装饰材料有</w:t>
                  </w:r>
                </w:p>
                <w:p w14:paraId="0FDB7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291F38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A4437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4F9AB1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8631.1</w:t>
                  </w:r>
                </w:p>
              </w:tc>
              <w:tc>
                <w:tcPr>
                  <w:tcW w:w="2499" w:type="dxa"/>
                  <w:vAlign w:val="center"/>
                </w:tcPr>
                <w:p w14:paraId="754598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墙板 300 万平方、PVC 墙板配套线条约 200 万米</w:t>
                  </w:r>
                </w:p>
              </w:tc>
              <w:tc>
                <w:tcPr>
                  <w:tcW w:w="1897" w:type="dxa"/>
                  <w:vAlign w:val="center"/>
                </w:tcPr>
                <w:p w14:paraId="4F805D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]68 号</w:t>
                  </w:r>
                </w:p>
              </w:tc>
            </w:tr>
            <w:tr w14:paraId="057B9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E793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7BE70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58</w:t>
                  </w:r>
                </w:p>
              </w:tc>
              <w:tc>
                <w:tcPr>
                  <w:tcW w:w="1301" w:type="dxa"/>
                  <w:vAlign w:val="center"/>
                </w:tcPr>
                <w:p w14:paraId="43E0E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韶关豪立再生资源利用有限</w:t>
                  </w:r>
                </w:p>
                <w:p w14:paraId="1B7CE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F4DA2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66A56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6E8007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17646</w:t>
                  </w:r>
                </w:p>
              </w:tc>
              <w:tc>
                <w:tcPr>
                  <w:tcW w:w="2499" w:type="dxa"/>
                  <w:vAlign w:val="center"/>
                </w:tcPr>
                <w:p w14:paraId="7CD3B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年处理废金属 79760 吨、废纸 5982 吨、拆解设备 2000 台，</w:t>
                  </w:r>
                </w:p>
                <w:p w14:paraId="2D50D4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年产再生玻璃 11.4 万吨、玻璃纤维 3 万吨、玻璃纤维增强塑</w:t>
                  </w:r>
                </w:p>
                <w:p w14:paraId="0023F3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料制品 7200 吨</w:t>
                  </w:r>
                </w:p>
              </w:tc>
              <w:tc>
                <w:tcPr>
                  <w:tcW w:w="1897" w:type="dxa"/>
                  <w:vAlign w:val="center"/>
                </w:tcPr>
                <w:p w14:paraId="7E040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]69 号、韶环乐审</w:t>
                  </w:r>
                </w:p>
                <w:p w14:paraId="0F780B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〔2021〕06 号、韶环乐审〔2023〕</w:t>
                  </w:r>
                </w:p>
                <w:p w14:paraId="6BAE03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5FE3F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E1863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59</w:t>
                  </w:r>
                </w:p>
              </w:tc>
              <w:tc>
                <w:tcPr>
                  <w:tcW w:w="1301" w:type="dxa"/>
                  <w:vAlign w:val="center"/>
                </w:tcPr>
                <w:p w14:paraId="32F84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047409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（创业就业基地）</w:t>
                  </w:r>
                </w:p>
              </w:tc>
              <w:tc>
                <w:tcPr>
                  <w:tcW w:w="372" w:type="dxa"/>
                  <w:vAlign w:val="center"/>
                </w:tcPr>
                <w:p w14:paraId="34495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6CED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5071AB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3504</w:t>
                  </w:r>
                </w:p>
              </w:tc>
              <w:tc>
                <w:tcPr>
                  <w:tcW w:w="2499" w:type="dxa"/>
                  <w:vAlign w:val="center"/>
                </w:tcPr>
                <w:p w14:paraId="0490D9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年产塑料及五金制品 280 万件</w:t>
                  </w:r>
                </w:p>
              </w:tc>
              <w:tc>
                <w:tcPr>
                  <w:tcW w:w="1897" w:type="dxa"/>
                  <w:vAlign w:val="center"/>
                </w:tcPr>
                <w:p w14:paraId="49E32A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乐环审〔2019〕28 号</w:t>
                  </w:r>
                </w:p>
              </w:tc>
            </w:tr>
            <w:tr w14:paraId="1C449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C248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w:t>
                  </w:r>
                </w:p>
              </w:tc>
              <w:tc>
                <w:tcPr>
                  <w:tcW w:w="1301" w:type="dxa"/>
                  <w:vAlign w:val="center"/>
                </w:tcPr>
                <w:p w14:paraId="510BDA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11A08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(金玲三路）</w:t>
                  </w:r>
                </w:p>
              </w:tc>
              <w:tc>
                <w:tcPr>
                  <w:tcW w:w="372" w:type="dxa"/>
                  <w:vAlign w:val="center"/>
                </w:tcPr>
                <w:p w14:paraId="588AF4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9608B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29DB47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15173</w:t>
                  </w:r>
                </w:p>
              </w:tc>
              <w:tc>
                <w:tcPr>
                  <w:tcW w:w="2499" w:type="dxa"/>
                  <w:vAlign w:val="center"/>
                </w:tcPr>
                <w:p w14:paraId="6DB014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年产家用小电器（电吹风、直发器、卷发器等）250 万台</w:t>
                  </w:r>
                </w:p>
              </w:tc>
              <w:tc>
                <w:tcPr>
                  <w:tcW w:w="1897" w:type="dxa"/>
                  <w:vAlign w:val="center"/>
                </w:tcPr>
                <w:p w14:paraId="368C2D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乐环审〔2019〕40 号</w:t>
                  </w:r>
                </w:p>
              </w:tc>
            </w:tr>
            <w:tr w14:paraId="10CE1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07B54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61</w:t>
                  </w:r>
                </w:p>
              </w:tc>
              <w:tc>
                <w:tcPr>
                  <w:tcW w:w="1301" w:type="dxa"/>
                  <w:vAlign w:val="center"/>
                </w:tcPr>
                <w:p w14:paraId="713907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广东昊奕智能科技有限公司</w:t>
                  </w:r>
                </w:p>
              </w:tc>
              <w:tc>
                <w:tcPr>
                  <w:tcW w:w="372" w:type="dxa"/>
                  <w:vAlign w:val="center"/>
                </w:tcPr>
                <w:p w14:paraId="5F681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63E26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F7F7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9533.38</w:t>
                  </w:r>
                </w:p>
              </w:tc>
              <w:tc>
                <w:tcPr>
                  <w:tcW w:w="2499" w:type="dxa"/>
                  <w:vAlign w:val="center"/>
                </w:tcPr>
                <w:p w14:paraId="1379D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年产不锈钢线材 5000 吨</w:t>
                  </w:r>
                </w:p>
              </w:tc>
              <w:tc>
                <w:tcPr>
                  <w:tcW w:w="1897" w:type="dxa"/>
                  <w:vAlign w:val="center"/>
                </w:tcPr>
                <w:p w14:paraId="429A79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韶环乐审〔2023〕01 号</w:t>
                  </w:r>
                </w:p>
              </w:tc>
            </w:tr>
            <w:tr w14:paraId="5145E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A95B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62</w:t>
                  </w:r>
                </w:p>
              </w:tc>
              <w:tc>
                <w:tcPr>
                  <w:tcW w:w="1301" w:type="dxa"/>
                  <w:vAlign w:val="center"/>
                </w:tcPr>
                <w:p w14:paraId="4B9E50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三创复合材料(乐昌)有限公司</w:t>
                  </w:r>
                </w:p>
              </w:tc>
              <w:tc>
                <w:tcPr>
                  <w:tcW w:w="372" w:type="dxa"/>
                  <w:vAlign w:val="center"/>
                </w:tcPr>
                <w:p w14:paraId="1EFB84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A0F03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4005F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25577.13</w:t>
                  </w:r>
                </w:p>
              </w:tc>
              <w:tc>
                <w:tcPr>
                  <w:tcW w:w="2499" w:type="dxa"/>
                  <w:vAlign w:val="center"/>
                </w:tcPr>
                <w:p w14:paraId="315C07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年产玻璃纤维和碳素纤维复合材料制品 6365 吨</w:t>
                  </w:r>
                </w:p>
              </w:tc>
              <w:tc>
                <w:tcPr>
                  <w:tcW w:w="1897" w:type="dxa"/>
                  <w:vAlign w:val="center"/>
                </w:tcPr>
                <w:p w14:paraId="36631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63350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4B493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63</w:t>
                  </w:r>
                </w:p>
              </w:tc>
              <w:tc>
                <w:tcPr>
                  <w:tcW w:w="1301" w:type="dxa"/>
                  <w:vAlign w:val="center"/>
                </w:tcPr>
                <w:p w14:paraId="6CA4E1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广东联丰科技有限公司</w:t>
                  </w:r>
                </w:p>
              </w:tc>
              <w:tc>
                <w:tcPr>
                  <w:tcW w:w="372" w:type="dxa"/>
                  <w:vAlign w:val="center"/>
                </w:tcPr>
                <w:p w14:paraId="4199FB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FDF77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06FBBE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11862.25</w:t>
                  </w:r>
                </w:p>
              </w:tc>
              <w:tc>
                <w:tcPr>
                  <w:tcW w:w="2499" w:type="dxa"/>
                  <w:vAlign w:val="center"/>
                </w:tcPr>
                <w:p w14:paraId="734E18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年产HDPE 双壁波纹管 2800 吨、HDPE 缠绕管 2350 吨、HDPE</w:t>
                  </w:r>
                </w:p>
                <w:p w14:paraId="37C2E0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供水管 2580 吨、PVC 管 2270 吨</w:t>
                  </w:r>
                </w:p>
              </w:tc>
              <w:tc>
                <w:tcPr>
                  <w:tcW w:w="1897" w:type="dxa"/>
                  <w:vAlign w:val="center"/>
                </w:tcPr>
                <w:p w14:paraId="624409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韶环乐审〔2025〕03 号</w:t>
                  </w:r>
                </w:p>
              </w:tc>
            </w:tr>
            <w:tr w14:paraId="07168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62D4DC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64</w:t>
                  </w:r>
                </w:p>
              </w:tc>
              <w:tc>
                <w:tcPr>
                  <w:tcW w:w="1301" w:type="dxa"/>
                  <w:vAlign w:val="center"/>
                </w:tcPr>
                <w:p w14:paraId="203BE7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材通(乐昌)管业科技有限公司</w:t>
                  </w:r>
                </w:p>
              </w:tc>
              <w:tc>
                <w:tcPr>
                  <w:tcW w:w="372" w:type="dxa"/>
                  <w:vAlign w:val="center"/>
                </w:tcPr>
                <w:p w14:paraId="4CB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A0A24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0C933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47574.68</w:t>
                  </w:r>
                </w:p>
              </w:tc>
              <w:tc>
                <w:tcPr>
                  <w:tcW w:w="2499" w:type="dxa"/>
                  <w:vAlign w:val="center"/>
                </w:tcPr>
                <w:p w14:paraId="7ED5D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管材 16820 吨</w:t>
                  </w:r>
                </w:p>
              </w:tc>
              <w:tc>
                <w:tcPr>
                  <w:tcW w:w="1897" w:type="dxa"/>
                  <w:vAlign w:val="center"/>
                </w:tcPr>
                <w:p w14:paraId="328FF1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乐环审〔2020〕08 号</w:t>
                  </w:r>
                </w:p>
              </w:tc>
            </w:tr>
            <w:tr w14:paraId="32A2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13FB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w:t>
                  </w:r>
                </w:p>
              </w:tc>
              <w:tc>
                <w:tcPr>
                  <w:tcW w:w="1301" w:type="dxa"/>
                  <w:vAlign w:val="center"/>
                </w:tcPr>
                <w:p w14:paraId="76D9C4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乐昌市鑫东穗汽车用品有限</w:t>
                  </w:r>
                </w:p>
                <w:p w14:paraId="519136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ACDD5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3DE8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904" w:type="dxa"/>
                  <w:vAlign w:val="center"/>
                </w:tcPr>
                <w:p w14:paraId="3328F2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17932.7</w:t>
                  </w:r>
                </w:p>
              </w:tc>
              <w:tc>
                <w:tcPr>
                  <w:tcW w:w="2499" w:type="dxa"/>
                  <w:vAlign w:val="center"/>
                </w:tcPr>
                <w:p w14:paraId="52F8ED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年产汽车零配件 30 万套</w:t>
                  </w:r>
                </w:p>
              </w:tc>
              <w:tc>
                <w:tcPr>
                  <w:tcW w:w="1897" w:type="dxa"/>
                  <w:vAlign w:val="center"/>
                </w:tcPr>
                <w:p w14:paraId="741305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乐环审〔2021〕02 号、韶环乐审</w:t>
                  </w:r>
                </w:p>
                <w:p w14:paraId="1F00B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〔2024〕23 号</w:t>
                  </w:r>
                </w:p>
              </w:tc>
            </w:tr>
            <w:tr w14:paraId="20207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7D07A3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w:t>
                  </w:r>
                </w:p>
              </w:tc>
              <w:tc>
                <w:tcPr>
                  <w:tcW w:w="1301" w:type="dxa"/>
                  <w:vAlign w:val="center"/>
                </w:tcPr>
                <w:p w14:paraId="6FCA6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杨氏婴童用品(广东)有限公司</w:t>
                  </w:r>
                </w:p>
              </w:tc>
              <w:tc>
                <w:tcPr>
                  <w:tcW w:w="372" w:type="dxa"/>
                  <w:vAlign w:val="center"/>
                </w:tcPr>
                <w:p w14:paraId="1C024B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49596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5B51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20215.42</w:t>
                  </w:r>
                </w:p>
              </w:tc>
              <w:tc>
                <w:tcPr>
                  <w:tcW w:w="2499" w:type="dxa"/>
                  <w:vAlign w:val="center"/>
                </w:tcPr>
                <w:p w14:paraId="7DEF0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年产奶瓶、水杯 600 万件</w:t>
                  </w:r>
                </w:p>
              </w:tc>
              <w:tc>
                <w:tcPr>
                  <w:tcW w:w="1897" w:type="dxa"/>
                  <w:vAlign w:val="center"/>
                </w:tcPr>
                <w:p w14:paraId="35A53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韶环乐审〔2023〕06 号</w:t>
                  </w:r>
                </w:p>
              </w:tc>
            </w:tr>
            <w:tr w14:paraId="79759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16847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67</w:t>
                  </w:r>
                </w:p>
              </w:tc>
              <w:tc>
                <w:tcPr>
                  <w:tcW w:w="1301" w:type="dxa"/>
                  <w:vAlign w:val="center"/>
                </w:tcPr>
                <w:p w14:paraId="000C01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广东邦嘉硅胶科技有限公司</w:t>
                  </w:r>
                </w:p>
              </w:tc>
              <w:tc>
                <w:tcPr>
                  <w:tcW w:w="372" w:type="dxa"/>
                  <w:vAlign w:val="center"/>
                </w:tcPr>
                <w:p w14:paraId="1263E1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3D0CA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BFDC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36000</w:t>
                  </w:r>
                </w:p>
              </w:tc>
              <w:tc>
                <w:tcPr>
                  <w:tcW w:w="2499" w:type="dxa"/>
                  <w:vAlign w:val="center"/>
                </w:tcPr>
                <w:p w14:paraId="1B531C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年产固体硅胶 300 吨、注塑件 300 万件、硅胶件（奶嘴）100万个、玻璃奶瓶 100 万个、硅胶护层产品 100 万件</w:t>
                  </w:r>
                </w:p>
              </w:tc>
              <w:tc>
                <w:tcPr>
                  <w:tcW w:w="1897" w:type="dxa"/>
                  <w:vAlign w:val="center"/>
                </w:tcPr>
                <w:p w14:paraId="43943E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韶关乐审〔2023〕03 号</w:t>
                  </w:r>
                </w:p>
              </w:tc>
            </w:tr>
            <w:tr w14:paraId="477A3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ED332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68</w:t>
                  </w:r>
                </w:p>
              </w:tc>
              <w:tc>
                <w:tcPr>
                  <w:tcW w:w="1301" w:type="dxa"/>
                  <w:vAlign w:val="center"/>
                </w:tcPr>
                <w:p w14:paraId="62F8A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广东奕宸汽车科技有限公司</w:t>
                  </w:r>
                </w:p>
              </w:tc>
              <w:tc>
                <w:tcPr>
                  <w:tcW w:w="372" w:type="dxa"/>
                  <w:vAlign w:val="center"/>
                </w:tcPr>
                <w:p w14:paraId="737E3B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57D7A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904" w:type="dxa"/>
                  <w:vAlign w:val="center"/>
                </w:tcPr>
                <w:p w14:paraId="528FB5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33915.52</w:t>
                  </w:r>
                </w:p>
              </w:tc>
              <w:tc>
                <w:tcPr>
                  <w:tcW w:w="2499" w:type="dxa"/>
                  <w:vAlign w:val="center"/>
                </w:tcPr>
                <w:p w14:paraId="0C293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年产汽车散热器 50 万件</w:t>
                  </w:r>
                </w:p>
              </w:tc>
              <w:tc>
                <w:tcPr>
                  <w:tcW w:w="1897" w:type="dxa"/>
                  <w:vAlign w:val="center"/>
                </w:tcPr>
                <w:p w14:paraId="111BF7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韶环乐审〔2022〕28 号</w:t>
                  </w:r>
                </w:p>
              </w:tc>
            </w:tr>
            <w:tr w14:paraId="71E35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FBB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69</w:t>
                  </w:r>
                </w:p>
              </w:tc>
              <w:tc>
                <w:tcPr>
                  <w:tcW w:w="1301" w:type="dxa"/>
                  <w:vAlign w:val="center"/>
                </w:tcPr>
                <w:p w14:paraId="51A22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广东熙诚环保科技有限公司</w:t>
                  </w:r>
                </w:p>
              </w:tc>
              <w:tc>
                <w:tcPr>
                  <w:tcW w:w="372" w:type="dxa"/>
                  <w:vAlign w:val="center"/>
                </w:tcPr>
                <w:p w14:paraId="5A85AF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BB8EF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38ECF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13335</w:t>
                  </w:r>
                </w:p>
              </w:tc>
              <w:tc>
                <w:tcPr>
                  <w:tcW w:w="2499" w:type="dxa"/>
                  <w:vAlign w:val="center"/>
                </w:tcPr>
                <w:p w14:paraId="733402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PP 喷淋塔 500 台、PP 活性炭吸附箱 500 台</w:t>
                  </w:r>
                </w:p>
              </w:tc>
              <w:tc>
                <w:tcPr>
                  <w:tcW w:w="1897" w:type="dxa"/>
                  <w:vAlign w:val="center"/>
                </w:tcPr>
                <w:p w14:paraId="0F7DF3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24C39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3C079E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w:t>
                  </w:r>
                </w:p>
              </w:tc>
              <w:tc>
                <w:tcPr>
                  <w:tcW w:w="1301" w:type="dxa"/>
                  <w:vAlign w:val="center"/>
                </w:tcPr>
                <w:p w14:paraId="5E20C6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韶关市盛源优贝橡塑制品有</w:t>
                  </w:r>
                </w:p>
                <w:p w14:paraId="3DD866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06146F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F998E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E94C4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6664</w:t>
                  </w:r>
                </w:p>
              </w:tc>
              <w:tc>
                <w:tcPr>
                  <w:tcW w:w="2499" w:type="dxa"/>
                  <w:vAlign w:val="center"/>
                </w:tcPr>
                <w:p w14:paraId="042178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年产硅胶件 330 万个、注塑件 200 万个、吹瓶件 602 万个</w:t>
                  </w:r>
                </w:p>
              </w:tc>
              <w:tc>
                <w:tcPr>
                  <w:tcW w:w="1897" w:type="dxa"/>
                  <w:vAlign w:val="center"/>
                </w:tcPr>
                <w:p w14:paraId="2D398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韶关乐审〔2022〕33 号</w:t>
                  </w:r>
                </w:p>
              </w:tc>
            </w:tr>
            <w:tr w14:paraId="34118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64CD3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71</w:t>
                  </w:r>
                </w:p>
              </w:tc>
              <w:tc>
                <w:tcPr>
                  <w:tcW w:w="1301" w:type="dxa"/>
                  <w:vAlign w:val="center"/>
                </w:tcPr>
                <w:p w14:paraId="6731BF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韶关市南源铜材有限公司</w:t>
                  </w:r>
                </w:p>
              </w:tc>
              <w:tc>
                <w:tcPr>
                  <w:tcW w:w="372" w:type="dxa"/>
                  <w:vAlign w:val="center"/>
                </w:tcPr>
                <w:p w14:paraId="7932DB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E47B8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EA4CF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44981.3</w:t>
                  </w:r>
                </w:p>
              </w:tc>
              <w:tc>
                <w:tcPr>
                  <w:tcW w:w="2499" w:type="dxa"/>
                  <w:vAlign w:val="center"/>
                </w:tcPr>
                <w:p w14:paraId="38267B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年产含铅黄铜棒 18000 吨、无铅黄铜棒 12000 吨</w:t>
                  </w:r>
                </w:p>
              </w:tc>
              <w:tc>
                <w:tcPr>
                  <w:tcW w:w="1897" w:type="dxa"/>
                  <w:vAlign w:val="center"/>
                </w:tcPr>
                <w:p w14:paraId="3B2270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韶环乐审〔2021〕21 号</w:t>
                  </w:r>
                </w:p>
              </w:tc>
            </w:tr>
            <w:tr w14:paraId="34BD3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9EBA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72</w:t>
                  </w:r>
                </w:p>
              </w:tc>
              <w:tc>
                <w:tcPr>
                  <w:tcW w:w="1301" w:type="dxa"/>
                  <w:vAlign w:val="center"/>
                </w:tcPr>
                <w:p w14:paraId="1C970B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碧宏自动化（广东）有限责任</w:t>
                  </w:r>
                </w:p>
                <w:p w14:paraId="473B4E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6BB52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6650A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通用设备制造业、专用设备制造业</w:t>
                  </w:r>
                </w:p>
              </w:tc>
              <w:tc>
                <w:tcPr>
                  <w:tcW w:w="904" w:type="dxa"/>
                  <w:vAlign w:val="center"/>
                </w:tcPr>
                <w:p w14:paraId="764857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31172.2</w:t>
                  </w:r>
                </w:p>
              </w:tc>
              <w:tc>
                <w:tcPr>
                  <w:tcW w:w="2499" w:type="dxa"/>
                  <w:vAlign w:val="center"/>
                </w:tcPr>
                <w:p w14:paraId="0258CA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年产椭圆印花机 500 台、数码印花机 100 台、拉网机 100 台、</w:t>
                  </w:r>
                </w:p>
                <w:p w14:paraId="51C081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激光切割机 300 台</w:t>
                  </w:r>
                </w:p>
              </w:tc>
              <w:tc>
                <w:tcPr>
                  <w:tcW w:w="1897" w:type="dxa"/>
                  <w:vAlign w:val="center"/>
                </w:tcPr>
                <w:p w14:paraId="35E1D7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韶环乐审〔2023〕10 号</w:t>
                  </w:r>
                </w:p>
              </w:tc>
            </w:tr>
            <w:tr w14:paraId="2CB5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FA4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w:t>
                  </w:r>
                </w:p>
              </w:tc>
              <w:tc>
                <w:tcPr>
                  <w:tcW w:w="1301" w:type="dxa"/>
                  <w:vAlign w:val="center"/>
                </w:tcPr>
                <w:p w14:paraId="427050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广东冠益灯饰有限公司</w:t>
                  </w:r>
                </w:p>
              </w:tc>
              <w:tc>
                <w:tcPr>
                  <w:tcW w:w="372" w:type="dxa"/>
                  <w:vAlign w:val="center"/>
                </w:tcPr>
                <w:p w14:paraId="6AD1E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8E217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1807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13333.4</w:t>
                  </w:r>
                </w:p>
              </w:tc>
              <w:tc>
                <w:tcPr>
                  <w:tcW w:w="2499" w:type="dxa"/>
                  <w:vAlign w:val="center"/>
                </w:tcPr>
                <w:p w14:paraId="4EB5E1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年产灯串 200 万套</w:t>
                  </w:r>
                </w:p>
              </w:tc>
              <w:tc>
                <w:tcPr>
                  <w:tcW w:w="1897" w:type="dxa"/>
                  <w:vAlign w:val="center"/>
                </w:tcPr>
                <w:p w14:paraId="15931F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韶环乐审〔2024〕06 号</w:t>
                  </w:r>
                </w:p>
              </w:tc>
            </w:tr>
            <w:tr w14:paraId="27E1D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7A7AF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w:t>
                  </w:r>
                </w:p>
              </w:tc>
              <w:tc>
                <w:tcPr>
                  <w:tcW w:w="1301" w:type="dxa"/>
                  <w:vAlign w:val="center"/>
                </w:tcPr>
                <w:p w14:paraId="46BC2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韶关三和磁材电子有限公司</w:t>
                  </w:r>
                </w:p>
              </w:tc>
              <w:tc>
                <w:tcPr>
                  <w:tcW w:w="372" w:type="dxa"/>
                  <w:vAlign w:val="center"/>
                </w:tcPr>
                <w:p w14:paraId="708861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FEDD4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66DA2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27014.09</w:t>
                  </w:r>
                </w:p>
              </w:tc>
              <w:tc>
                <w:tcPr>
                  <w:tcW w:w="2499" w:type="dxa"/>
                  <w:vAlign w:val="center"/>
                </w:tcPr>
                <w:p w14:paraId="418831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年产干法铁氧体磁铁 10 亿个</w:t>
                  </w:r>
                </w:p>
              </w:tc>
              <w:tc>
                <w:tcPr>
                  <w:tcW w:w="1897" w:type="dxa"/>
                  <w:vAlign w:val="center"/>
                </w:tcPr>
                <w:p w14:paraId="005899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韶环乐审〔2025〕06 号</w:t>
                  </w:r>
                </w:p>
              </w:tc>
            </w:tr>
            <w:tr w14:paraId="31F76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FC96A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w:t>
                  </w:r>
                </w:p>
              </w:tc>
              <w:tc>
                <w:tcPr>
                  <w:tcW w:w="1301" w:type="dxa"/>
                  <w:vAlign w:val="center"/>
                </w:tcPr>
                <w:p w14:paraId="542422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广东立恒新材料科技有限公</w:t>
                  </w:r>
                </w:p>
                <w:p w14:paraId="0FC936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57BC1C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66D02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FB09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9333</w:t>
                  </w:r>
                </w:p>
              </w:tc>
              <w:tc>
                <w:tcPr>
                  <w:tcW w:w="2499" w:type="dxa"/>
                  <w:vAlign w:val="center"/>
                </w:tcPr>
                <w:p w14:paraId="7834C3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8000 吨</w:t>
                  </w:r>
                </w:p>
              </w:tc>
              <w:tc>
                <w:tcPr>
                  <w:tcW w:w="1897" w:type="dxa"/>
                  <w:vAlign w:val="center"/>
                </w:tcPr>
                <w:p w14:paraId="2EAE5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]60 号</w:t>
                  </w:r>
                </w:p>
              </w:tc>
            </w:tr>
            <w:tr w14:paraId="5AA98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FE8FC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76</w:t>
                  </w:r>
                </w:p>
              </w:tc>
              <w:tc>
                <w:tcPr>
                  <w:tcW w:w="1301" w:type="dxa"/>
                  <w:vAlign w:val="center"/>
                </w:tcPr>
                <w:p w14:paraId="222EA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乐昌市赫尔龙体育用品有限</w:t>
                  </w:r>
                </w:p>
                <w:p w14:paraId="797BF5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20D544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26DB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6245E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14604.85</w:t>
                  </w:r>
                </w:p>
              </w:tc>
              <w:tc>
                <w:tcPr>
                  <w:tcW w:w="2499" w:type="dxa"/>
                  <w:vAlign w:val="center"/>
                </w:tcPr>
                <w:p w14:paraId="33723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年产运动服等运动产品 100 万件</w:t>
                  </w:r>
                </w:p>
              </w:tc>
              <w:tc>
                <w:tcPr>
                  <w:tcW w:w="1897" w:type="dxa"/>
                  <w:vAlign w:val="center"/>
                </w:tcPr>
                <w:p w14:paraId="239B4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乐环审〔2019〕21 号</w:t>
                  </w:r>
                </w:p>
              </w:tc>
            </w:tr>
            <w:tr w14:paraId="4F098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30" w:type="dxa"/>
                  <w:vAlign w:val="center"/>
                </w:tcPr>
                <w:p w14:paraId="662247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77</w:t>
                  </w:r>
                </w:p>
              </w:tc>
              <w:tc>
                <w:tcPr>
                  <w:tcW w:w="1301" w:type="dxa"/>
                  <w:vAlign w:val="center"/>
                </w:tcPr>
                <w:p w14:paraId="14495C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广东省合高复合材料有限公</w:t>
                  </w:r>
                </w:p>
                <w:p w14:paraId="19E2E5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7FB6B2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EFAAB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7B0D33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27017.8</w:t>
                  </w:r>
                </w:p>
              </w:tc>
              <w:tc>
                <w:tcPr>
                  <w:tcW w:w="2499" w:type="dxa"/>
                  <w:vAlign w:val="center"/>
                </w:tcPr>
                <w:p w14:paraId="55BB8A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年产玻璃纤维板材 1 万吨、玻璃钢拉挤制品 4500 吨、缠绕制</w:t>
                  </w:r>
                </w:p>
                <w:p w14:paraId="6FAA5F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品、SMC 模压及玻璃纤维热塑板以及制品各 500 吨、玻璃钢</w:t>
                  </w:r>
                </w:p>
                <w:p w14:paraId="3266D6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格栅 5000 吨、碳纤维制品及彩色胶衣各200 吨、 玻璃钢夹</w:t>
                  </w:r>
                </w:p>
                <w:p w14:paraId="1E18FC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芯板 2700 吨、 RTM 制品 100 吨</w:t>
                  </w:r>
                </w:p>
              </w:tc>
              <w:tc>
                <w:tcPr>
                  <w:tcW w:w="1897" w:type="dxa"/>
                  <w:vAlign w:val="center"/>
                </w:tcPr>
                <w:p w14:paraId="15767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韶环乐审〔2021〕20 号</w:t>
                  </w:r>
                </w:p>
              </w:tc>
            </w:tr>
            <w:tr w14:paraId="5EB4B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69E3C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78</w:t>
                  </w:r>
                </w:p>
              </w:tc>
              <w:tc>
                <w:tcPr>
                  <w:tcW w:w="1301" w:type="dxa"/>
                  <w:vAlign w:val="center"/>
                </w:tcPr>
                <w:p w14:paraId="4E70D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同向（乐昌）精密机械有限公</w:t>
                  </w:r>
                </w:p>
                <w:p w14:paraId="75E9F8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745E9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AFB18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6A98E9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2499" w:type="dxa"/>
                  <w:vAlign w:val="center"/>
                </w:tcPr>
                <w:p w14:paraId="146535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年产登机桥、环保水箱、压力机械、建筑自动化设备、加工</w:t>
                  </w:r>
                </w:p>
                <w:p w14:paraId="34A29F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中心设备。压铸机等合计 3350 套（台）</w:t>
                  </w:r>
                </w:p>
              </w:tc>
              <w:tc>
                <w:tcPr>
                  <w:tcW w:w="1897" w:type="dxa"/>
                  <w:vAlign w:val="center"/>
                </w:tcPr>
                <w:p w14:paraId="18029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韶环乐审〔2021〕16 号</w:t>
                  </w:r>
                </w:p>
              </w:tc>
            </w:tr>
            <w:tr w14:paraId="6F35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516F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79</w:t>
                  </w:r>
                </w:p>
              </w:tc>
              <w:tc>
                <w:tcPr>
                  <w:tcW w:w="1301" w:type="dxa"/>
                  <w:vAlign w:val="center"/>
                </w:tcPr>
                <w:p w14:paraId="7AEF60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乐昌市信达实业有限公司</w:t>
                  </w:r>
                </w:p>
              </w:tc>
              <w:tc>
                <w:tcPr>
                  <w:tcW w:w="372" w:type="dxa"/>
                  <w:vAlign w:val="center"/>
                </w:tcPr>
                <w:p w14:paraId="368963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5B69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904" w:type="dxa"/>
                  <w:vAlign w:val="center"/>
                </w:tcPr>
                <w:p w14:paraId="37C261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20000</w:t>
                  </w:r>
                </w:p>
              </w:tc>
              <w:tc>
                <w:tcPr>
                  <w:tcW w:w="2499" w:type="dxa"/>
                  <w:vAlign w:val="center"/>
                </w:tcPr>
                <w:p w14:paraId="24F3AB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年产滑板 100 万台</w:t>
                  </w:r>
                </w:p>
              </w:tc>
              <w:tc>
                <w:tcPr>
                  <w:tcW w:w="1897" w:type="dxa"/>
                  <w:vAlign w:val="center"/>
                </w:tcPr>
                <w:p w14:paraId="42C0D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乐环审〔2019〕09 号</w:t>
                  </w:r>
                </w:p>
              </w:tc>
            </w:tr>
            <w:tr w14:paraId="59144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AE53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w:t>
                  </w:r>
                </w:p>
              </w:tc>
              <w:tc>
                <w:tcPr>
                  <w:tcW w:w="1301" w:type="dxa"/>
                  <w:vAlign w:val="center"/>
                </w:tcPr>
                <w:p w14:paraId="1B0F70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广东威柏乐器制造有限公司</w:t>
                  </w:r>
                </w:p>
              </w:tc>
              <w:tc>
                <w:tcPr>
                  <w:tcW w:w="372" w:type="dxa"/>
                  <w:vAlign w:val="center"/>
                </w:tcPr>
                <w:p w14:paraId="016648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4E66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904" w:type="dxa"/>
                  <w:vAlign w:val="center"/>
                </w:tcPr>
                <w:p w14:paraId="292F53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43586.57</w:t>
                  </w:r>
                </w:p>
              </w:tc>
              <w:tc>
                <w:tcPr>
                  <w:tcW w:w="2499" w:type="dxa"/>
                  <w:vAlign w:val="center"/>
                </w:tcPr>
                <w:p w14:paraId="2E529E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年产电吉他 35 万把、木吉他 15 万把</w:t>
                  </w:r>
                </w:p>
              </w:tc>
              <w:tc>
                <w:tcPr>
                  <w:tcW w:w="1897" w:type="dxa"/>
                  <w:vAlign w:val="center"/>
                </w:tcPr>
                <w:p w14:paraId="2BC76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韶环乐审〔2025〕02 号、韶环乐审〔2026〕03 号</w:t>
                  </w:r>
                </w:p>
              </w:tc>
            </w:tr>
            <w:tr w14:paraId="14D8A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3C786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81</w:t>
                  </w:r>
                </w:p>
              </w:tc>
              <w:tc>
                <w:tcPr>
                  <w:tcW w:w="1301" w:type="dxa"/>
                  <w:vAlign w:val="center"/>
                </w:tcPr>
                <w:p w14:paraId="78A3C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广东维创兴电子科技有限公</w:t>
                  </w:r>
                </w:p>
                <w:p w14:paraId="150EF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36964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AE35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3E3F79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3925.74</w:t>
                  </w:r>
                </w:p>
              </w:tc>
              <w:tc>
                <w:tcPr>
                  <w:tcW w:w="2499" w:type="dxa"/>
                  <w:vAlign w:val="center"/>
                </w:tcPr>
                <w:p w14:paraId="59BA8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年产触摸屏 100 万片</w:t>
                  </w:r>
                </w:p>
              </w:tc>
              <w:tc>
                <w:tcPr>
                  <w:tcW w:w="1897" w:type="dxa"/>
                  <w:vAlign w:val="center"/>
                </w:tcPr>
                <w:p w14:paraId="4DE5F8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韶环乐审〔2025〕20 号</w:t>
                  </w:r>
                </w:p>
              </w:tc>
            </w:tr>
            <w:tr w14:paraId="71F9A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3D01BC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82</w:t>
                  </w:r>
                </w:p>
              </w:tc>
              <w:tc>
                <w:tcPr>
                  <w:tcW w:w="1301" w:type="dxa"/>
                  <w:vAlign w:val="center"/>
                </w:tcPr>
                <w:p w14:paraId="316EE3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韶关金利达塑料制品有限公</w:t>
                  </w:r>
                </w:p>
                <w:p w14:paraId="6DC701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93277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A338E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31153C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5F7A2B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75DFD9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18748.8</w:t>
                  </w:r>
                </w:p>
              </w:tc>
              <w:tc>
                <w:tcPr>
                  <w:tcW w:w="2499" w:type="dxa"/>
                  <w:vAlign w:val="center"/>
                </w:tcPr>
                <w:p w14:paraId="1C34C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年产再生塑胶颗粒 3000 吨</w:t>
                  </w:r>
                </w:p>
              </w:tc>
              <w:tc>
                <w:tcPr>
                  <w:tcW w:w="1897" w:type="dxa"/>
                  <w:vAlign w:val="center"/>
                </w:tcPr>
                <w:p w14:paraId="463AE9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韶环乐审〔2025〕13 号</w:t>
                  </w:r>
                </w:p>
              </w:tc>
            </w:tr>
            <w:tr w14:paraId="416BC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060843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83</w:t>
                  </w:r>
                </w:p>
              </w:tc>
              <w:tc>
                <w:tcPr>
                  <w:tcW w:w="1301" w:type="dxa"/>
                  <w:vAlign w:val="center"/>
                </w:tcPr>
                <w:p w14:paraId="04E81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广东铭洋应急消防器材有限</w:t>
                  </w:r>
                </w:p>
                <w:p w14:paraId="6C0114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45A9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B0A8A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38FBD7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9850</w:t>
                  </w:r>
                </w:p>
              </w:tc>
              <w:tc>
                <w:tcPr>
                  <w:tcW w:w="2499" w:type="dxa"/>
                  <w:vAlign w:val="center"/>
                </w:tcPr>
                <w:p w14:paraId="7F6FBE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750 万具，配套催化剂 720 吨，</w:t>
                  </w:r>
                </w:p>
                <w:p w14:paraId="301753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卡加拉特剂 1080 吨</w:t>
                  </w:r>
                </w:p>
              </w:tc>
              <w:tc>
                <w:tcPr>
                  <w:tcW w:w="1897" w:type="dxa"/>
                  <w:vAlign w:val="center"/>
                </w:tcPr>
                <w:p w14:paraId="2A1C3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韶环审〔2025〕24  号</w:t>
                  </w:r>
                </w:p>
              </w:tc>
            </w:tr>
            <w:tr w14:paraId="04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75F92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84</w:t>
                  </w:r>
                </w:p>
              </w:tc>
              <w:tc>
                <w:tcPr>
                  <w:tcW w:w="1301" w:type="dxa"/>
                  <w:vAlign w:val="center"/>
                </w:tcPr>
                <w:p w14:paraId="714284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韶关市建兴新材料科技有限</w:t>
                  </w:r>
                </w:p>
                <w:p w14:paraId="550600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56E961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4DC921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非金属矿采选业</w:t>
                  </w:r>
                </w:p>
              </w:tc>
              <w:tc>
                <w:tcPr>
                  <w:tcW w:w="904" w:type="dxa"/>
                  <w:vAlign w:val="center"/>
                </w:tcPr>
                <w:p w14:paraId="5AF8CD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33562.6</w:t>
                  </w:r>
                </w:p>
              </w:tc>
              <w:tc>
                <w:tcPr>
                  <w:tcW w:w="2499" w:type="dxa"/>
                  <w:vAlign w:val="center"/>
                </w:tcPr>
                <w:p w14:paraId="7ECA66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年产堂石精矿 5 万吨</w:t>
                  </w:r>
                </w:p>
              </w:tc>
              <w:tc>
                <w:tcPr>
                  <w:tcW w:w="1897" w:type="dxa"/>
                  <w:vAlign w:val="center"/>
                </w:tcPr>
                <w:p w14:paraId="4E0457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韶环乐审〔2025〕14  号</w:t>
                  </w:r>
                </w:p>
              </w:tc>
            </w:tr>
            <w:tr w14:paraId="6389F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4AB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85</w:t>
                  </w:r>
                </w:p>
              </w:tc>
              <w:tc>
                <w:tcPr>
                  <w:tcW w:w="1301" w:type="dxa"/>
                  <w:vAlign w:val="center"/>
                </w:tcPr>
                <w:p w14:paraId="13C1D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韶关市泳金构造机械有限公</w:t>
                  </w:r>
                </w:p>
                <w:p w14:paraId="350FB9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CA39B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4AD7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10762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20477.32</w:t>
                  </w:r>
                </w:p>
              </w:tc>
              <w:tc>
                <w:tcPr>
                  <w:tcW w:w="2499" w:type="dxa"/>
                  <w:vAlign w:val="center"/>
                </w:tcPr>
                <w:p w14:paraId="7D5890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年产钢结构成品 1.3 万吨</w:t>
                  </w:r>
                </w:p>
              </w:tc>
              <w:tc>
                <w:tcPr>
                  <w:tcW w:w="1897" w:type="dxa"/>
                  <w:vAlign w:val="center"/>
                </w:tcPr>
                <w:p w14:paraId="317D72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韶环乐审〔2025〕05 号</w:t>
                  </w:r>
                </w:p>
              </w:tc>
            </w:tr>
            <w:tr w14:paraId="39331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D1D0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w:t>
                  </w:r>
                </w:p>
              </w:tc>
              <w:tc>
                <w:tcPr>
                  <w:tcW w:w="1301" w:type="dxa"/>
                  <w:vAlign w:val="center"/>
                </w:tcPr>
                <w:p w14:paraId="2B3B0C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广东欣汇复合材料有限公司</w:t>
                  </w:r>
                </w:p>
              </w:tc>
              <w:tc>
                <w:tcPr>
                  <w:tcW w:w="372" w:type="dxa"/>
                  <w:vAlign w:val="center"/>
                </w:tcPr>
                <w:p w14:paraId="4C61B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324B92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01087B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29024.94</w:t>
                  </w:r>
                </w:p>
              </w:tc>
              <w:tc>
                <w:tcPr>
                  <w:tcW w:w="2499" w:type="dxa"/>
                  <w:vAlign w:val="center"/>
                </w:tcPr>
                <w:p w14:paraId="0F445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年产玻璃纤维增强塑料制品 7200 吨、玻纤布 1200 吨、生活</w:t>
                  </w:r>
                </w:p>
                <w:p w14:paraId="0CB32E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用品 3500 吨、塑料配件 15 吨</w:t>
                  </w:r>
                </w:p>
              </w:tc>
              <w:tc>
                <w:tcPr>
                  <w:tcW w:w="1897" w:type="dxa"/>
                  <w:vAlign w:val="center"/>
                </w:tcPr>
                <w:p w14:paraId="034124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韶环乐审〔2024〕26 号</w:t>
                  </w:r>
                </w:p>
              </w:tc>
            </w:tr>
            <w:tr w14:paraId="72524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8984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87</w:t>
                  </w:r>
                </w:p>
              </w:tc>
              <w:tc>
                <w:tcPr>
                  <w:tcW w:w="1301" w:type="dxa"/>
                  <w:vAlign w:val="center"/>
                </w:tcPr>
                <w:p w14:paraId="57B53C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乐昌市鑫盛塑业有限公司</w:t>
                  </w:r>
                </w:p>
              </w:tc>
              <w:tc>
                <w:tcPr>
                  <w:tcW w:w="372" w:type="dxa"/>
                  <w:vAlign w:val="center"/>
                </w:tcPr>
                <w:p w14:paraId="08974A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04ADC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6F7718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1182.71</w:t>
                  </w:r>
                </w:p>
              </w:tc>
              <w:tc>
                <w:tcPr>
                  <w:tcW w:w="2499" w:type="dxa"/>
                  <w:vAlign w:val="center"/>
                </w:tcPr>
                <w:p w14:paraId="6F6A8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年产编织袋 5000 吨</w:t>
                  </w:r>
                </w:p>
              </w:tc>
              <w:tc>
                <w:tcPr>
                  <w:tcW w:w="1897" w:type="dxa"/>
                  <w:vAlign w:val="center"/>
                </w:tcPr>
                <w:p w14:paraId="128350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7226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B7DA4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88</w:t>
                  </w:r>
                </w:p>
              </w:tc>
              <w:tc>
                <w:tcPr>
                  <w:tcW w:w="1301" w:type="dxa"/>
                  <w:vAlign w:val="center"/>
                </w:tcPr>
                <w:p w14:paraId="71F3CA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广东金康新材料有限公司</w:t>
                  </w:r>
                </w:p>
              </w:tc>
              <w:tc>
                <w:tcPr>
                  <w:tcW w:w="372" w:type="dxa"/>
                  <w:vAlign w:val="center"/>
                </w:tcPr>
                <w:p w14:paraId="78CB13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32A9F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化学原料和化学制品制造业</w:t>
                  </w:r>
                </w:p>
              </w:tc>
              <w:tc>
                <w:tcPr>
                  <w:tcW w:w="904" w:type="dxa"/>
                  <w:vAlign w:val="center"/>
                </w:tcPr>
                <w:p w14:paraId="54959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11260.7</w:t>
                  </w:r>
                </w:p>
              </w:tc>
              <w:tc>
                <w:tcPr>
                  <w:tcW w:w="2499" w:type="dxa"/>
                  <w:vAlign w:val="center"/>
                </w:tcPr>
                <w:p w14:paraId="77FA1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稳定剂 3600 吨、助剂 2400 吨</w:t>
                  </w:r>
                </w:p>
              </w:tc>
              <w:tc>
                <w:tcPr>
                  <w:tcW w:w="1897" w:type="dxa"/>
                  <w:vAlign w:val="center"/>
                </w:tcPr>
                <w:p w14:paraId="2DD5F9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乐环审〔2020〕10 号</w:t>
                  </w:r>
                </w:p>
              </w:tc>
            </w:tr>
            <w:tr w14:paraId="08104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61A72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89</w:t>
                  </w:r>
                </w:p>
              </w:tc>
              <w:tc>
                <w:tcPr>
                  <w:tcW w:w="1301" w:type="dxa"/>
                  <w:vAlign w:val="center"/>
                </w:tcPr>
                <w:p w14:paraId="526809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韶关市恒琦耐磨材料有限公</w:t>
                  </w:r>
                </w:p>
                <w:p w14:paraId="4D4F9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90EBB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A8D3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854B1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2200</w:t>
                  </w:r>
                </w:p>
              </w:tc>
              <w:tc>
                <w:tcPr>
                  <w:tcW w:w="2499" w:type="dxa"/>
                  <w:vAlign w:val="center"/>
                </w:tcPr>
                <w:p w14:paraId="4DC130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年产耐磨钢球 1 万吨</w:t>
                  </w:r>
                </w:p>
              </w:tc>
              <w:tc>
                <w:tcPr>
                  <w:tcW w:w="1897" w:type="dxa"/>
                  <w:vAlign w:val="center"/>
                </w:tcPr>
                <w:p w14:paraId="0590FC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韶环乐审〔2023〕26 号</w:t>
                  </w:r>
                </w:p>
              </w:tc>
            </w:tr>
            <w:tr w14:paraId="0A913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8ED8C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w:t>
                  </w:r>
                </w:p>
              </w:tc>
              <w:tc>
                <w:tcPr>
                  <w:tcW w:w="1301" w:type="dxa"/>
                  <w:vAlign w:val="center"/>
                </w:tcPr>
                <w:p w14:paraId="7F38EF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乐昌市永成智能厨房设备制造有限公司</w:t>
                  </w:r>
                </w:p>
              </w:tc>
              <w:tc>
                <w:tcPr>
                  <w:tcW w:w="372" w:type="dxa"/>
                  <w:vAlign w:val="center"/>
                </w:tcPr>
                <w:p w14:paraId="031254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694CB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69EAD7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33333.33</w:t>
                  </w:r>
                </w:p>
              </w:tc>
              <w:tc>
                <w:tcPr>
                  <w:tcW w:w="2499" w:type="dxa"/>
                  <w:vAlign w:val="center"/>
                </w:tcPr>
                <w:p w14:paraId="2C7D2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年产锅炉具类、蒸炉具类、工作台类、层架类、星盆类、柜</w:t>
                  </w:r>
                </w:p>
                <w:p w14:paraId="23BDAE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式类、消毒柜类、备餐类、餐车类、餐台类、西餐类、环保</w:t>
                  </w:r>
                </w:p>
                <w:p w14:paraId="60E753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设备类 12570 台</w:t>
                  </w:r>
                </w:p>
              </w:tc>
              <w:tc>
                <w:tcPr>
                  <w:tcW w:w="1897" w:type="dxa"/>
                  <w:vAlign w:val="center"/>
                </w:tcPr>
                <w:p w14:paraId="1335CA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790CF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9C7E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91</w:t>
                  </w:r>
                </w:p>
              </w:tc>
              <w:tc>
                <w:tcPr>
                  <w:tcW w:w="1301" w:type="dxa"/>
                  <w:vAlign w:val="center"/>
                </w:tcPr>
                <w:p w14:paraId="226991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广东润昕新材料有限公司</w:t>
                  </w:r>
                </w:p>
              </w:tc>
              <w:tc>
                <w:tcPr>
                  <w:tcW w:w="372" w:type="dxa"/>
                  <w:vAlign w:val="center"/>
                </w:tcPr>
                <w:p w14:paraId="228554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23ED8C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F66A6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34905.44</w:t>
                  </w:r>
                </w:p>
              </w:tc>
              <w:tc>
                <w:tcPr>
                  <w:tcW w:w="2499" w:type="dxa"/>
                  <w:vAlign w:val="center"/>
                </w:tcPr>
                <w:p w14:paraId="30B8CA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100 万平方米</w:t>
                  </w:r>
                </w:p>
              </w:tc>
              <w:tc>
                <w:tcPr>
                  <w:tcW w:w="1897" w:type="dxa"/>
                  <w:vAlign w:val="center"/>
                </w:tcPr>
                <w:p w14:paraId="10C932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韶环乐审〔2025〕21 号</w:t>
                  </w:r>
                </w:p>
              </w:tc>
            </w:tr>
            <w:tr w14:paraId="46B99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69DD6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92</w:t>
                  </w:r>
                </w:p>
              </w:tc>
              <w:tc>
                <w:tcPr>
                  <w:tcW w:w="1301" w:type="dxa"/>
                  <w:vAlign w:val="center"/>
                </w:tcPr>
                <w:p w14:paraId="6E5DCF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筑能（韶关）精工制造有限公</w:t>
                  </w:r>
                </w:p>
                <w:p w14:paraId="43BE10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67D915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2CD3E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8DFDC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36212.64</w:t>
                  </w:r>
                </w:p>
              </w:tc>
              <w:tc>
                <w:tcPr>
                  <w:tcW w:w="2499" w:type="dxa"/>
                  <w:vAlign w:val="center"/>
                </w:tcPr>
                <w:p w14:paraId="1410AD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150 万平方米</w:t>
                  </w:r>
                </w:p>
              </w:tc>
              <w:tc>
                <w:tcPr>
                  <w:tcW w:w="1897" w:type="dxa"/>
                  <w:vAlign w:val="center"/>
                </w:tcPr>
                <w:p w14:paraId="01604D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韶环乐审〔2025〕19 号</w:t>
                  </w:r>
                </w:p>
              </w:tc>
            </w:tr>
            <w:tr w14:paraId="7E64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03ACC2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w:t>
                  </w:r>
                </w:p>
              </w:tc>
              <w:tc>
                <w:tcPr>
                  <w:tcW w:w="1301" w:type="dxa"/>
                  <w:vAlign w:val="center"/>
                </w:tcPr>
                <w:p w14:paraId="5306D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美伦建材（韶关）有限公司</w:t>
                  </w:r>
                </w:p>
              </w:tc>
              <w:tc>
                <w:tcPr>
                  <w:tcW w:w="372" w:type="dxa"/>
                  <w:vAlign w:val="center"/>
                </w:tcPr>
                <w:p w14:paraId="73C0A8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3B4F7B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7D97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54969.22</w:t>
                  </w:r>
                </w:p>
              </w:tc>
              <w:tc>
                <w:tcPr>
                  <w:tcW w:w="2499" w:type="dxa"/>
                  <w:vAlign w:val="center"/>
                </w:tcPr>
                <w:p w14:paraId="5EBC93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200 万平方米</w:t>
                  </w:r>
                </w:p>
              </w:tc>
              <w:tc>
                <w:tcPr>
                  <w:tcW w:w="1897" w:type="dxa"/>
                  <w:vAlign w:val="center"/>
                </w:tcPr>
                <w:p w14:paraId="4D2856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韶环乐审〔2025〕08 号</w:t>
                  </w:r>
                </w:p>
              </w:tc>
            </w:tr>
            <w:tr w14:paraId="23A6F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8D8D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94</w:t>
                  </w:r>
                </w:p>
              </w:tc>
              <w:tc>
                <w:tcPr>
                  <w:tcW w:w="1301" w:type="dxa"/>
                  <w:vAlign w:val="center"/>
                </w:tcPr>
                <w:p w14:paraId="2AD5ED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中荣印刷（韶关）有限公司</w:t>
                  </w:r>
                </w:p>
              </w:tc>
              <w:tc>
                <w:tcPr>
                  <w:tcW w:w="372" w:type="dxa"/>
                  <w:vAlign w:val="center"/>
                </w:tcPr>
                <w:p w14:paraId="6D23CA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EF345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造纸和纸制品业</w:t>
                  </w:r>
                </w:p>
              </w:tc>
              <w:tc>
                <w:tcPr>
                  <w:tcW w:w="904" w:type="dxa"/>
                  <w:vAlign w:val="center"/>
                </w:tcPr>
                <w:p w14:paraId="3B68AA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3227.65</w:t>
                  </w:r>
                </w:p>
              </w:tc>
              <w:tc>
                <w:tcPr>
                  <w:tcW w:w="2499" w:type="dxa"/>
                  <w:vAlign w:val="center"/>
                </w:tcPr>
                <w:p w14:paraId="2044CA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500 万个、礼盒 50 万个、卡类 500 万张</w:t>
                  </w:r>
                </w:p>
              </w:tc>
              <w:tc>
                <w:tcPr>
                  <w:tcW w:w="1897" w:type="dxa"/>
                  <w:vAlign w:val="center"/>
                </w:tcPr>
                <w:p w14:paraId="25BD2A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韶环乐审〔2024〕24 号</w:t>
                  </w:r>
                </w:p>
              </w:tc>
            </w:tr>
            <w:tr w14:paraId="59491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43367D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w:t>
                  </w:r>
                </w:p>
              </w:tc>
              <w:tc>
                <w:tcPr>
                  <w:tcW w:w="1301" w:type="dxa"/>
                  <w:vAlign w:val="center"/>
                </w:tcPr>
                <w:p w14:paraId="08E200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廓鑫建材（韶关）有限公司</w:t>
                  </w:r>
                </w:p>
              </w:tc>
              <w:tc>
                <w:tcPr>
                  <w:tcW w:w="372" w:type="dxa"/>
                  <w:vAlign w:val="center"/>
                </w:tcPr>
                <w:p w14:paraId="5F94F0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5AB167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DEDA4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33373.03</w:t>
                  </w:r>
                </w:p>
              </w:tc>
              <w:tc>
                <w:tcPr>
                  <w:tcW w:w="2499" w:type="dxa"/>
                  <w:vAlign w:val="center"/>
                </w:tcPr>
                <w:p w14:paraId="11DFE2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年产钣金件 8100 吨</w:t>
                  </w:r>
                </w:p>
              </w:tc>
              <w:tc>
                <w:tcPr>
                  <w:tcW w:w="1897" w:type="dxa"/>
                  <w:vAlign w:val="center"/>
                </w:tcPr>
                <w:p w14:paraId="1762C1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韶环乐审〔2025〕25 号</w:t>
                  </w:r>
                </w:p>
              </w:tc>
            </w:tr>
            <w:tr w14:paraId="5C7D9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B66B5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w:t>
                  </w:r>
                </w:p>
              </w:tc>
              <w:tc>
                <w:tcPr>
                  <w:tcW w:w="1301" w:type="dxa"/>
                  <w:vAlign w:val="center"/>
                </w:tcPr>
                <w:p w14:paraId="7DBA31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广东三筑金属制品有限公司</w:t>
                  </w:r>
                </w:p>
              </w:tc>
              <w:tc>
                <w:tcPr>
                  <w:tcW w:w="372" w:type="dxa"/>
                  <w:vAlign w:val="center"/>
                </w:tcPr>
                <w:p w14:paraId="665080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31C3A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39949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54139.29</w:t>
                  </w:r>
                </w:p>
              </w:tc>
              <w:tc>
                <w:tcPr>
                  <w:tcW w:w="2499" w:type="dxa"/>
                  <w:vAlign w:val="center"/>
                </w:tcPr>
                <w:p w14:paraId="7400F6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年产各类板及其他铝制品 110 万平方米</w:t>
                  </w:r>
                </w:p>
              </w:tc>
              <w:tc>
                <w:tcPr>
                  <w:tcW w:w="1897" w:type="dxa"/>
                  <w:vAlign w:val="center"/>
                </w:tcPr>
                <w:p w14:paraId="4DDD6D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韶环乐审〔2025〕24 号</w:t>
                  </w:r>
                </w:p>
              </w:tc>
            </w:tr>
            <w:tr w14:paraId="3C685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24E3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97</w:t>
                  </w:r>
                </w:p>
              </w:tc>
              <w:tc>
                <w:tcPr>
                  <w:tcW w:w="1301" w:type="dxa"/>
                  <w:vAlign w:val="center"/>
                </w:tcPr>
                <w:p w14:paraId="1DC5B4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广东启健净水设备有限公司</w:t>
                  </w:r>
                </w:p>
              </w:tc>
              <w:tc>
                <w:tcPr>
                  <w:tcW w:w="372" w:type="dxa"/>
                  <w:vAlign w:val="center"/>
                </w:tcPr>
                <w:p w14:paraId="136B62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0A9954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家具制造业</w:t>
                  </w:r>
                </w:p>
              </w:tc>
              <w:tc>
                <w:tcPr>
                  <w:tcW w:w="904" w:type="dxa"/>
                  <w:vAlign w:val="center"/>
                </w:tcPr>
                <w:p w14:paraId="65D60E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9598</w:t>
                  </w:r>
                </w:p>
              </w:tc>
              <w:tc>
                <w:tcPr>
                  <w:tcW w:w="2499" w:type="dxa"/>
                  <w:vAlign w:val="center"/>
                </w:tcPr>
                <w:p w14:paraId="26D086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年产直沸水壶机、饮水机、直饮水机、净水器、纯水机等净水设备 120 万台、饮用水机配件、净水机配件 150 万件</w:t>
                  </w:r>
                </w:p>
              </w:tc>
              <w:tc>
                <w:tcPr>
                  <w:tcW w:w="1897" w:type="dxa"/>
                  <w:vAlign w:val="center"/>
                </w:tcPr>
                <w:p w14:paraId="16C977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乐环审〔2019〕42 号</w:t>
                  </w:r>
                </w:p>
              </w:tc>
            </w:tr>
            <w:tr w14:paraId="42F2E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41964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w:t>
                  </w:r>
                </w:p>
              </w:tc>
              <w:tc>
                <w:tcPr>
                  <w:tcW w:w="1301" w:type="dxa"/>
                  <w:vAlign w:val="center"/>
                </w:tcPr>
                <w:p w14:paraId="029D88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乐昌产业园工业固体废弃物设施补短板项目</w:t>
                  </w:r>
                </w:p>
              </w:tc>
              <w:tc>
                <w:tcPr>
                  <w:tcW w:w="372" w:type="dxa"/>
                  <w:vAlign w:val="center"/>
                </w:tcPr>
                <w:p w14:paraId="29763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756F29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装卸搬运和仓储业</w:t>
                  </w:r>
                </w:p>
              </w:tc>
              <w:tc>
                <w:tcPr>
                  <w:tcW w:w="904" w:type="dxa"/>
                  <w:vAlign w:val="center"/>
                </w:tcPr>
                <w:p w14:paraId="587FA6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w:t>
                  </w:r>
                </w:p>
              </w:tc>
              <w:tc>
                <w:tcPr>
                  <w:tcW w:w="2499" w:type="dxa"/>
                  <w:vAlign w:val="center"/>
                </w:tcPr>
                <w:p w14:paraId="1E26E6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年收集危险废物 2806 吨，一般固体废物 8.5 万吨。</w:t>
                  </w:r>
                </w:p>
              </w:tc>
              <w:tc>
                <w:tcPr>
                  <w:tcW w:w="1897" w:type="dxa"/>
                  <w:vAlign w:val="center"/>
                </w:tcPr>
                <w:p w14:paraId="67EF9B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韶环乐审〔2023〕05 号</w:t>
                  </w:r>
                </w:p>
              </w:tc>
            </w:tr>
            <w:tr w14:paraId="71732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58775B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99</w:t>
                  </w:r>
                </w:p>
              </w:tc>
              <w:tc>
                <w:tcPr>
                  <w:tcW w:w="1301" w:type="dxa"/>
                  <w:vAlign w:val="center"/>
                </w:tcPr>
                <w:p w14:paraId="04E90A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乐昌市鑫盛威塑胶新材料科技有限公司</w:t>
                  </w:r>
                </w:p>
              </w:tc>
              <w:tc>
                <w:tcPr>
                  <w:tcW w:w="372" w:type="dxa"/>
                  <w:vAlign w:val="center"/>
                </w:tcPr>
                <w:p w14:paraId="40361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07AB55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51D71B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业、非金属矿物制</w:t>
                  </w:r>
                </w:p>
                <w:p w14:paraId="080F5F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品业</w:t>
                  </w:r>
                </w:p>
              </w:tc>
              <w:tc>
                <w:tcPr>
                  <w:tcW w:w="904" w:type="dxa"/>
                  <w:vAlign w:val="center"/>
                </w:tcPr>
                <w:p w14:paraId="3E126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8000</w:t>
                  </w:r>
                </w:p>
              </w:tc>
              <w:tc>
                <w:tcPr>
                  <w:tcW w:w="2499" w:type="dxa"/>
                  <w:vAlign w:val="center"/>
                </w:tcPr>
                <w:p w14:paraId="79E861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AA61E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膜2600 吨、PU 膜 500 吨、人造石墨 2 万吨</w:t>
                  </w:r>
                </w:p>
              </w:tc>
              <w:tc>
                <w:tcPr>
                  <w:tcW w:w="1897" w:type="dxa"/>
                  <w:vAlign w:val="center"/>
                </w:tcPr>
                <w:p w14:paraId="3BF96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]81 号、韶环乐审</w:t>
                  </w:r>
                </w:p>
                <w:p w14:paraId="61EA12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60B79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B6402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w:t>
                  </w:r>
                </w:p>
              </w:tc>
              <w:tc>
                <w:tcPr>
                  <w:tcW w:w="1301" w:type="dxa"/>
                  <w:vAlign w:val="center"/>
                </w:tcPr>
                <w:p w14:paraId="17E2C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乐昌市众诚塑㬵制品有限公</w:t>
                  </w:r>
                </w:p>
                <w:p w14:paraId="49396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0CB2E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630B9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446692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12419.5</w:t>
                  </w:r>
                </w:p>
              </w:tc>
              <w:tc>
                <w:tcPr>
                  <w:tcW w:w="2499" w:type="dxa"/>
                  <w:vAlign w:val="center"/>
                </w:tcPr>
                <w:p w14:paraId="0C125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1300 吨、聚氨酯装饰制品 200 吨</w:t>
                  </w:r>
                </w:p>
              </w:tc>
              <w:tc>
                <w:tcPr>
                  <w:tcW w:w="1897" w:type="dxa"/>
                  <w:vAlign w:val="center"/>
                </w:tcPr>
                <w:p w14:paraId="3C767D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15 号</w:t>
                  </w:r>
                </w:p>
              </w:tc>
            </w:tr>
            <w:tr w14:paraId="66F30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C62B3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101</w:t>
                  </w:r>
                </w:p>
              </w:tc>
              <w:tc>
                <w:tcPr>
                  <w:tcW w:w="1301" w:type="dxa"/>
                  <w:vAlign w:val="center"/>
                </w:tcPr>
                <w:p w14:paraId="00833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韶关盖邦建材有限公司</w:t>
                  </w:r>
                </w:p>
              </w:tc>
              <w:tc>
                <w:tcPr>
                  <w:tcW w:w="372" w:type="dxa"/>
                  <w:vAlign w:val="center"/>
                </w:tcPr>
                <w:p w14:paraId="234481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489729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40EE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04FBE1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6000 个不锈钢井盖、排水沟盖板</w:t>
                  </w:r>
                </w:p>
              </w:tc>
              <w:tc>
                <w:tcPr>
                  <w:tcW w:w="1897" w:type="dxa"/>
                  <w:vAlign w:val="center"/>
                </w:tcPr>
                <w:p w14:paraId="771A65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乐环审〔2019〕33 号</w:t>
                  </w:r>
                </w:p>
              </w:tc>
            </w:tr>
            <w:tr w14:paraId="2AA65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5535E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102</w:t>
                  </w:r>
                </w:p>
              </w:tc>
              <w:tc>
                <w:tcPr>
                  <w:tcW w:w="1301" w:type="dxa"/>
                  <w:vAlign w:val="center"/>
                </w:tcPr>
                <w:p w14:paraId="5502C7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广东力齐铝模科技有限公司</w:t>
                  </w:r>
                </w:p>
              </w:tc>
              <w:tc>
                <w:tcPr>
                  <w:tcW w:w="372" w:type="dxa"/>
                  <w:vAlign w:val="center"/>
                </w:tcPr>
                <w:p w14:paraId="1FB590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4C2E83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E5916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32404.8</w:t>
                  </w:r>
                </w:p>
              </w:tc>
              <w:tc>
                <w:tcPr>
                  <w:tcW w:w="2499" w:type="dxa"/>
                  <w:vAlign w:val="center"/>
                </w:tcPr>
                <w:p w14:paraId="6B2A4E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年产铝合金建筑模板 24 万平方米，年处理结构件 6630 吨</w:t>
                  </w:r>
                </w:p>
              </w:tc>
              <w:tc>
                <w:tcPr>
                  <w:tcW w:w="1897" w:type="dxa"/>
                  <w:vAlign w:val="center"/>
                </w:tcPr>
                <w:p w14:paraId="6F36F3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乐环审〔2020〕31 号、韶环乐审</w:t>
                  </w:r>
                </w:p>
                <w:p w14:paraId="32CA8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〔2022〕08 号</w:t>
                  </w:r>
                </w:p>
              </w:tc>
            </w:tr>
            <w:tr w14:paraId="38326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30" w:type="dxa"/>
                  <w:vAlign w:val="center"/>
                </w:tcPr>
                <w:p w14:paraId="27294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103</w:t>
                  </w:r>
                </w:p>
              </w:tc>
              <w:tc>
                <w:tcPr>
                  <w:tcW w:w="1301" w:type="dxa"/>
                  <w:vAlign w:val="center"/>
                </w:tcPr>
                <w:p w14:paraId="0EDD19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乐昌市吉焱实业有限公司</w:t>
                  </w:r>
                </w:p>
              </w:tc>
              <w:tc>
                <w:tcPr>
                  <w:tcW w:w="372" w:type="dxa"/>
                  <w:vAlign w:val="center"/>
                </w:tcPr>
                <w:p w14:paraId="3D0BF1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6951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452B7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24875.4</w:t>
                  </w:r>
                </w:p>
              </w:tc>
              <w:tc>
                <w:tcPr>
                  <w:tcW w:w="2499" w:type="dxa"/>
                  <w:vAlign w:val="center"/>
                </w:tcPr>
                <w:p w14:paraId="0FB80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1897" w:type="dxa"/>
                  <w:vAlign w:val="center"/>
                </w:tcPr>
                <w:p w14:paraId="0684B5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14 号</w:t>
                  </w:r>
                </w:p>
              </w:tc>
            </w:tr>
            <w:tr w14:paraId="09A6A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13C7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104</w:t>
                  </w:r>
                </w:p>
              </w:tc>
              <w:tc>
                <w:tcPr>
                  <w:tcW w:w="1301" w:type="dxa"/>
                  <w:vAlign w:val="center"/>
                </w:tcPr>
                <w:p w14:paraId="3846E0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广东省嘉上实业有限公司</w:t>
                  </w:r>
                </w:p>
              </w:tc>
              <w:tc>
                <w:tcPr>
                  <w:tcW w:w="372" w:type="dxa"/>
                  <w:vAlign w:val="center"/>
                </w:tcPr>
                <w:p w14:paraId="6BDCFC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50F08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328B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12926.42</w:t>
                  </w:r>
                </w:p>
              </w:tc>
              <w:tc>
                <w:tcPr>
                  <w:tcW w:w="2499" w:type="dxa"/>
                  <w:vAlign w:val="center"/>
                </w:tcPr>
                <w:p w14:paraId="621B2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年产塑胶桶 500 万个</w:t>
                  </w:r>
                </w:p>
              </w:tc>
              <w:tc>
                <w:tcPr>
                  <w:tcW w:w="1897" w:type="dxa"/>
                  <w:vAlign w:val="center"/>
                </w:tcPr>
                <w:p w14:paraId="79A1F2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6439E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30" w:type="dxa"/>
                  <w:vAlign w:val="center"/>
                </w:tcPr>
                <w:p w14:paraId="1F80C4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105</w:t>
                  </w:r>
                </w:p>
              </w:tc>
              <w:tc>
                <w:tcPr>
                  <w:tcW w:w="1301" w:type="dxa"/>
                  <w:vAlign w:val="center"/>
                </w:tcPr>
                <w:p w14:paraId="7767E7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溢拓新能源(广东)有限公司</w:t>
                  </w:r>
                </w:p>
              </w:tc>
              <w:tc>
                <w:tcPr>
                  <w:tcW w:w="372" w:type="dxa"/>
                  <w:vAlign w:val="center"/>
                </w:tcPr>
                <w:p w14:paraId="6CC354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80CA3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904FE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11000</w:t>
                  </w:r>
                </w:p>
              </w:tc>
              <w:tc>
                <w:tcPr>
                  <w:tcW w:w="2499" w:type="dxa"/>
                  <w:vAlign w:val="center"/>
                </w:tcPr>
                <w:p w14:paraId="060F20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300 万件星空灯、20 万件防触电排插、12 万件擦窗机</w:t>
                  </w:r>
                </w:p>
              </w:tc>
              <w:tc>
                <w:tcPr>
                  <w:tcW w:w="1897" w:type="dxa"/>
                  <w:vAlign w:val="center"/>
                </w:tcPr>
                <w:p w14:paraId="5F7E46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韶环乐审〔2025〕11 号</w:t>
                  </w:r>
                </w:p>
              </w:tc>
            </w:tr>
            <w:tr w14:paraId="25517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54D61C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w:t>
                  </w:r>
                </w:p>
              </w:tc>
              <w:tc>
                <w:tcPr>
                  <w:tcW w:w="1301" w:type="dxa"/>
                  <w:vAlign w:val="center"/>
                </w:tcPr>
                <w:p w14:paraId="50AE6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乐昌皓强科技有限公司</w:t>
                  </w:r>
                </w:p>
              </w:tc>
              <w:tc>
                <w:tcPr>
                  <w:tcW w:w="372" w:type="dxa"/>
                  <w:vAlign w:val="center"/>
                </w:tcPr>
                <w:p w14:paraId="63EC8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6D9489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E5F85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9600</w:t>
                  </w:r>
                </w:p>
              </w:tc>
              <w:tc>
                <w:tcPr>
                  <w:tcW w:w="2499" w:type="dxa"/>
                  <w:vAlign w:val="center"/>
                </w:tcPr>
                <w:p w14:paraId="293309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106 万平方米新型先进复合建筑塑料模板</w:t>
                  </w:r>
                </w:p>
              </w:tc>
              <w:tc>
                <w:tcPr>
                  <w:tcW w:w="1897" w:type="dxa"/>
                  <w:vAlign w:val="center"/>
                </w:tcPr>
                <w:p w14:paraId="5A1F44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韶环乐审〔2022〕02 号</w:t>
                  </w:r>
                </w:p>
              </w:tc>
            </w:tr>
            <w:tr w14:paraId="16F16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A67B2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w:t>
                  </w:r>
                </w:p>
              </w:tc>
              <w:tc>
                <w:tcPr>
                  <w:tcW w:w="1301" w:type="dxa"/>
                  <w:vAlign w:val="center"/>
                </w:tcPr>
                <w:p w14:paraId="2A0801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乐昌市保利发矿山机械配件</w:t>
                  </w:r>
                </w:p>
                <w:p w14:paraId="61E77F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372" w:type="dxa"/>
                  <w:vAlign w:val="center"/>
                </w:tcPr>
                <w:p w14:paraId="27658B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07A6DB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A91A2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4050</w:t>
                  </w:r>
                </w:p>
              </w:tc>
              <w:tc>
                <w:tcPr>
                  <w:tcW w:w="2499" w:type="dxa"/>
                  <w:vAlign w:val="center"/>
                </w:tcPr>
                <w:p w14:paraId="1D972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年产破碎机边板 3000 吨、锤头 2000 吨、配件 5000 吨</w:t>
                  </w:r>
                </w:p>
              </w:tc>
              <w:tc>
                <w:tcPr>
                  <w:tcW w:w="1897" w:type="dxa"/>
                  <w:vAlign w:val="center"/>
                </w:tcPr>
                <w:p w14:paraId="4F391C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]29 号、韶环乐审</w:t>
                  </w:r>
                </w:p>
                <w:p w14:paraId="3D7BD7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78E72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B84F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108</w:t>
                  </w:r>
                </w:p>
              </w:tc>
              <w:tc>
                <w:tcPr>
                  <w:tcW w:w="1301" w:type="dxa"/>
                  <w:vAlign w:val="center"/>
                </w:tcPr>
                <w:p w14:paraId="0B8DCC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乐昌市第二污水处理厂</w:t>
                  </w:r>
                </w:p>
              </w:tc>
              <w:tc>
                <w:tcPr>
                  <w:tcW w:w="372" w:type="dxa"/>
                  <w:vAlign w:val="center"/>
                </w:tcPr>
                <w:p w14:paraId="479EB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4B831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904" w:type="dxa"/>
                  <w:vAlign w:val="center"/>
                </w:tcPr>
                <w:p w14:paraId="451D3F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56850</w:t>
                  </w:r>
                </w:p>
              </w:tc>
              <w:tc>
                <w:tcPr>
                  <w:tcW w:w="2499" w:type="dxa"/>
                  <w:vAlign w:val="center"/>
                </w:tcPr>
                <w:p w14:paraId="7759CE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处理量 30000 立方米/天</w:t>
                  </w:r>
                </w:p>
              </w:tc>
              <w:tc>
                <w:tcPr>
                  <w:tcW w:w="1897" w:type="dxa"/>
                  <w:vAlign w:val="center"/>
                </w:tcPr>
                <w:p w14:paraId="240BEB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韶环乐审〔2021〕07 号</w:t>
                  </w:r>
                </w:p>
              </w:tc>
            </w:tr>
            <w:tr w14:paraId="7D235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44C9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109</w:t>
                  </w:r>
                </w:p>
              </w:tc>
              <w:tc>
                <w:tcPr>
                  <w:tcW w:w="1301" w:type="dxa"/>
                  <w:vAlign w:val="center"/>
                </w:tcPr>
                <w:p w14:paraId="6A2EB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乐昌市芬乐制衣有限公司</w:t>
                  </w:r>
                </w:p>
              </w:tc>
              <w:tc>
                <w:tcPr>
                  <w:tcW w:w="372" w:type="dxa"/>
                  <w:vAlign w:val="center"/>
                </w:tcPr>
                <w:p w14:paraId="66A122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3AF4D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047444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40000</w:t>
                  </w:r>
                </w:p>
              </w:tc>
              <w:tc>
                <w:tcPr>
                  <w:tcW w:w="2499" w:type="dxa"/>
                  <w:vAlign w:val="center"/>
                </w:tcPr>
                <w:p w14:paraId="08FB0C40">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服装、内衣裤、卫生用品类（纸内裤）、纺织品、第二类医疗</w:t>
                  </w:r>
                </w:p>
                <w:p w14:paraId="2A054102">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器械（医用口罩、防护服）、日用罩（非医用）</w:t>
                  </w:r>
                </w:p>
              </w:tc>
              <w:tc>
                <w:tcPr>
                  <w:tcW w:w="1897" w:type="dxa"/>
                  <w:vAlign w:val="center"/>
                </w:tcPr>
                <w:p w14:paraId="2A5A25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202044028100000158</w:t>
                  </w:r>
                </w:p>
              </w:tc>
            </w:tr>
            <w:tr w14:paraId="04AA2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38891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w:t>
                  </w:r>
                </w:p>
              </w:tc>
              <w:tc>
                <w:tcPr>
                  <w:tcW w:w="1301" w:type="dxa"/>
                  <w:vAlign w:val="center"/>
                </w:tcPr>
                <w:p w14:paraId="0BA203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乐昌市瑞昊机械厂</w:t>
                  </w:r>
                </w:p>
              </w:tc>
              <w:tc>
                <w:tcPr>
                  <w:tcW w:w="372" w:type="dxa"/>
                  <w:vAlign w:val="center"/>
                </w:tcPr>
                <w:p w14:paraId="3FF109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0A845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9B825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600</w:t>
                  </w:r>
                </w:p>
              </w:tc>
              <w:tc>
                <w:tcPr>
                  <w:tcW w:w="2499" w:type="dxa"/>
                  <w:vAlign w:val="center"/>
                </w:tcPr>
                <w:p w14:paraId="48B24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年加工金属机械零部件 360 吨</w:t>
                  </w:r>
                </w:p>
              </w:tc>
              <w:tc>
                <w:tcPr>
                  <w:tcW w:w="1897" w:type="dxa"/>
                  <w:vAlign w:val="center"/>
                </w:tcPr>
                <w:p w14:paraId="5BBF83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201744028100000317</w:t>
                  </w:r>
                </w:p>
              </w:tc>
            </w:tr>
            <w:tr w14:paraId="30349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CD5E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111</w:t>
                  </w:r>
                </w:p>
              </w:tc>
              <w:tc>
                <w:tcPr>
                  <w:tcW w:w="1301" w:type="dxa"/>
                  <w:vAlign w:val="center"/>
                </w:tcPr>
                <w:p w14:paraId="6ED9C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广东创睿极光光电有限公司</w:t>
                  </w:r>
                </w:p>
              </w:tc>
              <w:tc>
                <w:tcPr>
                  <w:tcW w:w="372" w:type="dxa"/>
                  <w:vAlign w:val="center"/>
                </w:tcPr>
                <w:p w14:paraId="3255D9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87113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15E00C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1735</w:t>
                  </w:r>
                </w:p>
              </w:tc>
              <w:tc>
                <w:tcPr>
                  <w:tcW w:w="2499" w:type="dxa"/>
                  <w:vAlign w:val="center"/>
                </w:tcPr>
                <w:p w14:paraId="40D6E2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年产约 2000 万条 LED 灯条</w:t>
                  </w:r>
                </w:p>
              </w:tc>
              <w:tc>
                <w:tcPr>
                  <w:tcW w:w="1897" w:type="dxa"/>
                  <w:vAlign w:val="center"/>
                </w:tcPr>
                <w:p w14:paraId="7DB82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201944028100000140</w:t>
                  </w:r>
                </w:p>
              </w:tc>
            </w:tr>
            <w:tr w14:paraId="09B9F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30" w:type="dxa"/>
                  <w:vAlign w:val="center"/>
                </w:tcPr>
                <w:p w14:paraId="7B5D89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w:t>
                  </w:r>
                </w:p>
              </w:tc>
              <w:tc>
                <w:tcPr>
                  <w:tcW w:w="1301" w:type="dxa"/>
                  <w:vAlign w:val="center"/>
                </w:tcPr>
                <w:p w14:paraId="00431D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昇翰科技（广东）有限公司</w:t>
                  </w:r>
                </w:p>
              </w:tc>
              <w:tc>
                <w:tcPr>
                  <w:tcW w:w="372" w:type="dxa"/>
                  <w:vAlign w:val="center"/>
                </w:tcPr>
                <w:p w14:paraId="355DD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E1B5E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C8CDF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1700</w:t>
                  </w:r>
                </w:p>
              </w:tc>
              <w:tc>
                <w:tcPr>
                  <w:tcW w:w="2499" w:type="dxa"/>
                  <w:vAlign w:val="center"/>
                </w:tcPr>
                <w:p w14:paraId="3E6F2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生产加工滚珠螺母、滚珠丝杆、梯形螺母、梯形丝杆、传动</w:t>
                  </w:r>
                </w:p>
                <w:p w14:paraId="5F5A8B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元件、直线导轨、直线滑块、自动化机械设备、电子元件、</w:t>
                  </w:r>
                </w:p>
                <w:p w14:paraId="289F1F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电子材料、五金材料、自动化软硬件、电子产品。</w:t>
                  </w:r>
                </w:p>
              </w:tc>
              <w:tc>
                <w:tcPr>
                  <w:tcW w:w="1897" w:type="dxa"/>
                  <w:vAlign w:val="center"/>
                </w:tcPr>
                <w:p w14:paraId="15853B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202044028100000048</w:t>
                  </w:r>
                </w:p>
              </w:tc>
            </w:tr>
            <w:tr w14:paraId="2D124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97E20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113</w:t>
                  </w:r>
                </w:p>
              </w:tc>
              <w:tc>
                <w:tcPr>
                  <w:tcW w:w="1301" w:type="dxa"/>
                  <w:vAlign w:val="center"/>
                </w:tcPr>
                <w:p w14:paraId="6ECBC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广东运南新材料有限公司</w:t>
                  </w:r>
                </w:p>
              </w:tc>
              <w:tc>
                <w:tcPr>
                  <w:tcW w:w="372" w:type="dxa"/>
                  <w:vAlign w:val="center"/>
                </w:tcPr>
                <w:p w14:paraId="0C59C6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249A9C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废弃资源综合利用业</w:t>
                  </w:r>
                </w:p>
              </w:tc>
              <w:tc>
                <w:tcPr>
                  <w:tcW w:w="904" w:type="dxa"/>
                  <w:vAlign w:val="center"/>
                </w:tcPr>
                <w:p w14:paraId="24FD7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37346.12</w:t>
                  </w:r>
                </w:p>
              </w:tc>
              <w:tc>
                <w:tcPr>
                  <w:tcW w:w="2499" w:type="dxa"/>
                  <w:vAlign w:val="center"/>
                </w:tcPr>
                <w:p w14:paraId="0619AC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年产破碎料 7.1 万吨</w:t>
                  </w:r>
                </w:p>
              </w:tc>
              <w:tc>
                <w:tcPr>
                  <w:tcW w:w="1897" w:type="dxa"/>
                  <w:vAlign w:val="center"/>
                </w:tcPr>
                <w:p w14:paraId="77BEF2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韶环乐审〔2026〕05 号</w:t>
                  </w:r>
                </w:p>
              </w:tc>
            </w:tr>
            <w:tr w14:paraId="52FD0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1D78B4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114</w:t>
                  </w:r>
                </w:p>
              </w:tc>
              <w:tc>
                <w:tcPr>
                  <w:tcW w:w="1301" w:type="dxa"/>
                  <w:vAlign w:val="center"/>
                </w:tcPr>
                <w:p w14:paraId="29842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韶关九为新材料有限公司</w:t>
                  </w:r>
                </w:p>
              </w:tc>
              <w:tc>
                <w:tcPr>
                  <w:tcW w:w="372" w:type="dxa"/>
                  <w:vAlign w:val="center"/>
                </w:tcPr>
                <w:p w14:paraId="42CD4B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73F892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B0BCF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2499" w:type="dxa"/>
                  <w:vAlign w:val="center"/>
                </w:tcPr>
                <w:p w14:paraId="6BC83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年产铝模板 50 万平方米</w:t>
                  </w:r>
                </w:p>
              </w:tc>
              <w:tc>
                <w:tcPr>
                  <w:tcW w:w="1897" w:type="dxa"/>
                  <w:vAlign w:val="center"/>
                </w:tcPr>
                <w:p w14:paraId="6FBE56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韶环乐审〔2025〕26 号</w:t>
                  </w:r>
                </w:p>
              </w:tc>
            </w:tr>
            <w:bookmarkEnd w:id="12"/>
          </w:tbl>
          <w:p w14:paraId="10EE78F4">
            <w:pPr>
              <w:pStyle w:val="16"/>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园区已通过审批企业三废排放情况汇总表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4"/>
              <w:gridCol w:w="1517"/>
              <w:gridCol w:w="2624"/>
              <w:gridCol w:w="3174"/>
            </w:tblGrid>
            <w:tr w14:paraId="250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noWrap w:val="0"/>
                  <w:vAlign w:val="center"/>
                </w:tcPr>
                <w:p w14:paraId="08ACB1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环境影响因素</w:t>
                  </w:r>
                </w:p>
              </w:tc>
              <w:tc>
                <w:tcPr>
                  <w:tcW w:w="1921" w:type="pct"/>
                  <w:noWrap w:val="0"/>
                  <w:vAlign w:val="center"/>
                </w:tcPr>
                <w:p w14:paraId="4949E0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排放量</w:t>
                  </w:r>
                </w:p>
              </w:tc>
            </w:tr>
            <w:tr w14:paraId="574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72" w:type="pct"/>
                  <w:vMerge w:val="restart"/>
                  <w:noWrap w:val="0"/>
                  <w:vAlign w:val="center"/>
                </w:tcPr>
                <w:p w14:paraId="588666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18" w:type="pct"/>
                  <w:vMerge w:val="restart"/>
                  <w:noWrap w:val="0"/>
                  <w:vAlign w:val="center"/>
                </w:tcPr>
                <w:p w14:paraId="55BDE7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587" w:type="pct"/>
                  <w:noWrap w:val="0"/>
                  <w:vAlign w:val="center"/>
                </w:tcPr>
                <w:p w14:paraId="74C4F4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废水量（m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p>
              </w:tc>
              <w:tc>
                <w:tcPr>
                  <w:tcW w:w="3583" w:type="dxa"/>
                  <w:noWrap w:val="0"/>
                  <w:vAlign w:val="center"/>
                </w:tcPr>
                <w:p w14:paraId="728067F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vertAlign w:val="baseline"/>
                      <w:lang w:val="en-US" w:eastAsia="zh-CN"/>
                    </w:rPr>
                    <w:t>2462.21</w:t>
                  </w:r>
                </w:p>
              </w:tc>
            </w:tr>
            <w:tr w14:paraId="0477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9CB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49C0B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32827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COD（t/a）</w:t>
                  </w:r>
                </w:p>
              </w:tc>
              <w:tc>
                <w:tcPr>
                  <w:tcW w:w="3583" w:type="dxa"/>
                  <w:noWrap w:val="0"/>
                  <w:vAlign w:val="center"/>
                </w:tcPr>
                <w:p w14:paraId="4BC66CCB">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30.39</w:t>
                  </w:r>
                </w:p>
              </w:tc>
            </w:tr>
            <w:tr w14:paraId="57FD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B0D4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3EB22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0E8AF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氨氮（t/a）</w:t>
                  </w:r>
                </w:p>
              </w:tc>
              <w:tc>
                <w:tcPr>
                  <w:tcW w:w="3583" w:type="dxa"/>
                  <w:noWrap w:val="0"/>
                  <w:vAlign w:val="center"/>
                </w:tcPr>
                <w:p w14:paraId="0C9465B4">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3.794</w:t>
                  </w:r>
                </w:p>
              </w:tc>
            </w:tr>
            <w:tr w14:paraId="3FB3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3B25F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18" w:type="pct"/>
                  <w:vMerge w:val="restart"/>
                  <w:noWrap w:val="0"/>
                  <w:vAlign w:val="center"/>
                </w:tcPr>
                <w:p w14:paraId="271613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有组织排放</w:t>
                  </w:r>
                </w:p>
              </w:tc>
              <w:tc>
                <w:tcPr>
                  <w:tcW w:w="1587" w:type="pct"/>
                  <w:noWrap w:val="0"/>
                  <w:vAlign w:val="center"/>
                </w:tcPr>
                <w:p w14:paraId="6380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（t/a）</w:t>
                  </w:r>
                </w:p>
              </w:tc>
              <w:tc>
                <w:tcPr>
                  <w:tcW w:w="3583" w:type="dxa"/>
                  <w:noWrap w:val="0"/>
                  <w:vAlign w:val="center"/>
                </w:tcPr>
                <w:p w14:paraId="22A109BC">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6"/>
                      <w:sz w:val="21"/>
                      <w:szCs w:val="21"/>
                    </w:rPr>
                    <w:t>1.44</w:t>
                  </w:r>
                </w:p>
              </w:tc>
            </w:tr>
            <w:tr w14:paraId="6FD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6AB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0E5E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1A74D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氮氧化物（t/a）</w:t>
                  </w:r>
                </w:p>
              </w:tc>
              <w:tc>
                <w:tcPr>
                  <w:tcW w:w="3583" w:type="dxa"/>
                  <w:noWrap w:val="0"/>
                  <w:vAlign w:val="center"/>
                </w:tcPr>
                <w:p w14:paraId="0430E79D">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rPr>
                    <w:t>14.78</w:t>
                  </w:r>
                </w:p>
              </w:tc>
            </w:tr>
            <w:tr w14:paraId="7E1B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273BF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3B279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1C2CB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烟（粉）尘（t/a）</w:t>
                  </w:r>
                </w:p>
              </w:tc>
              <w:tc>
                <w:tcPr>
                  <w:tcW w:w="3583" w:type="dxa"/>
                  <w:noWrap w:val="0"/>
                  <w:vAlign w:val="center"/>
                </w:tcPr>
                <w:p w14:paraId="40C00554">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104.36</w:t>
                  </w:r>
                </w:p>
              </w:tc>
            </w:tr>
            <w:tr w14:paraId="3AFE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C76E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25A3B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3DCDD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非甲烷总烃（t/a）</w:t>
                  </w:r>
                </w:p>
              </w:tc>
              <w:tc>
                <w:tcPr>
                  <w:tcW w:w="3583" w:type="dxa"/>
                  <w:noWrap w:val="0"/>
                  <w:vAlign w:val="center"/>
                </w:tcPr>
                <w:p w14:paraId="5ECDE7E2">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
                      <w:sz w:val="21"/>
                      <w:szCs w:val="21"/>
                    </w:rPr>
                    <w:t>43.72</w:t>
                  </w:r>
                </w:p>
              </w:tc>
            </w:tr>
            <w:tr w14:paraId="732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0B6221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w:t>
                  </w:r>
                </w:p>
                <w:p w14:paraId="3355C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废物</w:t>
                  </w:r>
                </w:p>
              </w:tc>
              <w:tc>
                <w:tcPr>
                  <w:tcW w:w="2506" w:type="pct"/>
                  <w:gridSpan w:val="2"/>
                  <w:noWrap w:val="0"/>
                  <w:vAlign w:val="center"/>
                </w:tcPr>
                <w:p w14:paraId="46C3C1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危险废物（t/a）</w:t>
                  </w:r>
                </w:p>
              </w:tc>
              <w:tc>
                <w:tcPr>
                  <w:tcW w:w="3583" w:type="dxa"/>
                  <w:noWrap w:val="0"/>
                  <w:vAlign w:val="center"/>
                </w:tcPr>
                <w:p w14:paraId="462DCDD2">
                  <w:pPr>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1"/>
                      <w:sz w:val="21"/>
                      <w:szCs w:val="21"/>
                    </w:rPr>
                    <w:t>2278.37</w:t>
                  </w:r>
                  <w:r>
                    <w:rPr>
                      <w:rFonts w:hint="eastAsia" w:ascii="Times New Roman" w:hAnsi="Times New Roman" w:eastAsia="宋体" w:cs="Times New Roman"/>
                      <w:color w:val="auto"/>
                      <w:spacing w:val="-1"/>
                      <w:sz w:val="21"/>
                      <w:szCs w:val="21"/>
                      <w:lang w:eastAsia="zh-CN"/>
                    </w:rPr>
                    <w:t>（</w:t>
                  </w:r>
                  <w:r>
                    <w:rPr>
                      <w:rFonts w:hint="eastAsia" w:ascii="Times New Roman" w:hAnsi="Times New Roman" w:eastAsia="宋体" w:cs="Times New Roman"/>
                      <w:color w:val="auto"/>
                      <w:spacing w:val="-1"/>
                      <w:sz w:val="21"/>
                      <w:szCs w:val="21"/>
                      <w:lang w:val="en-US" w:eastAsia="zh-CN"/>
                    </w:rPr>
                    <w:t>委外处置</w:t>
                  </w:r>
                  <w:r>
                    <w:rPr>
                      <w:rFonts w:hint="eastAsia" w:ascii="Times New Roman" w:hAnsi="Times New Roman" w:eastAsia="宋体" w:cs="Times New Roman"/>
                      <w:color w:val="auto"/>
                      <w:spacing w:val="-1"/>
                      <w:sz w:val="21"/>
                      <w:szCs w:val="21"/>
                      <w:lang w:eastAsia="zh-CN"/>
                    </w:rPr>
                    <w:t>）</w:t>
                  </w:r>
                </w:p>
              </w:tc>
            </w:tr>
            <w:tr w14:paraId="598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02E42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73B430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一般固废（t/a）</w:t>
                  </w:r>
                </w:p>
              </w:tc>
              <w:tc>
                <w:tcPr>
                  <w:tcW w:w="3583" w:type="dxa"/>
                  <w:noWrap w:val="0"/>
                  <w:vAlign w:val="center"/>
                </w:tcPr>
                <w:p w14:paraId="1BB2A8D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rPr>
                    <w:t>174050.52</w:t>
                  </w:r>
                  <w:r>
                    <w:rPr>
                      <w:rFonts w:hint="default" w:ascii="Times New Roman" w:hAnsi="Times New Roman" w:eastAsia="宋体" w:cs="Times New Roman"/>
                      <w:i w:val="0"/>
                      <w:iCs w:val="0"/>
                      <w:color w:val="auto"/>
                      <w:kern w:val="0"/>
                      <w:sz w:val="21"/>
                      <w:szCs w:val="21"/>
                      <w:highlight w:val="none"/>
                      <w:u w:val="none"/>
                      <w:lang w:val="en-US" w:eastAsia="zh-CN"/>
                    </w:rPr>
                    <w:t>（综合利用，环卫清运）</w:t>
                  </w:r>
                </w:p>
              </w:tc>
            </w:tr>
            <w:tr w14:paraId="2FB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55B0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01B07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生活垃圾（t/a）</w:t>
                  </w:r>
                </w:p>
              </w:tc>
              <w:tc>
                <w:tcPr>
                  <w:tcW w:w="3583" w:type="dxa"/>
                  <w:noWrap w:val="0"/>
                  <w:vAlign w:val="center"/>
                </w:tcPr>
                <w:p w14:paraId="502ACA9F">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rPr>
                    <w:t>3129.21</w:t>
                  </w:r>
                  <w:r>
                    <w:rPr>
                      <w:rFonts w:hint="default" w:ascii="Times New Roman" w:hAnsi="Times New Roman" w:eastAsia="宋体" w:cs="Times New Roman"/>
                      <w:i w:val="0"/>
                      <w:iCs w:val="0"/>
                      <w:color w:val="auto"/>
                      <w:kern w:val="0"/>
                      <w:sz w:val="21"/>
                      <w:szCs w:val="21"/>
                      <w:highlight w:val="none"/>
                      <w:u w:val="none"/>
                      <w:lang w:val="en-US" w:eastAsia="zh-CN"/>
                    </w:rPr>
                    <w:t>（环卫清运）</w:t>
                  </w:r>
                </w:p>
              </w:tc>
            </w:tr>
          </w:tbl>
          <w:p w14:paraId="5AF58E5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p>
          <w:p w14:paraId="084F804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3、主要环境问题</w:t>
            </w:r>
          </w:p>
          <w:p w14:paraId="29D518ED">
            <w:pPr>
              <w:pageBreakBefore w:val="0"/>
              <w:wordWrap w:val="0"/>
              <w:overflowPunct/>
              <w:bidi w:val="0"/>
              <w:adjustRightInd w:val="0"/>
              <w:snapToGrid w:val="0"/>
              <w:spacing w:line="360" w:lineRule="auto"/>
              <w:ind w:firstLine="480" w:firstLineChars="200"/>
              <w:jc w:val="left"/>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 w:val="24"/>
                <w:highlight w:val="none"/>
              </w:rPr>
              <w:t>环境质量现状监测数据表明，项目所在区域各类环境要素均能达到相应的环境规划要求，无突出环境问题。</w:t>
            </w:r>
          </w:p>
          <w:p w14:paraId="2DF748E8">
            <w:pPr>
              <w:pageBreakBefore w:val="0"/>
              <w:wordWrap w:val="0"/>
              <w:overflowPunct/>
              <w:bidi w:val="0"/>
              <w:adjustRightInd w:val="0"/>
              <w:snapToGrid w:val="0"/>
              <w:ind w:firstLine="420" w:firstLineChars="200"/>
              <w:jc w:val="center"/>
              <w:rPr>
                <w:rFonts w:hint="default" w:ascii="Times New Roman" w:hAnsi="Times New Roman" w:cs="Times New Roman"/>
                <w:color w:val="auto"/>
                <w:szCs w:val="21"/>
                <w:highlight w:val="none"/>
              </w:rPr>
            </w:pPr>
          </w:p>
          <w:p w14:paraId="350CE0D1">
            <w:pPr>
              <w:spacing w:line="360" w:lineRule="auto"/>
              <w:ind w:firstLine="720" w:firstLineChars="200"/>
              <w:jc w:val="left"/>
              <w:rPr>
                <w:rFonts w:hint="default" w:ascii="黑体" w:hAnsi="黑体" w:eastAsia="黑体"/>
                <w:snapToGrid w:val="0"/>
                <w:color w:val="auto"/>
                <w:sz w:val="36"/>
                <w:szCs w:val="36"/>
                <w:highlight w:val="none"/>
                <w:vertAlign w:val="baseline"/>
                <w:lang w:val="en-US"/>
              </w:rPr>
            </w:pPr>
          </w:p>
        </w:tc>
      </w:tr>
    </w:tbl>
    <w:p w14:paraId="3DE9FC39">
      <w:pPr>
        <w:pStyle w:val="45"/>
        <w:jc w:val="center"/>
        <w:rPr>
          <w:rFonts w:ascii="黑体" w:hAnsi="黑体" w:eastAsia="黑体"/>
          <w:snapToGrid w:val="0"/>
          <w:color w:val="auto"/>
          <w:sz w:val="36"/>
          <w:szCs w:val="36"/>
          <w:highlight w:val="none"/>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2ABF57D">
      <w:pPr>
        <w:pStyle w:val="45"/>
        <w:numPr>
          <w:ilvl w:val="0"/>
          <w:numId w:val="13"/>
        </w:numPr>
        <w:spacing w:line="240" w:lineRule="auto"/>
        <w:jc w:val="center"/>
        <w:outlineLvl w:val="0"/>
        <w:rPr>
          <w:rFonts w:hint="eastAsia" w:ascii="黑体" w:hAnsi="黑体" w:eastAsia="黑体"/>
          <w:snapToGrid w:val="0"/>
          <w:color w:val="auto"/>
          <w:sz w:val="30"/>
          <w:szCs w:val="30"/>
          <w:highlight w:val="none"/>
        </w:rPr>
      </w:pPr>
      <w:bookmarkStart w:id="13" w:name="_Toc6763"/>
      <w:bookmarkStart w:id="14" w:name="_Toc13496"/>
      <w:bookmarkStart w:id="15" w:name="_Toc1482"/>
      <w:bookmarkStart w:id="16" w:name="_Toc3175"/>
      <w:r>
        <w:rPr>
          <w:rFonts w:hint="eastAsia" w:ascii="黑体" w:hAnsi="黑体" w:eastAsia="黑体"/>
          <w:snapToGrid w:val="0"/>
          <w:color w:val="auto"/>
          <w:sz w:val="30"/>
          <w:szCs w:val="30"/>
          <w:highlight w:val="none"/>
        </w:rPr>
        <w:t>区域环境质量现状、环境保护目标及评价标准</w:t>
      </w:r>
      <w:bookmarkEnd w:id="13"/>
      <w:bookmarkEnd w:id="14"/>
      <w:bookmarkEnd w:id="15"/>
      <w:bookmarkEnd w:id="16"/>
    </w:p>
    <w:tbl>
      <w:tblPr>
        <w:tblStyle w:val="4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4"/>
        <w:gridCol w:w="8557"/>
      </w:tblGrid>
      <w:tr w14:paraId="2C352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8" w:type="pct"/>
            <w:noWrap w:val="0"/>
            <w:vAlign w:val="center"/>
          </w:tcPr>
          <w:p w14:paraId="325AC857">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区域</w:t>
            </w:r>
          </w:p>
          <w:p w14:paraId="55213ACC">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环境</w:t>
            </w:r>
          </w:p>
          <w:p w14:paraId="072FABC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质量</w:t>
            </w:r>
          </w:p>
          <w:p w14:paraId="67096E2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现状</w:t>
            </w:r>
          </w:p>
        </w:tc>
        <w:tc>
          <w:tcPr>
            <w:tcW w:w="4721" w:type="pct"/>
            <w:noWrap w:val="0"/>
            <w:vAlign w:val="center"/>
          </w:tcPr>
          <w:p w14:paraId="4B9A1DE3">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1</w:t>
            </w:r>
            <w:r>
              <w:rPr>
                <w:rFonts w:hint="default" w:ascii="Times New Roman" w:hAnsi="Times New Roman" w:cs="Times New Roman"/>
                <w:b/>
                <w:color w:val="auto"/>
                <w:sz w:val="24"/>
                <w:highlight w:val="none"/>
              </w:rPr>
              <w:t>、环境空气质量现状</w:t>
            </w:r>
          </w:p>
          <w:p w14:paraId="07126FD3">
            <w:pPr>
              <w:pStyle w:val="105"/>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根据《乐昌市人民政府办公室关于印发乐昌市生态环境保护“十四五”规划的通知》（乐府办〔2022〕16号）中</w:t>
            </w:r>
            <w:r>
              <w:rPr>
                <w:rFonts w:hint="eastAsia" w:ascii="Times New Roman" w:hAnsi="Times New Roman" w:cs="Times New Roman"/>
                <w:color w:val="auto"/>
                <w:highlight w:val="none"/>
                <w:lang w:val="en-US" w:eastAsia="zh-CN"/>
              </w:rPr>
              <w:t>的</w:t>
            </w:r>
            <w:r>
              <w:rPr>
                <w:rFonts w:hint="default" w:ascii="Times New Roman" w:hAnsi="Times New Roman" w:cs="Times New Roman"/>
                <w:color w:val="auto"/>
                <w:highlight w:val="none"/>
              </w:rPr>
              <w:t>大气环境功能区划图（详见附图6），项目所在区域为环境空气质量二类功能区，因此项目所在区域环境空气质量执行国家《环境空气质量标准》（GB3095-20</w:t>
            </w:r>
            <w:r>
              <w:rPr>
                <w:rFonts w:hint="eastAsia" w:ascii="Times New Roman" w:cs="Times New Roman"/>
                <w:color w:val="auto"/>
                <w:highlight w:val="none"/>
                <w:lang w:val="en-US" w:eastAsia="zh-CN"/>
              </w:rPr>
              <w:t>26</w:t>
            </w:r>
            <w:r>
              <w:rPr>
                <w:rFonts w:hint="default" w:ascii="Times New Roman" w:hAnsi="Times New Roman" w:cs="Times New Roman"/>
                <w:color w:val="auto"/>
                <w:highlight w:val="none"/>
              </w:rPr>
              <w:t>）</w:t>
            </w:r>
            <w:r>
              <w:rPr>
                <w:rFonts w:hint="eastAsia" w:ascii="Times New Roman" w:cs="Times New Roman"/>
                <w:color w:val="auto"/>
                <w:highlight w:val="none"/>
                <w:lang w:val="en-US" w:eastAsia="zh-CN"/>
              </w:rPr>
              <w:t>过渡阶段浓度限值二级标准</w:t>
            </w:r>
            <w:r>
              <w:rPr>
                <w:rFonts w:hint="default" w:ascii="Times New Roman" w:hAnsi="Times New Roman" w:cs="Times New Roman"/>
                <w:color w:val="auto"/>
                <w:highlight w:val="none"/>
              </w:rPr>
              <w:t>。</w:t>
            </w:r>
          </w:p>
          <w:p w14:paraId="6E69768F">
            <w:pPr>
              <w:pStyle w:val="105"/>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（1）项目所在区域环境质量达标情况</w:t>
            </w:r>
          </w:p>
          <w:p w14:paraId="151F13D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为了解本项目所在城市环境空气质量现状，本报告引用</w:t>
            </w:r>
            <w:r>
              <w:rPr>
                <w:rFonts w:hint="eastAsia" w:ascii="Times New Roman" w:hAnsi="Times New Roman" w:cs="Times New Roman"/>
                <w:color w:val="auto"/>
                <w:sz w:val="24"/>
                <w:highlight w:val="none"/>
                <w:lang w:eastAsia="zh-CN"/>
              </w:rPr>
              <w:t>韶关市</w:t>
            </w:r>
            <w:r>
              <w:rPr>
                <w:rFonts w:hint="default" w:ascii="Times New Roman" w:hAnsi="Times New Roman" w:cs="Times New Roman"/>
                <w:color w:val="auto"/>
                <w:sz w:val="24"/>
                <w:highlight w:val="none"/>
              </w:rPr>
              <w:t>生态环境局官网发布的《2024年韶关市生态环境状况公报》中各县（市）城区空气质</w:t>
            </w:r>
            <w:r>
              <w:rPr>
                <w:rFonts w:hint="eastAsia" w:ascii="Times New Roman" w:hAnsi="Times New Roman" w:cs="Times New Roman"/>
                <w:color w:val="auto"/>
                <w:sz w:val="24"/>
                <w:highlight w:val="none"/>
                <w:lang w:eastAsia="zh-CN"/>
              </w:rPr>
              <w:t>量监</w:t>
            </w:r>
            <w:r>
              <w:rPr>
                <w:rFonts w:hint="default" w:ascii="Times New Roman" w:hAnsi="Times New Roman" w:cs="Times New Roman"/>
                <w:color w:val="auto"/>
                <w:sz w:val="24"/>
                <w:highlight w:val="none"/>
              </w:rPr>
              <w:t>测数据进行评价</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其中</w:t>
            </w:r>
            <w:r>
              <w:rPr>
                <w:rFonts w:hint="default" w:ascii="Times New Roman" w:hAnsi="Times New Roman" w:cs="Times New Roman"/>
                <w:color w:val="auto"/>
                <w:sz w:val="24"/>
                <w:highlight w:val="none"/>
                <w:lang w:eastAsia="zh-CN"/>
              </w:rPr>
              <w:t>乐昌市空气质量各项污染物2024年平均浓度</w:t>
            </w:r>
            <w:r>
              <w:rPr>
                <w:rFonts w:hint="default" w:ascii="Times New Roman" w:hAnsi="Times New Roman" w:cs="Times New Roman"/>
                <w:color w:val="auto"/>
                <w:sz w:val="24"/>
                <w:highlight w:val="none"/>
              </w:rPr>
              <w:t>详见下表3-</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16A702E1">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乐昌市区域空气质量现状评价一览表</w:t>
            </w:r>
          </w:p>
          <w:tbl>
            <w:tblPr>
              <w:tblStyle w:val="4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
              <w:gridCol w:w="1826"/>
              <w:gridCol w:w="1293"/>
              <w:gridCol w:w="1873"/>
              <w:gridCol w:w="1210"/>
              <w:gridCol w:w="1186"/>
            </w:tblGrid>
            <w:tr w14:paraId="71F1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082D037">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096" w:type="pct"/>
                  <w:tcBorders>
                    <w:tl2br w:val="nil"/>
                    <w:tr2bl w:val="nil"/>
                  </w:tcBorders>
                  <w:noWrap w:val="0"/>
                  <w:vAlign w:val="center"/>
                </w:tcPr>
                <w:p w14:paraId="1DB0CA7C">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年评价指标</w:t>
                  </w:r>
                </w:p>
              </w:tc>
              <w:tc>
                <w:tcPr>
                  <w:tcW w:w="776" w:type="pct"/>
                  <w:tcBorders>
                    <w:tl2br w:val="nil"/>
                    <w:tr2bl w:val="nil"/>
                  </w:tcBorders>
                  <w:noWrap w:val="0"/>
                  <w:vAlign w:val="center"/>
                </w:tcPr>
                <w:p w14:paraId="6560E7ED">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现状浓度（μg/m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1124" w:type="pct"/>
                  <w:tcBorders>
                    <w:tl2br w:val="nil"/>
                    <w:tr2bl w:val="nil"/>
                  </w:tcBorders>
                  <w:noWrap w:val="0"/>
                  <w:vAlign w:val="center"/>
                </w:tcPr>
                <w:p w14:paraId="4F313C1B">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评价标准（μg/m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726" w:type="pct"/>
                  <w:tcBorders>
                    <w:tl2br w:val="nil"/>
                    <w:tr2bl w:val="nil"/>
                  </w:tcBorders>
                  <w:noWrap w:val="0"/>
                  <w:vAlign w:val="center"/>
                </w:tcPr>
                <w:p w14:paraId="65D5C4DF">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占标率%</w:t>
                  </w:r>
                </w:p>
              </w:tc>
              <w:tc>
                <w:tcPr>
                  <w:tcW w:w="712" w:type="pct"/>
                  <w:tcBorders>
                    <w:tl2br w:val="nil"/>
                    <w:tr2bl w:val="nil"/>
                  </w:tcBorders>
                  <w:noWrap w:val="0"/>
                  <w:vAlign w:val="center"/>
                </w:tcPr>
                <w:p w14:paraId="36274F44">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533B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44408AFE">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096" w:type="pct"/>
                  <w:tcBorders>
                    <w:tl2br w:val="nil"/>
                    <w:tr2bl w:val="nil"/>
                  </w:tcBorders>
                  <w:noWrap w:val="0"/>
                  <w:vAlign w:val="center"/>
                </w:tcPr>
                <w:p w14:paraId="0AC64BE8">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49964ED5">
                  <w:pPr>
                    <w:adjustRightInd w:val="0"/>
                    <w:snapToGrid w:val="0"/>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lang w:val="en-US" w:eastAsia="zh-CN"/>
                    </w:rPr>
                    <w:t>6</w:t>
                  </w:r>
                </w:p>
              </w:tc>
              <w:tc>
                <w:tcPr>
                  <w:tcW w:w="1873" w:type="dxa"/>
                  <w:tcBorders>
                    <w:tl2br w:val="nil"/>
                    <w:tr2bl w:val="nil"/>
                  </w:tcBorders>
                  <w:noWrap w:val="0"/>
                  <w:vAlign w:val="center"/>
                </w:tcPr>
                <w:p w14:paraId="648CE1D8">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60</w:t>
                  </w:r>
                </w:p>
              </w:tc>
              <w:tc>
                <w:tcPr>
                  <w:tcW w:w="1218" w:type="dxa"/>
                  <w:tcBorders>
                    <w:tl2br w:val="nil"/>
                    <w:tr2bl w:val="nil"/>
                  </w:tcBorders>
                  <w:noWrap w:val="0"/>
                  <w:vAlign w:val="center"/>
                </w:tcPr>
                <w:p w14:paraId="175EB614">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10.00</w:t>
                  </w:r>
                </w:p>
              </w:tc>
              <w:tc>
                <w:tcPr>
                  <w:tcW w:w="712" w:type="pct"/>
                  <w:tcBorders>
                    <w:tl2br w:val="nil"/>
                    <w:tr2bl w:val="nil"/>
                  </w:tcBorders>
                  <w:noWrap w:val="0"/>
                  <w:vAlign w:val="center"/>
                </w:tcPr>
                <w:p w14:paraId="41A85DA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3ABD2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112D46">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096" w:type="pct"/>
                  <w:tcBorders>
                    <w:tl2br w:val="nil"/>
                    <w:tr2bl w:val="nil"/>
                  </w:tcBorders>
                  <w:noWrap w:val="0"/>
                  <w:vAlign w:val="center"/>
                </w:tcPr>
                <w:p w14:paraId="31BF9A4A">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73B8E42A">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lang w:val="en-US" w:eastAsia="zh-CN"/>
                    </w:rPr>
                    <w:t>12</w:t>
                  </w:r>
                </w:p>
              </w:tc>
              <w:tc>
                <w:tcPr>
                  <w:tcW w:w="1873" w:type="dxa"/>
                  <w:tcBorders>
                    <w:tl2br w:val="nil"/>
                    <w:tr2bl w:val="nil"/>
                  </w:tcBorders>
                  <w:noWrap w:val="0"/>
                  <w:vAlign w:val="center"/>
                </w:tcPr>
                <w:p w14:paraId="36B61B60">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40</w:t>
                  </w:r>
                </w:p>
              </w:tc>
              <w:tc>
                <w:tcPr>
                  <w:tcW w:w="1218" w:type="dxa"/>
                  <w:tcBorders>
                    <w:tl2br w:val="nil"/>
                    <w:tr2bl w:val="nil"/>
                  </w:tcBorders>
                  <w:noWrap w:val="0"/>
                  <w:vAlign w:val="center"/>
                </w:tcPr>
                <w:p w14:paraId="216F37D5">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30.00</w:t>
                  </w:r>
                </w:p>
              </w:tc>
              <w:tc>
                <w:tcPr>
                  <w:tcW w:w="712" w:type="pct"/>
                  <w:tcBorders>
                    <w:tl2br w:val="nil"/>
                    <w:tr2bl w:val="nil"/>
                  </w:tcBorders>
                  <w:noWrap w:val="0"/>
                  <w:vAlign w:val="center"/>
                </w:tcPr>
                <w:p w14:paraId="45A3B8ED">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3E9BE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8AF9EB">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096" w:type="pct"/>
                  <w:tcBorders>
                    <w:tl2br w:val="nil"/>
                    <w:tr2bl w:val="nil"/>
                  </w:tcBorders>
                  <w:noWrap w:val="0"/>
                  <w:vAlign w:val="center"/>
                </w:tcPr>
                <w:p w14:paraId="5A355C2C">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0AD0ACFB">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2</w:t>
                  </w:r>
                  <w:r>
                    <w:rPr>
                      <w:rFonts w:hint="eastAsia" w:ascii="Times New Roman" w:hAnsi="Times New Roman" w:cs="Times New Roman"/>
                      <w:color w:val="auto"/>
                      <w:sz w:val="21"/>
                      <w:szCs w:val="21"/>
                      <w:lang w:val="en-US" w:eastAsia="zh-CN"/>
                    </w:rPr>
                    <w:t>1</w:t>
                  </w:r>
                </w:p>
              </w:tc>
              <w:tc>
                <w:tcPr>
                  <w:tcW w:w="1873" w:type="dxa"/>
                  <w:tcBorders>
                    <w:tl2br w:val="nil"/>
                    <w:tr2bl w:val="nil"/>
                  </w:tcBorders>
                  <w:noWrap w:val="0"/>
                  <w:vAlign w:val="center"/>
                </w:tcPr>
                <w:p w14:paraId="40594A0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lang w:val="en-US" w:eastAsia="zh-CN"/>
                    </w:rPr>
                    <w:t>30</w:t>
                  </w:r>
                </w:p>
              </w:tc>
              <w:tc>
                <w:tcPr>
                  <w:tcW w:w="1218" w:type="dxa"/>
                  <w:tcBorders>
                    <w:tl2br w:val="nil"/>
                    <w:tr2bl w:val="nil"/>
                  </w:tcBorders>
                  <w:noWrap w:val="0"/>
                  <w:vAlign w:val="center"/>
                </w:tcPr>
                <w:p w14:paraId="01FB107A">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0.00</w:t>
                  </w:r>
                </w:p>
              </w:tc>
              <w:tc>
                <w:tcPr>
                  <w:tcW w:w="712" w:type="pct"/>
                  <w:tcBorders>
                    <w:tl2br w:val="nil"/>
                    <w:tr2bl w:val="nil"/>
                  </w:tcBorders>
                  <w:noWrap w:val="0"/>
                  <w:vAlign w:val="center"/>
                </w:tcPr>
                <w:p w14:paraId="5FB15ABE">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6014E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627EC93C">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096" w:type="pct"/>
                  <w:tcBorders>
                    <w:tl2br w:val="nil"/>
                    <w:tr2bl w:val="nil"/>
                  </w:tcBorders>
                  <w:noWrap w:val="0"/>
                  <w:vAlign w:val="center"/>
                </w:tcPr>
                <w:p w14:paraId="70CBF6D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1E76A9C2">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3</w:t>
                  </w:r>
                  <w:r>
                    <w:rPr>
                      <w:rFonts w:hint="eastAsia" w:ascii="Times New Roman" w:hAnsi="Times New Roman" w:cs="Times New Roman"/>
                      <w:color w:val="auto"/>
                      <w:sz w:val="21"/>
                      <w:szCs w:val="21"/>
                      <w:lang w:val="en-US" w:eastAsia="zh-CN"/>
                    </w:rPr>
                    <w:t>1</w:t>
                  </w:r>
                </w:p>
              </w:tc>
              <w:tc>
                <w:tcPr>
                  <w:tcW w:w="1873" w:type="dxa"/>
                  <w:tcBorders>
                    <w:tl2br w:val="nil"/>
                    <w:tr2bl w:val="nil"/>
                  </w:tcBorders>
                  <w:noWrap w:val="0"/>
                  <w:vAlign w:val="center"/>
                </w:tcPr>
                <w:p w14:paraId="70F0547D">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lang w:val="en-US" w:eastAsia="zh-CN"/>
                    </w:rPr>
                    <w:t>60</w:t>
                  </w:r>
                </w:p>
              </w:tc>
              <w:tc>
                <w:tcPr>
                  <w:tcW w:w="1218" w:type="dxa"/>
                  <w:tcBorders>
                    <w:tl2br w:val="nil"/>
                    <w:tr2bl w:val="nil"/>
                  </w:tcBorders>
                  <w:noWrap w:val="0"/>
                  <w:vAlign w:val="center"/>
                </w:tcPr>
                <w:p w14:paraId="636C39A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51.7</w:t>
                  </w:r>
                </w:p>
              </w:tc>
              <w:tc>
                <w:tcPr>
                  <w:tcW w:w="712" w:type="pct"/>
                  <w:tcBorders>
                    <w:tl2br w:val="nil"/>
                    <w:tr2bl w:val="nil"/>
                  </w:tcBorders>
                  <w:noWrap w:val="0"/>
                  <w:vAlign w:val="center"/>
                </w:tcPr>
                <w:p w14:paraId="14B2B4D0">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69D2A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742D56B0">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096" w:type="pct"/>
                  <w:tcBorders>
                    <w:tl2br w:val="nil"/>
                    <w:tr2bl w:val="nil"/>
                  </w:tcBorders>
                  <w:noWrap w:val="0"/>
                  <w:vAlign w:val="center"/>
                </w:tcPr>
                <w:p w14:paraId="24E34FDD">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24小时平均值第95百分位数</w:t>
                  </w:r>
                </w:p>
              </w:tc>
              <w:tc>
                <w:tcPr>
                  <w:tcW w:w="1293" w:type="dxa"/>
                  <w:tcBorders>
                    <w:tl2br w:val="nil"/>
                    <w:tr2bl w:val="nil"/>
                  </w:tcBorders>
                  <w:noWrap w:val="0"/>
                  <w:vAlign w:val="center"/>
                </w:tcPr>
                <w:p w14:paraId="76DC0345">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rPr>
                    <w:t>00</w:t>
                  </w:r>
                </w:p>
              </w:tc>
              <w:tc>
                <w:tcPr>
                  <w:tcW w:w="1873" w:type="dxa"/>
                  <w:tcBorders>
                    <w:tl2br w:val="nil"/>
                    <w:tr2bl w:val="nil"/>
                  </w:tcBorders>
                  <w:noWrap w:val="0"/>
                  <w:vAlign w:val="center"/>
                </w:tcPr>
                <w:p w14:paraId="30CEB7BA">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w:t>
                  </w:r>
                </w:p>
              </w:tc>
              <w:tc>
                <w:tcPr>
                  <w:tcW w:w="1218" w:type="dxa"/>
                  <w:tcBorders>
                    <w:tl2br w:val="nil"/>
                    <w:tr2bl w:val="nil"/>
                  </w:tcBorders>
                  <w:noWrap w:val="0"/>
                  <w:vAlign w:val="center"/>
                </w:tcPr>
                <w:p w14:paraId="642105C8">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lang w:val="en-US" w:eastAsia="zh-CN"/>
                    </w:rPr>
                    <w:t>25.00</w:t>
                  </w:r>
                </w:p>
              </w:tc>
              <w:tc>
                <w:tcPr>
                  <w:tcW w:w="712" w:type="pct"/>
                  <w:tcBorders>
                    <w:tl2br w:val="nil"/>
                    <w:tr2bl w:val="nil"/>
                  </w:tcBorders>
                  <w:noWrap w:val="0"/>
                  <w:vAlign w:val="center"/>
                </w:tcPr>
                <w:p w14:paraId="50112A2D">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54D8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3D36A049">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096" w:type="pct"/>
                  <w:tcBorders>
                    <w:tl2br w:val="nil"/>
                    <w:tr2bl w:val="nil"/>
                  </w:tcBorders>
                  <w:noWrap w:val="0"/>
                  <w:vAlign w:val="center"/>
                </w:tcPr>
                <w:p w14:paraId="6293E83C">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日</w:t>
                  </w:r>
                  <w:r>
                    <w:rPr>
                      <w:rFonts w:hint="default" w:ascii="Times New Roman" w:hAnsi="Times New Roman" w:cs="Times New Roman"/>
                      <w:color w:val="auto"/>
                      <w:sz w:val="21"/>
                      <w:szCs w:val="21"/>
                      <w:highlight w:val="none"/>
                    </w:rPr>
                    <w:t>最大8小时平均值第90百分位数</w:t>
                  </w:r>
                </w:p>
              </w:tc>
              <w:tc>
                <w:tcPr>
                  <w:tcW w:w="1293" w:type="dxa"/>
                  <w:tcBorders>
                    <w:tl2br w:val="nil"/>
                    <w:tr2bl w:val="nil"/>
                  </w:tcBorders>
                  <w:noWrap w:val="0"/>
                  <w:vAlign w:val="center"/>
                </w:tcPr>
                <w:p w14:paraId="095C0184">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lang w:val="en-US" w:eastAsia="zh-CN"/>
                    </w:rPr>
                    <w:t>08</w:t>
                  </w:r>
                </w:p>
              </w:tc>
              <w:tc>
                <w:tcPr>
                  <w:tcW w:w="1873" w:type="dxa"/>
                  <w:tcBorders>
                    <w:tl2br w:val="nil"/>
                    <w:tr2bl w:val="nil"/>
                  </w:tcBorders>
                  <w:noWrap w:val="0"/>
                  <w:vAlign w:val="center"/>
                </w:tcPr>
                <w:p w14:paraId="623B73CF">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160</w:t>
                  </w:r>
                </w:p>
              </w:tc>
              <w:tc>
                <w:tcPr>
                  <w:tcW w:w="1218" w:type="dxa"/>
                  <w:tcBorders>
                    <w:tl2br w:val="nil"/>
                    <w:tr2bl w:val="nil"/>
                  </w:tcBorders>
                  <w:noWrap w:val="0"/>
                  <w:vAlign w:val="center"/>
                </w:tcPr>
                <w:p w14:paraId="187F7B9A">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lang w:val="en-US" w:eastAsia="zh-CN"/>
                    </w:rPr>
                    <w:t>67.50</w:t>
                  </w:r>
                </w:p>
              </w:tc>
              <w:tc>
                <w:tcPr>
                  <w:tcW w:w="712" w:type="pct"/>
                  <w:tcBorders>
                    <w:tl2br w:val="nil"/>
                    <w:tr2bl w:val="nil"/>
                  </w:tcBorders>
                  <w:noWrap w:val="0"/>
                  <w:vAlign w:val="center"/>
                </w:tcPr>
                <w:p w14:paraId="3F9AEEE3">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350A7BEB">
            <w:pPr>
              <w:spacing w:line="120" w:lineRule="auto"/>
              <w:ind w:firstLine="420" w:firstLineChars="200"/>
              <w:rPr>
                <w:rFonts w:hint="default" w:ascii="Times New Roman" w:hAnsi="Times New Roman" w:cs="Times New Roman"/>
                <w:color w:val="auto"/>
                <w:highlight w:val="none"/>
              </w:rPr>
            </w:pPr>
          </w:p>
          <w:p w14:paraId="1817CF3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根据上表，202</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年</w:t>
            </w:r>
            <w:r>
              <w:rPr>
                <w:rFonts w:hint="eastAsia" w:ascii="Times New Roman" w:hAnsi="Times New Roman" w:cs="Times New Roman"/>
                <w:color w:val="auto"/>
                <w:sz w:val="24"/>
                <w:highlight w:val="none"/>
                <w:lang w:val="en-US" w:eastAsia="zh-CN"/>
              </w:rPr>
              <w:t>乐昌</w:t>
            </w:r>
            <w:r>
              <w:rPr>
                <w:rFonts w:hint="eastAsia" w:ascii="Times New Roman" w:hAnsi="Times New Roman" w:cs="Times New Roman"/>
                <w:color w:val="auto"/>
                <w:sz w:val="24"/>
                <w:highlight w:val="none"/>
                <w:lang w:eastAsia="zh-CN"/>
              </w:rPr>
              <w:t>市</w:t>
            </w:r>
            <w:r>
              <w:rPr>
                <w:rFonts w:hint="default" w:ascii="Times New Roman" w:hAnsi="Times New Roman" w:cs="Times New Roman"/>
                <w:color w:val="auto"/>
                <w:sz w:val="24"/>
                <w:highlight w:val="none"/>
              </w:rPr>
              <w:t>环境空气六项基本污染物均能达到《环境空气质量标准》（GB3095-2026）过渡阶段浓度限值二级标准，属环境空气质量达标区。</w:t>
            </w:r>
          </w:p>
          <w:p w14:paraId="7997FFA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）补充监测</w:t>
            </w:r>
          </w:p>
          <w:p w14:paraId="5DC6FE9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影响报告表编制技术指南（污染影响类）》（试行）：排放国家、地方环境空气质量标准中有标准限值要求的特征污染物时，引用建设项目周边5千米范围内近3年的现有监测数据。本项目需补充监测的其他污染物为TSP</w:t>
            </w:r>
            <w:r>
              <w:rPr>
                <w:rFonts w:hint="eastAsia" w:cs="Times New Roman"/>
                <w:color w:val="auto"/>
                <w:sz w:val="24"/>
                <w:highlight w:val="none"/>
                <w:lang w:eastAsia="zh-CN"/>
              </w:rPr>
              <w:t>、</w:t>
            </w:r>
            <w:r>
              <w:rPr>
                <w:rFonts w:hint="eastAsia" w:cs="Times New Roman"/>
                <w:color w:val="auto"/>
                <w:sz w:val="24"/>
                <w:highlight w:val="none"/>
                <w:lang w:val="en-US" w:eastAsia="zh-CN"/>
              </w:rPr>
              <w:t>非甲烷总烃、苯系物、臭气浓度</w:t>
            </w:r>
            <w:r>
              <w:rPr>
                <w:rFonts w:hint="default" w:ascii="Times New Roman" w:hAnsi="Times New Roman" w:cs="Times New Roman"/>
                <w:color w:val="auto"/>
                <w:sz w:val="24"/>
                <w:highlight w:val="none"/>
              </w:rPr>
              <w:t>。</w:t>
            </w:r>
          </w:p>
          <w:p w14:paraId="63A9F18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本项目引用《乐昌产业转移工业园2023年度环境管理状况评估监测》（报告编号：QHT-202312271026</w:t>
            </w:r>
            <w:r>
              <w:rPr>
                <w:rFonts w:hint="eastAsia" w:cs="Times New Roman"/>
                <w:color w:val="auto"/>
                <w:sz w:val="24"/>
                <w:highlight w:val="none"/>
                <w:lang w:eastAsia="zh-CN"/>
              </w:rPr>
              <w:t>，</w:t>
            </w:r>
            <w:r>
              <w:rPr>
                <w:rFonts w:hint="eastAsia" w:cs="Times New Roman"/>
                <w:color w:val="auto"/>
                <w:sz w:val="24"/>
                <w:highlight w:val="none"/>
                <w:lang w:val="en-US" w:eastAsia="zh-CN"/>
              </w:rPr>
              <w:t>详见附件6</w:t>
            </w:r>
            <w:r>
              <w:rPr>
                <w:rFonts w:hint="default" w:ascii="Times New Roman" w:hAnsi="Times New Roman" w:cs="Times New Roman"/>
                <w:color w:val="auto"/>
                <w:sz w:val="24"/>
                <w:highlight w:val="none"/>
              </w:rPr>
              <w:t>）用于评价TSP、非甲烷总烃、二甲苯、臭气浓度环境质量现状。深圳市清华环科检测技术有限公司于2023年12月19日-2023年12月25日在本项目南侧</w:t>
            </w:r>
            <w:r>
              <w:rPr>
                <w:rFonts w:hint="eastAsia" w:cs="Times New Roman"/>
                <w:color w:val="auto"/>
                <w:sz w:val="24"/>
                <w:highlight w:val="none"/>
                <w:lang w:val="en-US" w:eastAsia="zh-CN"/>
              </w:rPr>
              <w:t>4472</w:t>
            </w:r>
            <w:r>
              <w:rPr>
                <w:rFonts w:hint="default" w:ascii="Times New Roman" w:hAnsi="Times New Roman" w:cs="Times New Roman"/>
                <w:color w:val="auto"/>
                <w:sz w:val="24"/>
                <w:highlight w:val="none"/>
              </w:rPr>
              <w:t>m处G1和村地进行采样监测的监测数据，连续监测7天。本项目其他污染物补充监测点位基本信息见表3-2，监测结果</w:t>
            </w:r>
            <w:r>
              <w:rPr>
                <w:rFonts w:hint="default" w:ascii="Times New Roman" w:hAnsi="Times New Roman" w:cs="Times New Roman"/>
                <w:color w:val="auto"/>
                <w:sz w:val="24"/>
                <w:highlight w:val="none"/>
                <w:lang w:val="en-US" w:eastAsia="zh-CN"/>
              </w:rPr>
              <w:t>见</w:t>
            </w:r>
            <w:r>
              <w:rPr>
                <w:rFonts w:hint="default" w:ascii="Times New Roman" w:hAnsi="Times New Roman" w:cs="Times New Roman"/>
                <w:color w:val="auto"/>
                <w:sz w:val="24"/>
                <w:highlight w:val="none"/>
              </w:rPr>
              <w:t>表3-3。</w:t>
            </w:r>
          </w:p>
          <w:p w14:paraId="197D7301">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 xml:space="preserve"> 大气监测点位信息</w:t>
            </w:r>
          </w:p>
          <w:tbl>
            <w:tblPr>
              <w:tblStyle w:val="48"/>
              <w:tblW w:w="4994"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148"/>
              <w:gridCol w:w="1120"/>
              <w:gridCol w:w="859"/>
              <w:gridCol w:w="1227"/>
              <w:gridCol w:w="1849"/>
              <w:gridCol w:w="1015"/>
              <w:gridCol w:w="1098"/>
            </w:tblGrid>
            <w:tr w14:paraId="1CBFA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rPr>
              <w:tc>
                <w:tcPr>
                  <w:tcW w:w="690" w:type="pct"/>
                  <w:vMerge w:val="restart"/>
                  <w:tcBorders>
                    <w:tl2br w:val="nil"/>
                    <w:tr2bl w:val="nil"/>
                  </w:tcBorders>
                  <w:noWrap w:val="0"/>
                  <w:vAlign w:val="center"/>
                </w:tcPr>
                <w:p w14:paraId="337A2DB2">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监测点名称</w:t>
                  </w:r>
                </w:p>
              </w:tc>
              <w:tc>
                <w:tcPr>
                  <w:tcW w:w="1189" w:type="pct"/>
                  <w:gridSpan w:val="2"/>
                  <w:tcBorders>
                    <w:tl2br w:val="nil"/>
                    <w:tr2bl w:val="nil"/>
                  </w:tcBorders>
                  <w:noWrap w:val="0"/>
                  <w:vAlign w:val="center"/>
                </w:tcPr>
                <w:p w14:paraId="22891898">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default" w:ascii="Times New Roman" w:hAnsi="Times New Roman" w:cs="Times New Roman"/>
                      <w:b/>
                      <w:bCs/>
                      <w:color w:val="auto"/>
                      <w:kern w:val="2"/>
                      <w:sz w:val="21"/>
                      <w:szCs w:val="21"/>
                      <w:highlight w:val="none"/>
                      <w:lang w:eastAsia="zh-CN" w:bidi="zh-CN"/>
                    </w:rPr>
                    <w:t>监测点坐标</w:t>
                  </w:r>
                </w:p>
              </w:tc>
              <w:tc>
                <w:tcPr>
                  <w:tcW w:w="737" w:type="pct"/>
                  <w:vMerge w:val="restart"/>
                  <w:tcBorders>
                    <w:tl2br w:val="nil"/>
                    <w:tr2bl w:val="nil"/>
                  </w:tcBorders>
                  <w:noWrap w:val="0"/>
                  <w:vAlign w:val="center"/>
                </w:tcPr>
                <w:p w14:paraId="6CFE058C">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监测因子</w:t>
                  </w:r>
                </w:p>
              </w:tc>
              <w:tc>
                <w:tcPr>
                  <w:tcW w:w="1111" w:type="pct"/>
                  <w:vMerge w:val="restart"/>
                  <w:tcBorders>
                    <w:tl2br w:val="nil"/>
                    <w:tr2bl w:val="nil"/>
                  </w:tcBorders>
                  <w:noWrap w:val="0"/>
                  <w:vAlign w:val="center"/>
                </w:tcPr>
                <w:p w14:paraId="018AF9FE">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监测时段</w:t>
                  </w:r>
                </w:p>
              </w:tc>
              <w:tc>
                <w:tcPr>
                  <w:tcW w:w="610" w:type="pct"/>
                  <w:vMerge w:val="restart"/>
                  <w:tcBorders>
                    <w:tl2br w:val="nil"/>
                    <w:tr2bl w:val="nil"/>
                  </w:tcBorders>
                  <w:noWrap w:val="0"/>
                  <w:vAlign w:val="center"/>
                </w:tcPr>
                <w:p w14:paraId="49EDD6E2">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相对厂址方位</w:t>
                  </w:r>
                </w:p>
              </w:tc>
              <w:tc>
                <w:tcPr>
                  <w:tcW w:w="660" w:type="pct"/>
                  <w:vMerge w:val="restart"/>
                  <w:tcBorders>
                    <w:tl2br w:val="nil"/>
                    <w:tr2bl w:val="nil"/>
                  </w:tcBorders>
                  <w:noWrap w:val="0"/>
                  <w:vAlign w:val="center"/>
                </w:tcPr>
                <w:p w14:paraId="1CF2A51F">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相对厂界距离/m</w:t>
                  </w:r>
                </w:p>
              </w:tc>
            </w:tr>
            <w:tr w14:paraId="5AE18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continue"/>
                  <w:tcBorders>
                    <w:tl2br w:val="nil"/>
                    <w:tr2bl w:val="nil"/>
                  </w:tcBorders>
                  <w:noWrap w:val="0"/>
                  <w:vAlign w:val="center"/>
                </w:tcPr>
                <w:p w14:paraId="1DB87E4A">
                  <w:pPr>
                    <w:pStyle w:val="112"/>
                    <w:spacing w:line="240" w:lineRule="auto"/>
                    <w:jc w:val="center"/>
                    <w:rPr>
                      <w:rFonts w:hint="default" w:ascii="Times New Roman" w:hAnsi="Times New Roman" w:cs="Times New Roman"/>
                      <w:b/>
                      <w:bCs/>
                      <w:color w:val="auto"/>
                      <w:kern w:val="2"/>
                      <w:sz w:val="21"/>
                      <w:szCs w:val="21"/>
                      <w:highlight w:val="none"/>
                      <w:lang w:eastAsia="zh-CN" w:bidi="zh-CN"/>
                    </w:rPr>
                  </w:pPr>
                </w:p>
              </w:tc>
              <w:tc>
                <w:tcPr>
                  <w:tcW w:w="673" w:type="pct"/>
                  <w:tcBorders>
                    <w:tl2br w:val="nil"/>
                    <w:tr2bl w:val="nil"/>
                  </w:tcBorders>
                  <w:noWrap w:val="0"/>
                  <w:vAlign w:val="center"/>
                </w:tcPr>
                <w:p w14:paraId="2A20AB7A">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eastAsia" w:ascii="Times New Roman" w:hAnsi="Times New Roman" w:cs="Times New Roman"/>
                      <w:b/>
                      <w:bCs/>
                      <w:color w:val="auto"/>
                      <w:kern w:val="2"/>
                      <w:sz w:val="21"/>
                      <w:szCs w:val="21"/>
                      <w:highlight w:val="none"/>
                      <w:lang w:val="en-US" w:eastAsia="zh-CN" w:bidi="zh-CN"/>
                    </w:rPr>
                    <w:t>经度</w:t>
                  </w:r>
                </w:p>
              </w:tc>
              <w:tc>
                <w:tcPr>
                  <w:tcW w:w="515" w:type="pct"/>
                  <w:tcBorders>
                    <w:tl2br w:val="nil"/>
                    <w:tr2bl w:val="nil"/>
                  </w:tcBorders>
                  <w:noWrap w:val="0"/>
                  <w:vAlign w:val="center"/>
                </w:tcPr>
                <w:p w14:paraId="73CAD51C">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eastAsia" w:ascii="Times New Roman" w:hAnsi="Times New Roman" w:cs="Times New Roman"/>
                      <w:b/>
                      <w:bCs/>
                      <w:color w:val="auto"/>
                      <w:kern w:val="2"/>
                      <w:sz w:val="21"/>
                      <w:szCs w:val="21"/>
                      <w:highlight w:val="none"/>
                      <w:lang w:val="en-US" w:eastAsia="zh-CN" w:bidi="zh-CN"/>
                    </w:rPr>
                    <w:t>纬度</w:t>
                  </w:r>
                </w:p>
              </w:tc>
              <w:tc>
                <w:tcPr>
                  <w:tcW w:w="737" w:type="pct"/>
                  <w:vMerge w:val="continue"/>
                  <w:tcBorders>
                    <w:tl2br w:val="nil"/>
                    <w:tr2bl w:val="nil"/>
                  </w:tcBorders>
                  <w:noWrap w:val="0"/>
                  <w:vAlign w:val="center"/>
                </w:tcPr>
                <w:p w14:paraId="4A5FDB57">
                  <w:pPr>
                    <w:spacing w:line="240" w:lineRule="auto"/>
                    <w:jc w:val="center"/>
                    <w:rPr>
                      <w:rFonts w:hint="default" w:ascii="Times New Roman" w:hAnsi="Times New Roman" w:cs="Times New Roman"/>
                      <w:color w:val="auto"/>
                      <w:sz w:val="21"/>
                      <w:szCs w:val="21"/>
                      <w:highlight w:val="none"/>
                    </w:rPr>
                  </w:pPr>
                </w:p>
              </w:tc>
              <w:tc>
                <w:tcPr>
                  <w:tcW w:w="1111" w:type="pct"/>
                  <w:vMerge w:val="continue"/>
                  <w:tcBorders>
                    <w:tl2br w:val="nil"/>
                    <w:tr2bl w:val="nil"/>
                  </w:tcBorders>
                  <w:noWrap w:val="0"/>
                  <w:vAlign w:val="center"/>
                </w:tcPr>
                <w:p w14:paraId="6C978558">
                  <w:pPr>
                    <w:spacing w:line="240" w:lineRule="auto"/>
                    <w:jc w:val="center"/>
                    <w:rPr>
                      <w:rFonts w:hint="default" w:ascii="Times New Roman" w:hAnsi="Times New Roman" w:cs="Times New Roman"/>
                      <w:color w:val="auto"/>
                      <w:sz w:val="21"/>
                      <w:szCs w:val="21"/>
                      <w:highlight w:val="none"/>
                    </w:rPr>
                  </w:pPr>
                </w:p>
              </w:tc>
              <w:tc>
                <w:tcPr>
                  <w:tcW w:w="610" w:type="pct"/>
                  <w:vMerge w:val="continue"/>
                  <w:tcBorders>
                    <w:tl2br w:val="nil"/>
                    <w:tr2bl w:val="nil"/>
                  </w:tcBorders>
                  <w:noWrap w:val="0"/>
                  <w:vAlign w:val="center"/>
                </w:tcPr>
                <w:p w14:paraId="181BFB5E">
                  <w:pPr>
                    <w:spacing w:line="240" w:lineRule="auto"/>
                    <w:jc w:val="center"/>
                    <w:rPr>
                      <w:rFonts w:hint="default" w:ascii="Times New Roman" w:hAnsi="Times New Roman" w:cs="Times New Roman"/>
                      <w:color w:val="auto"/>
                      <w:sz w:val="21"/>
                      <w:szCs w:val="21"/>
                      <w:highlight w:val="none"/>
                    </w:rPr>
                  </w:pPr>
                </w:p>
              </w:tc>
              <w:tc>
                <w:tcPr>
                  <w:tcW w:w="660" w:type="pct"/>
                  <w:vMerge w:val="continue"/>
                  <w:tcBorders>
                    <w:tl2br w:val="nil"/>
                    <w:tr2bl w:val="nil"/>
                  </w:tcBorders>
                  <w:noWrap w:val="0"/>
                  <w:vAlign w:val="center"/>
                </w:tcPr>
                <w:p w14:paraId="7AC166C7">
                  <w:pPr>
                    <w:spacing w:line="240" w:lineRule="auto"/>
                    <w:jc w:val="center"/>
                    <w:rPr>
                      <w:rFonts w:hint="default" w:ascii="Times New Roman" w:hAnsi="Times New Roman" w:cs="Times New Roman"/>
                      <w:color w:val="auto"/>
                      <w:sz w:val="21"/>
                      <w:szCs w:val="21"/>
                      <w:highlight w:val="none"/>
                    </w:rPr>
                  </w:pPr>
                </w:p>
              </w:tc>
            </w:tr>
            <w:tr w14:paraId="6E90E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1148" w:type="dxa"/>
                  <w:tcBorders>
                    <w:tl2br w:val="nil"/>
                    <w:tr2bl w:val="nil"/>
                  </w:tcBorders>
                  <w:noWrap w:val="0"/>
                  <w:vAlign w:val="center"/>
                </w:tcPr>
                <w:p w14:paraId="6E74DC0C">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G1</w:t>
                  </w:r>
                  <w:r>
                    <w:rPr>
                      <w:rFonts w:hint="eastAsia" w:asci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1120" w:type="dxa"/>
                  <w:tcBorders>
                    <w:tl2br w:val="nil"/>
                    <w:tr2bl w:val="nil"/>
                  </w:tcBorders>
                  <w:noWrap w:val="0"/>
                  <w:vAlign w:val="center"/>
                </w:tcPr>
                <w:p w14:paraId="240315D2">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eastAsia" w:ascii="Times New Roman" w:cs="Times New Roman"/>
                      <w:color w:val="auto"/>
                      <w:sz w:val="21"/>
                      <w:szCs w:val="21"/>
                      <w:highlight w:val="none"/>
                      <w:lang w:val="en-US" w:eastAsia="zh-CN"/>
                    </w:rPr>
                    <w:t>113.242127448</w:t>
                  </w:r>
                </w:p>
              </w:tc>
              <w:tc>
                <w:tcPr>
                  <w:tcW w:w="859" w:type="dxa"/>
                  <w:tcBorders>
                    <w:tl2br w:val="nil"/>
                    <w:tr2bl w:val="nil"/>
                  </w:tcBorders>
                  <w:noWrap w:val="0"/>
                  <w:vAlign w:val="center"/>
                </w:tcPr>
                <w:p w14:paraId="0355B2A6">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eastAsia" w:ascii="Times New Roman" w:cs="Times New Roman"/>
                      <w:color w:val="auto"/>
                      <w:sz w:val="21"/>
                      <w:szCs w:val="21"/>
                      <w:highlight w:val="none"/>
                      <w:lang w:val="en-US" w:eastAsia="zh-CN"/>
                    </w:rPr>
                    <w:t>25.064813306</w:t>
                  </w:r>
                </w:p>
              </w:tc>
              <w:tc>
                <w:tcPr>
                  <w:tcW w:w="1227" w:type="dxa"/>
                  <w:tcBorders>
                    <w:tl2br w:val="nil"/>
                    <w:tr2bl w:val="nil"/>
                  </w:tcBorders>
                  <w:noWrap w:val="0"/>
                  <w:vAlign w:val="center"/>
                </w:tcPr>
                <w:p w14:paraId="5BE0831C">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TSP</w:t>
                  </w:r>
                  <w:r>
                    <w:rPr>
                      <w:rFonts w:hint="eastAsia" w:ascii="Times New Roman" w:cs="Times New Roman"/>
                      <w:color w:val="auto"/>
                      <w:sz w:val="21"/>
                      <w:szCs w:val="21"/>
                      <w:highlight w:val="none"/>
                      <w:lang w:eastAsia="zh-CN"/>
                    </w:rPr>
                    <w:t>、</w:t>
                  </w:r>
                  <w:r>
                    <w:rPr>
                      <w:rFonts w:hint="eastAsia" w:ascii="Times New Roman" w:cs="Times New Roman"/>
                      <w:color w:val="auto"/>
                      <w:sz w:val="21"/>
                      <w:szCs w:val="21"/>
                      <w:highlight w:val="none"/>
                      <w:lang w:val="en-US" w:eastAsia="zh-CN"/>
                    </w:rPr>
                    <w:t>非甲烷总烃、二甲苯、臭气浓度</w:t>
                  </w:r>
                </w:p>
              </w:tc>
              <w:tc>
                <w:tcPr>
                  <w:tcW w:w="1849" w:type="dxa"/>
                  <w:tcBorders>
                    <w:tl2br w:val="nil"/>
                    <w:tr2bl w:val="nil"/>
                  </w:tcBorders>
                  <w:noWrap w:val="0"/>
                  <w:vAlign w:val="center"/>
                </w:tcPr>
                <w:p w14:paraId="1497C203">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bCs/>
                      <w:color w:val="auto"/>
                      <w:sz w:val="21"/>
                      <w:szCs w:val="21"/>
                      <w:highlight w:val="none"/>
                    </w:rPr>
                    <w:t>202</w:t>
                  </w:r>
                  <w:r>
                    <w:rPr>
                      <w:rFonts w:hint="eastAsia" w:asci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cs="Times New Roman"/>
                      <w:bCs/>
                      <w:color w:val="auto"/>
                      <w:sz w:val="21"/>
                      <w:szCs w:val="21"/>
                      <w:highlight w:val="none"/>
                      <w:lang w:val="en-US" w:eastAsia="zh-CN"/>
                    </w:rPr>
                    <w:t>19</w:t>
                  </w:r>
                  <w:r>
                    <w:rPr>
                      <w:rFonts w:hint="default" w:ascii="Times New Roman" w:hAnsi="Times New Roman" w:cs="Times New Roman"/>
                      <w:bCs/>
                      <w:color w:val="auto"/>
                      <w:sz w:val="21"/>
                      <w:szCs w:val="21"/>
                      <w:highlight w:val="none"/>
                    </w:rPr>
                    <w:t>日</w:t>
                  </w:r>
                  <w:r>
                    <w:rPr>
                      <w:rFonts w:hint="eastAsia" w:ascii="Times New Roman" w:cs="Times New Roman"/>
                      <w:bCs/>
                      <w:color w:val="auto"/>
                      <w:sz w:val="21"/>
                      <w:szCs w:val="21"/>
                      <w:highlight w:val="none"/>
                      <w:lang w:val="en-US" w:eastAsia="zh-CN"/>
                    </w:rPr>
                    <w:t>~</w:t>
                  </w:r>
                  <w:r>
                    <w:rPr>
                      <w:rFonts w:hint="default" w:ascii="Times New Roman" w:hAnsi="Times New Roman" w:cs="Times New Roman"/>
                      <w:bCs/>
                      <w:color w:val="auto"/>
                      <w:sz w:val="21"/>
                      <w:szCs w:val="21"/>
                      <w:highlight w:val="none"/>
                    </w:rPr>
                    <w:t>202</w:t>
                  </w:r>
                  <w:r>
                    <w:rPr>
                      <w:rFonts w:hint="eastAsia" w:asci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年12月2</w:t>
                  </w:r>
                  <w:r>
                    <w:rPr>
                      <w:rFonts w:hint="eastAsia" w:ascii="Times New Roman" w:cs="Times New Roman"/>
                      <w:bCs/>
                      <w:color w:val="auto"/>
                      <w:sz w:val="21"/>
                      <w:szCs w:val="21"/>
                      <w:highlight w:val="none"/>
                      <w:lang w:val="en-US" w:eastAsia="zh-CN"/>
                    </w:rPr>
                    <w:t>5</w:t>
                  </w:r>
                  <w:r>
                    <w:rPr>
                      <w:rFonts w:hint="default" w:ascii="Times New Roman" w:hAnsi="Times New Roman" w:cs="Times New Roman"/>
                      <w:bCs/>
                      <w:color w:val="auto"/>
                      <w:sz w:val="21"/>
                      <w:szCs w:val="21"/>
                      <w:highlight w:val="none"/>
                    </w:rPr>
                    <w:t>日</w:t>
                  </w:r>
                </w:p>
              </w:tc>
              <w:tc>
                <w:tcPr>
                  <w:tcW w:w="1015" w:type="dxa"/>
                  <w:tcBorders>
                    <w:tl2br w:val="nil"/>
                    <w:tr2bl w:val="nil"/>
                  </w:tcBorders>
                  <w:noWrap w:val="0"/>
                  <w:vAlign w:val="center"/>
                </w:tcPr>
                <w:p w14:paraId="1463832A">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color w:val="auto"/>
                      <w:sz w:val="21"/>
                      <w:szCs w:val="21"/>
                      <w:highlight w:val="none"/>
                      <w:lang w:val="en-US" w:eastAsia="zh-CN" w:bidi="zh-CN"/>
                    </w:rPr>
                  </w:pPr>
                  <w:r>
                    <w:rPr>
                      <w:rFonts w:hint="eastAsia" w:ascii="Times New Roman" w:cs="Times New Roman"/>
                      <w:color w:val="auto"/>
                      <w:sz w:val="21"/>
                      <w:szCs w:val="21"/>
                      <w:highlight w:val="none"/>
                      <w:lang w:val="en-US" w:eastAsia="zh-CN"/>
                    </w:rPr>
                    <w:t>西南</w:t>
                  </w:r>
                </w:p>
              </w:tc>
              <w:tc>
                <w:tcPr>
                  <w:tcW w:w="1098" w:type="dxa"/>
                  <w:tcBorders>
                    <w:tl2br w:val="nil"/>
                    <w:tr2bl w:val="nil"/>
                  </w:tcBorders>
                  <w:noWrap w:val="0"/>
                  <w:vAlign w:val="center"/>
                </w:tcPr>
                <w:p w14:paraId="4BB9EE29">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auto"/>
                      <w:sz w:val="21"/>
                      <w:szCs w:val="21"/>
                      <w:highlight w:val="none"/>
                      <w:lang w:val="en-US" w:bidi="zh-CN"/>
                    </w:rPr>
                  </w:pPr>
                  <w:r>
                    <w:rPr>
                      <w:rFonts w:hint="eastAsia" w:ascii="Times New Roman" w:cs="Times New Roman"/>
                      <w:color w:val="auto"/>
                      <w:sz w:val="21"/>
                      <w:szCs w:val="21"/>
                      <w:highlight w:val="none"/>
                      <w:lang w:val="en-US" w:eastAsia="zh-CN"/>
                    </w:rPr>
                    <w:t>4472</w:t>
                  </w:r>
                </w:p>
              </w:tc>
            </w:tr>
          </w:tbl>
          <w:p w14:paraId="1200B58B">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02EDE957">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其他污染物环境质量现状（监测结果）表</w:t>
            </w:r>
          </w:p>
          <w:tbl>
            <w:tblPr>
              <w:tblStyle w:val="48"/>
              <w:tblW w:w="4996"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49"/>
              <w:gridCol w:w="924"/>
              <w:gridCol w:w="941"/>
              <w:gridCol w:w="1326"/>
              <w:gridCol w:w="1647"/>
              <w:gridCol w:w="1146"/>
              <w:gridCol w:w="674"/>
              <w:gridCol w:w="812"/>
            </w:tblGrid>
            <w:tr w14:paraId="2DD3D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noWrap w:val="0"/>
                  <w:vAlign w:val="center"/>
                </w:tcPr>
                <w:p w14:paraId="398927D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点位名称</w:t>
                  </w:r>
                </w:p>
              </w:tc>
              <w:tc>
                <w:tcPr>
                  <w:tcW w:w="555" w:type="pct"/>
                  <w:tcBorders>
                    <w:tl2br w:val="nil"/>
                    <w:tr2bl w:val="nil"/>
                  </w:tcBorders>
                  <w:noWrap w:val="0"/>
                  <w:vAlign w:val="center"/>
                </w:tcPr>
                <w:p w14:paraId="1B42AEAE">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污染物</w:t>
                  </w:r>
                </w:p>
              </w:tc>
              <w:tc>
                <w:tcPr>
                  <w:tcW w:w="565" w:type="pct"/>
                  <w:tcBorders>
                    <w:tl2br w:val="nil"/>
                    <w:tr2bl w:val="nil"/>
                  </w:tcBorders>
                  <w:noWrap w:val="0"/>
                  <w:vAlign w:val="center"/>
                </w:tcPr>
                <w:p w14:paraId="6EF5178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平均时间</w:t>
                  </w:r>
                </w:p>
              </w:tc>
              <w:tc>
                <w:tcPr>
                  <w:tcW w:w="796" w:type="pct"/>
                  <w:tcBorders>
                    <w:tl2br w:val="nil"/>
                    <w:tr2bl w:val="nil"/>
                  </w:tcBorders>
                  <w:noWrap w:val="0"/>
                  <w:vAlign w:val="center"/>
                </w:tcPr>
                <w:p w14:paraId="17BFFC5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评价标准</w:t>
                  </w:r>
                </w:p>
                <w:p w14:paraId="03FFC0B3">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w:t>
                  </w:r>
                  <w:r>
                    <w:rPr>
                      <w:rFonts w:hint="default" w:ascii="Times New Roman" w:hAnsi="Times New Roman" w:cs="Times New Roman"/>
                      <w:b/>
                      <w:bCs/>
                      <w:color w:val="auto"/>
                      <w:kern w:val="2"/>
                      <w:sz w:val="21"/>
                      <w:szCs w:val="21"/>
                      <w:highlight w:val="none"/>
                      <w:lang w:val="en-US" w:eastAsia="zh-CN" w:bidi="zh-CN"/>
                    </w:rPr>
                    <w:t>μg</w:t>
                  </w:r>
                  <w:r>
                    <w:rPr>
                      <w:rFonts w:hint="default" w:ascii="Times New Roman" w:hAnsi="Times New Roman" w:cs="Times New Roman"/>
                      <w:b/>
                      <w:bCs/>
                      <w:color w:val="auto"/>
                      <w:kern w:val="2"/>
                      <w:sz w:val="21"/>
                      <w:szCs w:val="21"/>
                      <w:highlight w:val="none"/>
                      <w:lang w:eastAsia="zh-CN" w:bidi="zh-CN"/>
                    </w:rPr>
                    <w:t>/m</w:t>
                  </w:r>
                  <w:r>
                    <w:rPr>
                      <w:rFonts w:hint="default" w:ascii="Times New Roman" w:hAnsi="Times New Roman" w:cs="Times New Roman"/>
                      <w:b/>
                      <w:bCs/>
                      <w:color w:val="auto"/>
                      <w:kern w:val="2"/>
                      <w:sz w:val="21"/>
                      <w:szCs w:val="21"/>
                      <w:highlight w:val="none"/>
                      <w:vertAlign w:val="superscript"/>
                      <w:lang w:eastAsia="zh-CN" w:bidi="zh-CN"/>
                    </w:rPr>
                    <w:t>3)</w:t>
                  </w:r>
                </w:p>
              </w:tc>
              <w:tc>
                <w:tcPr>
                  <w:tcW w:w="989" w:type="pct"/>
                  <w:tcBorders>
                    <w:tl2br w:val="nil"/>
                    <w:tr2bl w:val="nil"/>
                  </w:tcBorders>
                  <w:noWrap w:val="0"/>
                  <w:vAlign w:val="center"/>
                </w:tcPr>
                <w:p w14:paraId="2FCA8483">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现状浓度范围</w:t>
                  </w:r>
                  <w:r>
                    <w:rPr>
                      <w:rFonts w:hint="default" w:ascii="Times New Roman" w:hAnsi="Times New Roman" w:cs="Times New Roman"/>
                      <w:b/>
                      <w:bCs/>
                      <w:color w:val="auto"/>
                      <w:kern w:val="2"/>
                      <w:sz w:val="21"/>
                      <w:szCs w:val="21"/>
                      <w:highlight w:val="none"/>
                      <w:lang w:val="en-US" w:eastAsia="zh-CN" w:bidi="zh-CN"/>
                    </w:rPr>
                    <w:t>μg</w:t>
                  </w:r>
                  <w:r>
                    <w:rPr>
                      <w:rFonts w:hint="default" w:ascii="Times New Roman" w:hAnsi="Times New Roman" w:cs="Times New Roman"/>
                      <w:b/>
                      <w:bCs/>
                      <w:color w:val="auto"/>
                      <w:kern w:val="2"/>
                      <w:sz w:val="21"/>
                      <w:szCs w:val="21"/>
                      <w:highlight w:val="none"/>
                      <w:lang w:eastAsia="zh-CN" w:bidi="zh-CN"/>
                    </w:rPr>
                    <w:t>/m</w:t>
                  </w:r>
                  <w:r>
                    <w:rPr>
                      <w:rFonts w:hint="default" w:ascii="Times New Roman" w:hAnsi="Times New Roman" w:cs="Times New Roman"/>
                      <w:b/>
                      <w:bCs/>
                      <w:color w:val="auto"/>
                      <w:kern w:val="2"/>
                      <w:sz w:val="21"/>
                      <w:szCs w:val="21"/>
                      <w:highlight w:val="none"/>
                      <w:vertAlign w:val="superscript"/>
                      <w:lang w:eastAsia="zh-CN" w:bidi="zh-CN"/>
                    </w:rPr>
                    <w:t>3</w:t>
                  </w:r>
                </w:p>
              </w:tc>
              <w:tc>
                <w:tcPr>
                  <w:tcW w:w="688" w:type="pct"/>
                  <w:tcBorders>
                    <w:tl2br w:val="nil"/>
                    <w:tr2bl w:val="nil"/>
                  </w:tcBorders>
                  <w:noWrap w:val="0"/>
                  <w:vAlign w:val="center"/>
                </w:tcPr>
                <w:p w14:paraId="6FB4E311">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最大浓度占标率/%</w:t>
                  </w:r>
                </w:p>
              </w:tc>
              <w:tc>
                <w:tcPr>
                  <w:tcW w:w="405" w:type="pct"/>
                  <w:tcBorders>
                    <w:tl2br w:val="nil"/>
                    <w:tr2bl w:val="nil"/>
                  </w:tcBorders>
                  <w:noWrap w:val="0"/>
                  <w:vAlign w:val="center"/>
                </w:tcPr>
                <w:p w14:paraId="60BECAA8">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超标</w:t>
                  </w:r>
                  <w:r>
                    <w:rPr>
                      <w:rFonts w:hint="default" w:ascii="Times New Roman" w:hAnsi="Times New Roman" w:cs="Times New Roman"/>
                      <w:b/>
                      <w:bCs/>
                      <w:color w:val="auto"/>
                      <w:kern w:val="2"/>
                      <w:sz w:val="21"/>
                      <w:szCs w:val="21"/>
                      <w:highlight w:val="none"/>
                      <w:lang w:val="en-US" w:eastAsia="zh-CN" w:bidi="zh-CN"/>
                    </w:rPr>
                    <w:t>倍数</w:t>
                  </w:r>
                </w:p>
              </w:tc>
              <w:tc>
                <w:tcPr>
                  <w:tcW w:w="487" w:type="pct"/>
                  <w:tcBorders>
                    <w:tl2br w:val="nil"/>
                    <w:tr2bl w:val="nil"/>
                  </w:tcBorders>
                  <w:noWrap w:val="0"/>
                  <w:vAlign w:val="center"/>
                </w:tcPr>
                <w:p w14:paraId="3920CF1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达标情况</w:t>
                  </w:r>
                </w:p>
              </w:tc>
            </w:tr>
            <w:tr w14:paraId="44F41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restart"/>
                  <w:tcBorders>
                    <w:tl2br w:val="nil"/>
                    <w:tr2bl w:val="nil"/>
                  </w:tcBorders>
                  <w:noWrap w:val="0"/>
                  <w:vAlign w:val="center"/>
                </w:tcPr>
                <w:p w14:paraId="647DD99E">
                  <w:pPr>
                    <w:pStyle w:val="112"/>
                    <w:spacing w:line="240" w:lineRule="auto"/>
                    <w:jc w:val="center"/>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555" w:type="pct"/>
                  <w:tcBorders>
                    <w:tl2br w:val="nil"/>
                    <w:tr2bl w:val="nil"/>
                  </w:tcBorders>
                  <w:noWrap w:val="0"/>
                  <w:vAlign w:val="center"/>
                </w:tcPr>
                <w:p w14:paraId="7B79124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bCs/>
                      <w:color w:val="auto"/>
                      <w:sz w:val="21"/>
                      <w:highlight w:val="none"/>
                    </w:rPr>
                    <w:t>TSP</w:t>
                  </w:r>
                </w:p>
              </w:tc>
              <w:tc>
                <w:tcPr>
                  <w:tcW w:w="565" w:type="pct"/>
                  <w:tcBorders>
                    <w:tl2br w:val="nil"/>
                    <w:tr2bl w:val="nil"/>
                  </w:tcBorders>
                  <w:noWrap w:val="0"/>
                  <w:vAlign w:val="center"/>
                </w:tcPr>
                <w:p w14:paraId="472B4AE6">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sz w:val="21"/>
                      <w:szCs w:val="21"/>
                      <w:highlight w:val="none"/>
                      <w:lang w:bidi="zh-CN"/>
                    </w:rPr>
                  </w:pPr>
                  <w:r>
                    <w:rPr>
                      <w:rFonts w:hint="default" w:ascii="Times New Roman" w:hAnsi="Times New Roman" w:cs="Times New Roman"/>
                      <w:bCs/>
                      <w:color w:val="auto"/>
                      <w:sz w:val="21"/>
                      <w:highlight w:val="none"/>
                    </w:rPr>
                    <w:t>日均值</w:t>
                  </w:r>
                </w:p>
              </w:tc>
              <w:tc>
                <w:tcPr>
                  <w:tcW w:w="796" w:type="pct"/>
                  <w:tcBorders>
                    <w:tl2br w:val="nil"/>
                    <w:tr2bl w:val="nil"/>
                  </w:tcBorders>
                  <w:noWrap w:val="0"/>
                  <w:vAlign w:val="center"/>
                </w:tcPr>
                <w:p w14:paraId="7D18D4F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0.3m</w:t>
                  </w:r>
                  <w:r>
                    <w:rPr>
                      <w:rFonts w:hint="default" w:ascii="Times New Roman" w:hAnsi="Times New Roman" w:cs="Times New Roman"/>
                      <w:b w:val="0"/>
                      <w:bCs/>
                      <w:color w:val="auto"/>
                      <w:kern w:val="0"/>
                      <w:sz w:val="21"/>
                      <w:szCs w:val="21"/>
                      <w:highlight w:val="none"/>
                    </w:rPr>
                    <w:t>g/m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05650A89">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0"/>
                      <w:sz w:val="21"/>
                      <w:szCs w:val="21"/>
                      <w:highlight w:val="none"/>
                    </w:rPr>
                    <w:t>0.</w:t>
                  </w:r>
                  <w:r>
                    <w:rPr>
                      <w:rFonts w:hint="eastAsia" w:cs="Times New Roman"/>
                      <w:color w:val="auto"/>
                      <w:kern w:val="0"/>
                      <w:sz w:val="21"/>
                      <w:szCs w:val="21"/>
                      <w:highlight w:val="none"/>
                      <w:lang w:val="en-US" w:eastAsia="zh-CN"/>
                    </w:rPr>
                    <w:t>100</w:t>
                  </w:r>
                  <w:r>
                    <w:rPr>
                      <w:rFonts w:hint="default" w:ascii="Times New Roman" w:hAnsi="Times New Roman" w:cs="Times New Roman"/>
                      <w:color w:val="auto"/>
                      <w:kern w:val="0"/>
                      <w:sz w:val="21"/>
                      <w:szCs w:val="21"/>
                      <w:highlight w:val="none"/>
                    </w:rPr>
                    <w:t>~0.1</w:t>
                  </w:r>
                  <w:r>
                    <w:rPr>
                      <w:rFonts w:hint="eastAsia" w:cs="Times New Roman"/>
                      <w:color w:val="auto"/>
                      <w:kern w:val="0"/>
                      <w:sz w:val="21"/>
                      <w:szCs w:val="21"/>
                      <w:highlight w:val="none"/>
                      <w:lang w:val="en-US" w:eastAsia="zh-CN"/>
                    </w:rPr>
                    <w:t>11</w:t>
                  </w:r>
                </w:p>
              </w:tc>
              <w:tc>
                <w:tcPr>
                  <w:tcW w:w="688" w:type="pct"/>
                  <w:tcBorders>
                    <w:tl2br w:val="nil"/>
                    <w:tr2bl w:val="nil"/>
                  </w:tcBorders>
                  <w:noWrap w:val="0"/>
                  <w:vAlign w:val="center"/>
                </w:tcPr>
                <w:p w14:paraId="3F33736A">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0"/>
                      <w:sz w:val="21"/>
                      <w:szCs w:val="21"/>
                      <w:highlight w:val="none"/>
                    </w:rPr>
                    <w:t>3</w:t>
                  </w:r>
                  <w:r>
                    <w:rPr>
                      <w:rFonts w:hint="eastAsia" w:cs="Times New Roman"/>
                      <w:color w:val="auto"/>
                      <w:kern w:val="0"/>
                      <w:sz w:val="21"/>
                      <w:szCs w:val="21"/>
                      <w:highlight w:val="none"/>
                      <w:lang w:val="en-US" w:eastAsia="zh-CN"/>
                    </w:rPr>
                    <w:t>7</w:t>
                  </w:r>
                </w:p>
              </w:tc>
              <w:tc>
                <w:tcPr>
                  <w:tcW w:w="405" w:type="pct"/>
                  <w:tcBorders>
                    <w:tl2br w:val="nil"/>
                    <w:tr2bl w:val="nil"/>
                  </w:tcBorders>
                  <w:noWrap w:val="0"/>
                  <w:vAlign w:val="center"/>
                </w:tcPr>
                <w:p w14:paraId="68A7D4E3">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0</w:t>
                  </w:r>
                </w:p>
              </w:tc>
              <w:tc>
                <w:tcPr>
                  <w:tcW w:w="487" w:type="pct"/>
                  <w:tcBorders>
                    <w:tl2br w:val="nil"/>
                    <w:tr2bl w:val="nil"/>
                  </w:tcBorders>
                  <w:noWrap w:val="0"/>
                  <w:vAlign w:val="center"/>
                </w:tcPr>
                <w:p w14:paraId="56DD4A1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达标</w:t>
                  </w:r>
                </w:p>
              </w:tc>
            </w:tr>
            <w:tr w14:paraId="52EB7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1F95BC33">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1C3634D6">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非甲烷总烃</w:t>
                  </w:r>
                </w:p>
              </w:tc>
              <w:tc>
                <w:tcPr>
                  <w:tcW w:w="565" w:type="pct"/>
                  <w:tcBorders>
                    <w:tl2br w:val="nil"/>
                    <w:tr2bl w:val="nil"/>
                  </w:tcBorders>
                  <w:noWrap w:val="0"/>
                  <w:vAlign w:val="center"/>
                </w:tcPr>
                <w:p w14:paraId="07114699">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2E403C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2.0mg/</w:t>
                  </w:r>
                  <w:r>
                    <w:rPr>
                      <w:rFonts w:hint="default" w:ascii="Times New Roman" w:hAnsi="Times New Roman" w:cs="Times New Roman"/>
                      <w:b w:val="0"/>
                      <w:bCs/>
                      <w:color w:val="auto"/>
                      <w:kern w:val="0"/>
                      <w:sz w:val="21"/>
                      <w:szCs w:val="21"/>
                      <w:highlight w:val="none"/>
                    </w:rPr>
                    <w:t>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4E0A1235">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0.812~0.972</w:t>
                  </w:r>
                </w:p>
              </w:tc>
              <w:tc>
                <w:tcPr>
                  <w:tcW w:w="688" w:type="pct"/>
                  <w:tcBorders>
                    <w:tl2br w:val="nil"/>
                    <w:tr2bl w:val="nil"/>
                  </w:tcBorders>
                  <w:noWrap w:val="0"/>
                  <w:vAlign w:val="center"/>
                </w:tcPr>
                <w:p w14:paraId="212C668C">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48.6</w:t>
                  </w:r>
                </w:p>
              </w:tc>
              <w:tc>
                <w:tcPr>
                  <w:tcW w:w="405" w:type="pct"/>
                  <w:tcBorders>
                    <w:tl2br w:val="nil"/>
                    <w:tr2bl w:val="nil"/>
                  </w:tcBorders>
                  <w:noWrap w:val="0"/>
                  <w:vAlign w:val="center"/>
                </w:tcPr>
                <w:p w14:paraId="0138BBEB">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w:t>
                  </w:r>
                </w:p>
              </w:tc>
              <w:tc>
                <w:tcPr>
                  <w:tcW w:w="487" w:type="pct"/>
                  <w:tcBorders>
                    <w:tl2br w:val="nil"/>
                    <w:tr2bl w:val="nil"/>
                  </w:tcBorders>
                  <w:noWrap w:val="0"/>
                  <w:vAlign w:val="center"/>
                </w:tcPr>
                <w:p w14:paraId="402AA2A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达标</w:t>
                  </w:r>
                </w:p>
              </w:tc>
            </w:tr>
            <w:tr w14:paraId="3BD67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5DF935EB">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1AB8675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二甲苯</w:t>
                  </w:r>
                </w:p>
              </w:tc>
              <w:tc>
                <w:tcPr>
                  <w:tcW w:w="565" w:type="pct"/>
                  <w:tcBorders>
                    <w:tl2br w:val="nil"/>
                    <w:tr2bl w:val="nil"/>
                  </w:tcBorders>
                  <w:noWrap w:val="0"/>
                  <w:vAlign w:val="center"/>
                </w:tcPr>
                <w:p w14:paraId="09EA8031">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4C09D457">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0.2m</w:t>
                  </w:r>
                  <w:r>
                    <w:rPr>
                      <w:rFonts w:hint="default" w:ascii="Times New Roman" w:hAnsi="Times New Roman" w:cs="Times New Roman"/>
                      <w:b w:val="0"/>
                      <w:bCs/>
                      <w:color w:val="auto"/>
                      <w:kern w:val="0"/>
                      <w:sz w:val="21"/>
                      <w:szCs w:val="21"/>
                      <w:highlight w:val="none"/>
                    </w:rPr>
                    <w:t>g/m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5C3C09F5">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&lt;0.5×10</w:t>
                  </w:r>
                  <w:r>
                    <w:rPr>
                      <w:rFonts w:hint="eastAsia" w:cs="Times New Roman"/>
                      <w:color w:val="auto"/>
                      <w:kern w:val="0"/>
                      <w:sz w:val="21"/>
                      <w:szCs w:val="21"/>
                      <w:highlight w:val="none"/>
                      <w:vertAlign w:val="superscript"/>
                      <w:lang w:val="en-US" w:eastAsia="zh-CN"/>
                    </w:rPr>
                    <w:t>4</w:t>
                  </w:r>
                </w:p>
              </w:tc>
              <w:tc>
                <w:tcPr>
                  <w:tcW w:w="688" w:type="pct"/>
                  <w:tcBorders>
                    <w:tl2br w:val="nil"/>
                    <w:tr2bl w:val="nil"/>
                  </w:tcBorders>
                  <w:noWrap w:val="0"/>
                  <w:vAlign w:val="center"/>
                </w:tcPr>
                <w:p w14:paraId="2C2507C6">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0.0025</w:t>
                  </w:r>
                </w:p>
              </w:tc>
              <w:tc>
                <w:tcPr>
                  <w:tcW w:w="405" w:type="pct"/>
                  <w:tcBorders>
                    <w:tl2br w:val="nil"/>
                    <w:tr2bl w:val="nil"/>
                  </w:tcBorders>
                  <w:noWrap w:val="0"/>
                  <w:vAlign w:val="center"/>
                </w:tcPr>
                <w:p w14:paraId="2F3D06FA">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w:t>
                  </w:r>
                </w:p>
              </w:tc>
              <w:tc>
                <w:tcPr>
                  <w:tcW w:w="487" w:type="pct"/>
                  <w:tcBorders>
                    <w:tl2br w:val="nil"/>
                    <w:tr2bl w:val="nil"/>
                  </w:tcBorders>
                  <w:noWrap w:val="0"/>
                  <w:vAlign w:val="center"/>
                </w:tcPr>
                <w:p w14:paraId="7E71C05E">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达标</w:t>
                  </w:r>
                </w:p>
              </w:tc>
            </w:tr>
            <w:tr w14:paraId="65290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0E189719">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5A59377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臭气浓度</w:t>
                  </w:r>
                </w:p>
              </w:tc>
              <w:tc>
                <w:tcPr>
                  <w:tcW w:w="565" w:type="pct"/>
                  <w:tcBorders>
                    <w:tl2br w:val="nil"/>
                    <w:tr2bl w:val="nil"/>
                  </w:tcBorders>
                  <w:noWrap w:val="0"/>
                  <w:vAlign w:val="center"/>
                </w:tcPr>
                <w:p w14:paraId="27898B8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35C247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w:t>
                  </w:r>
                </w:p>
              </w:tc>
              <w:tc>
                <w:tcPr>
                  <w:tcW w:w="989" w:type="pct"/>
                  <w:tcBorders>
                    <w:tl2br w:val="nil"/>
                    <w:tr2bl w:val="nil"/>
                  </w:tcBorders>
                  <w:noWrap w:val="0"/>
                  <w:vAlign w:val="center"/>
                </w:tcPr>
                <w:p w14:paraId="6D892ABB">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＜10</w:t>
                  </w:r>
                </w:p>
              </w:tc>
              <w:tc>
                <w:tcPr>
                  <w:tcW w:w="688" w:type="pct"/>
                  <w:tcBorders>
                    <w:tl2br w:val="nil"/>
                    <w:tr2bl w:val="nil"/>
                  </w:tcBorders>
                  <w:noWrap w:val="0"/>
                  <w:vAlign w:val="center"/>
                </w:tcPr>
                <w:p w14:paraId="78C8D963">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w:t>
                  </w:r>
                </w:p>
              </w:tc>
              <w:tc>
                <w:tcPr>
                  <w:tcW w:w="405" w:type="pct"/>
                  <w:tcBorders>
                    <w:tl2br w:val="nil"/>
                    <w:tr2bl w:val="nil"/>
                  </w:tcBorders>
                  <w:noWrap w:val="0"/>
                  <w:vAlign w:val="center"/>
                </w:tcPr>
                <w:p w14:paraId="5C6D2D20">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487" w:type="pct"/>
                  <w:tcBorders>
                    <w:tl2br w:val="nil"/>
                    <w:tr2bl w:val="nil"/>
                  </w:tcBorders>
                  <w:noWrap w:val="0"/>
                  <w:vAlign w:val="center"/>
                </w:tcPr>
                <w:p w14:paraId="6A6423D9">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r>
          </w:tbl>
          <w:p w14:paraId="07ABFCBF">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6035585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结果表明，项目周围区域空气中，特征污染物TSP相应浓度可达到《环境空气质量标准》（GB3095-2026）过渡阶段浓度限值二级标准要求。非甲烷总烃可达到《大气污染物综合排放标准详解》（1997）要求。二甲苯（苯系物）监测浓度可满足《环境影响评价技术导则 大气环境》(HJ2.2-2018)附录D 表D.1其它污染物空气质量浓度参考限值。</w:t>
            </w:r>
          </w:p>
          <w:p w14:paraId="6618316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总体来说，项目</w:t>
            </w:r>
            <w:r>
              <w:rPr>
                <w:rFonts w:hint="default" w:ascii="Times New Roman" w:hAnsi="Times New Roman" w:cs="Times New Roman"/>
                <w:color w:val="auto"/>
                <w:sz w:val="24"/>
                <w:highlight w:val="none"/>
                <w:lang w:val="en-US" w:eastAsia="zh-CN"/>
              </w:rPr>
              <w:t>周边环境空气质量良好</w:t>
            </w:r>
            <w:r>
              <w:rPr>
                <w:rFonts w:hint="default" w:ascii="Times New Roman" w:hAnsi="Times New Roman" w:cs="Times New Roman"/>
                <w:color w:val="auto"/>
                <w:sz w:val="24"/>
                <w:highlight w:val="none"/>
              </w:rPr>
              <w:t>。</w:t>
            </w:r>
          </w:p>
          <w:p w14:paraId="3D8452B9">
            <w:pPr>
              <w:pStyle w:val="43"/>
              <w:spacing w:after="0" w:line="360" w:lineRule="auto"/>
              <w:ind w:left="420" w:left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2</w:t>
            </w:r>
            <w:r>
              <w:rPr>
                <w:rFonts w:hint="default" w:ascii="Times New Roman" w:hAnsi="Times New Roman" w:cs="Times New Roman"/>
                <w:b/>
                <w:color w:val="auto"/>
                <w:sz w:val="24"/>
                <w:highlight w:val="none"/>
              </w:rPr>
              <w:t>、地表水质量现状</w:t>
            </w:r>
          </w:p>
          <w:p w14:paraId="006F1407">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根据《乐昌市人民政府办公室关于印发乐昌市生态环境保护“十四五”规划的通知》（乐府办〔2022〕16号）中</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eastAsia="宋体" w:cs="Times New Roman"/>
                <w:color w:val="auto"/>
                <w:sz w:val="24"/>
                <w:highlight w:val="none"/>
                <w:lang w:val="en-US" w:eastAsia="zh-CN"/>
              </w:rPr>
              <w:t>地表水</w:t>
            </w:r>
            <w:r>
              <w:rPr>
                <w:rFonts w:hint="default" w:ascii="Times New Roman" w:hAnsi="Times New Roman" w:eastAsia="宋体" w:cs="Times New Roman"/>
                <w:color w:val="auto"/>
                <w:sz w:val="24"/>
                <w:highlight w:val="none"/>
              </w:rPr>
              <w:t>环境功能区划图（详见附图</w:t>
            </w:r>
            <w:r>
              <w:rPr>
                <w:rFonts w:hint="eastAsia"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及</w:t>
            </w:r>
            <w:r>
              <w:rPr>
                <w:rFonts w:hint="default" w:ascii="Times New Roman" w:hAnsi="Times New Roman" w:eastAsia="宋体" w:cs="Times New Roman"/>
                <w:color w:val="auto"/>
                <w:sz w:val="24"/>
                <w:highlight w:val="none"/>
              </w:rPr>
              <w:t>《广东省地表水环境功能区划》（粤环</w:t>
            </w:r>
            <w:r>
              <w:rPr>
                <w:rFonts w:hint="eastAsia" w:ascii="Times New Roman" w:hAnsi="Times New Roman" w:eastAsia="宋体" w:cs="Times New Roman"/>
                <w:color w:val="auto"/>
                <w:sz w:val="24"/>
                <w:highlight w:val="none"/>
                <w:lang w:eastAsia="zh-CN"/>
              </w:rPr>
              <w:t>〔2011〕14号</w:t>
            </w:r>
            <w:r>
              <w:rPr>
                <w:rFonts w:hint="default" w:ascii="Times New Roman" w:hAnsi="Times New Roman" w:eastAsia="宋体" w:cs="Times New Roman"/>
                <w:color w:val="auto"/>
                <w:sz w:val="24"/>
                <w:highlight w:val="none"/>
              </w:rPr>
              <w:t>），本项目所在区域主要地表水及纳污水体为武江（乐昌城-犁市），为</w:t>
            </w:r>
            <w:r>
              <w:rPr>
                <w:rFonts w:hint="eastAsia" w:ascii="Times New Roman" w:hAnsi="Times New Roman" w:eastAsia="宋体" w:cs="Times New Roman"/>
                <w:color w:val="auto"/>
                <w:sz w:val="24"/>
                <w:highlight w:val="none"/>
                <w:lang w:eastAsia="zh-CN"/>
              </w:rPr>
              <w:t>Ⅲ</w:t>
            </w:r>
            <w:r>
              <w:rPr>
                <w:rFonts w:hint="default" w:ascii="Times New Roman" w:hAnsi="Times New Roman" w:eastAsia="宋体" w:cs="Times New Roman"/>
                <w:color w:val="auto"/>
                <w:sz w:val="24"/>
                <w:highlight w:val="none"/>
              </w:rPr>
              <w:t>类水质功能区，执行《地表水环境质量标准》（GB3838-2002）中的</w:t>
            </w:r>
            <w:r>
              <w:rPr>
                <w:rFonts w:hint="eastAsia" w:ascii="Times New Roman" w:hAnsi="Times New Roman" w:eastAsia="宋体" w:cs="Times New Roman"/>
                <w:color w:val="auto"/>
                <w:sz w:val="24"/>
                <w:highlight w:val="none"/>
                <w:lang w:eastAsia="zh-CN"/>
              </w:rPr>
              <w:t>Ⅲ</w:t>
            </w:r>
            <w:r>
              <w:rPr>
                <w:rFonts w:hint="default" w:ascii="Times New Roman" w:hAnsi="Times New Roman" w:eastAsia="宋体" w:cs="Times New Roman"/>
                <w:color w:val="auto"/>
                <w:sz w:val="24"/>
                <w:highlight w:val="none"/>
              </w:rPr>
              <w:t>类标准。</w:t>
            </w:r>
          </w:p>
          <w:p w14:paraId="0B9A0C4F">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韶关市生态环境状况公报》，2024年，韶关市11条主要江河（北江、武江、浈江、南水河、墨江、锦江、马坝河、滃江、新丰江、横石水和大潭河）34个市考以上手工监测断面水质优良率为100%，与2023年持平，其中Ⅰ类比例为2.9%、Ⅱ类比例为88.2%、Ⅲ类比例为8.8%。故项目所在地地表水环境质量现状良好。</w:t>
            </w:r>
          </w:p>
          <w:p w14:paraId="2EF2056B">
            <w:pPr>
              <w:spacing w:line="360" w:lineRule="auto"/>
              <w:ind w:firstLine="480" w:firstLineChars="200"/>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color w:val="auto"/>
                <w:sz w:val="24"/>
                <w:highlight w:val="none"/>
                <w:lang w:val="en-US" w:eastAsia="zh-CN"/>
              </w:rPr>
              <w:t>为了进一步了解项目纳污水体武江中钛的污染状况，引用广东省韶关生态环境监测中心站于2024年11月18日对张滩闸坝上游780米处监测断面进行的地表水环境质量现状监测数据（报告编号：（韶）环境监测（水）字（2024）第095号）来评价钛的污染现状。监测报告详见附件7。</w:t>
            </w:r>
          </w:p>
          <w:p w14:paraId="3DB65E29">
            <w:pPr>
              <w:numPr>
                <w:ilvl w:val="0"/>
                <w:numId w:val="14"/>
              </w:numPr>
              <w:spacing w:line="240" w:lineRule="auto"/>
              <w:ind w:left="0" w:leftChars="0" w:firstLine="40" w:firstLineChars="0"/>
              <w:jc w:val="center"/>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kern w:val="2"/>
                <w:sz w:val="21"/>
                <w:szCs w:val="21"/>
                <w:highlight w:val="none"/>
                <w:lang w:val="en-US" w:eastAsia="zh-CN" w:bidi="ar-SA"/>
              </w:rPr>
              <w:t xml:space="preserve"> </w:t>
            </w:r>
            <w:r>
              <w:rPr>
                <w:rFonts w:hint="eastAsia" w:ascii="Times New Roman" w:hAnsi="Times New Roman" w:eastAsia="宋体" w:cs="Times New Roman"/>
                <w:b/>
                <w:bCs w:val="0"/>
                <w:color w:val="auto"/>
                <w:kern w:val="2"/>
                <w:sz w:val="21"/>
                <w:szCs w:val="21"/>
                <w:highlight w:val="none"/>
                <w:lang w:val="en-US" w:eastAsia="zh-CN" w:bidi="ar-SA"/>
              </w:rPr>
              <w:t xml:space="preserve"> </w:t>
            </w:r>
            <w:r>
              <w:rPr>
                <w:rFonts w:hint="default" w:ascii="Times New Roman" w:hAnsi="Times New Roman" w:eastAsia="宋体" w:cs="Times New Roman"/>
                <w:b/>
                <w:bCs w:val="0"/>
                <w:color w:val="auto"/>
                <w:kern w:val="2"/>
                <w:sz w:val="21"/>
                <w:szCs w:val="21"/>
                <w:highlight w:val="none"/>
                <w:lang w:val="en-US" w:eastAsia="zh-CN" w:bidi="ar-SA"/>
              </w:rPr>
              <w:t>武江中钛的监测结果及统计分析一览表</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751"/>
              <w:gridCol w:w="989"/>
              <w:gridCol w:w="1354"/>
              <w:gridCol w:w="989"/>
              <w:gridCol w:w="1257"/>
              <w:gridCol w:w="1214"/>
              <w:gridCol w:w="1234"/>
            </w:tblGrid>
            <w:tr w14:paraId="41F7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noWrap w:val="0"/>
                  <w:vAlign w:val="center"/>
                </w:tcPr>
                <w:p w14:paraId="6BD60E4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序号</w:t>
                  </w:r>
                </w:p>
              </w:tc>
              <w:tc>
                <w:tcPr>
                  <w:tcW w:w="451" w:type="pct"/>
                  <w:vMerge w:val="restart"/>
                  <w:noWrap w:val="0"/>
                  <w:vAlign w:val="center"/>
                </w:tcPr>
                <w:p w14:paraId="45093043">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河流名称</w:t>
                  </w:r>
                </w:p>
              </w:tc>
              <w:tc>
                <w:tcPr>
                  <w:tcW w:w="594" w:type="pct"/>
                  <w:vMerge w:val="restart"/>
                  <w:noWrap w:val="0"/>
                  <w:vAlign w:val="center"/>
                </w:tcPr>
                <w:p w14:paraId="141B31D0">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所在</w:t>
                  </w:r>
                </w:p>
                <w:p w14:paraId="54C5FE3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县区</w:t>
                  </w:r>
                </w:p>
              </w:tc>
              <w:tc>
                <w:tcPr>
                  <w:tcW w:w="813" w:type="pct"/>
                  <w:vMerge w:val="restart"/>
                  <w:noWrap w:val="0"/>
                  <w:vAlign w:val="center"/>
                </w:tcPr>
                <w:p w14:paraId="636CCAD2">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监测断面</w:t>
                  </w:r>
                </w:p>
              </w:tc>
              <w:tc>
                <w:tcPr>
                  <w:tcW w:w="594" w:type="pct"/>
                  <w:vMerge w:val="restart"/>
                  <w:noWrap w:val="0"/>
                  <w:vAlign w:val="center"/>
                </w:tcPr>
                <w:p w14:paraId="5DD0E73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监测因子</w:t>
                  </w:r>
                </w:p>
              </w:tc>
              <w:tc>
                <w:tcPr>
                  <w:tcW w:w="755" w:type="pct"/>
                  <w:vMerge w:val="restart"/>
                  <w:noWrap w:val="0"/>
                  <w:vAlign w:val="center"/>
                </w:tcPr>
                <w:p w14:paraId="61383F08">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监测结果(mg/L)</w:t>
                  </w:r>
                </w:p>
              </w:tc>
              <w:tc>
                <w:tcPr>
                  <w:tcW w:w="729" w:type="pct"/>
                  <w:vMerge w:val="restart"/>
                  <w:noWrap w:val="0"/>
                  <w:vAlign w:val="center"/>
                </w:tcPr>
                <w:p w14:paraId="08743C55">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标准限值</w:t>
                  </w:r>
                  <w:r>
                    <w:rPr>
                      <w:rFonts w:hint="default" w:ascii="Times New Roman" w:hAnsi="Times New Roman" w:eastAsia="宋体" w:cs="Times New Roman"/>
                      <w:b/>
                      <w:color w:val="auto"/>
                      <w:kern w:val="2"/>
                      <w:sz w:val="21"/>
                      <w:szCs w:val="21"/>
                      <w:highlight w:val="none"/>
                      <w:lang w:val="en-US" w:eastAsia="zh-CN" w:bidi="ar-SA"/>
                    </w:rPr>
                    <w:t>(mg/L)</w:t>
                  </w:r>
                </w:p>
              </w:tc>
              <w:tc>
                <w:tcPr>
                  <w:tcW w:w="737" w:type="pct"/>
                  <w:vMerge w:val="restart"/>
                  <w:noWrap w:val="0"/>
                  <w:vAlign w:val="center"/>
                </w:tcPr>
                <w:p w14:paraId="14F99E0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达标情况</w:t>
                  </w:r>
                </w:p>
              </w:tc>
            </w:tr>
            <w:tr w14:paraId="1D08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continue"/>
                  <w:noWrap w:val="0"/>
                  <w:vAlign w:val="center"/>
                </w:tcPr>
                <w:p w14:paraId="0EAF9BD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451" w:type="pct"/>
                  <w:vMerge w:val="continue"/>
                  <w:noWrap w:val="0"/>
                  <w:vAlign w:val="center"/>
                </w:tcPr>
                <w:p w14:paraId="6051FC9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594" w:type="pct"/>
                  <w:vMerge w:val="continue"/>
                  <w:noWrap w:val="0"/>
                  <w:vAlign w:val="center"/>
                </w:tcPr>
                <w:p w14:paraId="63D78E4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813" w:type="pct"/>
                  <w:vMerge w:val="continue"/>
                  <w:noWrap w:val="0"/>
                  <w:vAlign w:val="center"/>
                </w:tcPr>
                <w:p w14:paraId="442864D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594" w:type="pct"/>
                  <w:vMerge w:val="continue"/>
                  <w:noWrap w:val="0"/>
                  <w:vAlign w:val="center"/>
                </w:tcPr>
                <w:p w14:paraId="69F6122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55" w:type="pct"/>
                  <w:vMerge w:val="continue"/>
                  <w:noWrap w:val="0"/>
                  <w:vAlign w:val="center"/>
                </w:tcPr>
                <w:p w14:paraId="3EA6F0D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29" w:type="pct"/>
                  <w:vMerge w:val="continue"/>
                  <w:noWrap w:val="0"/>
                  <w:vAlign w:val="center"/>
                </w:tcPr>
                <w:p w14:paraId="2E70FE5A">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37" w:type="pct"/>
                  <w:vMerge w:val="continue"/>
                  <w:noWrap w:val="0"/>
                  <w:vAlign w:val="center"/>
                </w:tcPr>
                <w:p w14:paraId="3ABC69C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r>
            <w:tr w14:paraId="22A2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noWrap w:val="0"/>
                  <w:vAlign w:val="center"/>
                </w:tcPr>
                <w:p w14:paraId="0C28DB89">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w:t>
                  </w:r>
                </w:p>
              </w:tc>
              <w:tc>
                <w:tcPr>
                  <w:tcW w:w="451" w:type="pct"/>
                  <w:noWrap w:val="0"/>
                  <w:vAlign w:val="center"/>
                </w:tcPr>
                <w:p w14:paraId="6F74DC4B">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武江</w:t>
                  </w:r>
                </w:p>
              </w:tc>
              <w:tc>
                <w:tcPr>
                  <w:tcW w:w="594" w:type="pct"/>
                  <w:noWrap w:val="0"/>
                  <w:vAlign w:val="center"/>
                </w:tcPr>
                <w:p w14:paraId="47E6C0F3">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乐昌市</w:t>
                  </w:r>
                </w:p>
              </w:tc>
              <w:tc>
                <w:tcPr>
                  <w:tcW w:w="813" w:type="pct"/>
                  <w:noWrap w:val="0"/>
                  <w:vAlign w:val="center"/>
                </w:tcPr>
                <w:p w14:paraId="3204F728">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张滩闸坝上游780米处</w:t>
                  </w:r>
                </w:p>
              </w:tc>
              <w:tc>
                <w:tcPr>
                  <w:tcW w:w="594" w:type="pct"/>
                  <w:noWrap w:val="0"/>
                  <w:vAlign w:val="center"/>
                </w:tcPr>
                <w:p w14:paraId="266E056A">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钛</w:t>
                  </w:r>
                </w:p>
              </w:tc>
              <w:tc>
                <w:tcPr>
                  <w:tcW w:w="755" w:type="pct"/>
                  <w:noWrap w:val="0"/>
                  <w:vAlign w:val="center"/>
                </w:tcPr>
                <w:p w14:paraId="2DD68D91">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ND</w:t>
                  </w:r>
                </w:p>
              </w:tc>
              <w:tc>
                <w:tcPr>
                  <w:tcW w:w="729" w:type="pct"/>
                  <w:noWrap w:val="0"/>
                  <w:vAlign w:val="center"/>
                </w:tcPr>
                <w:p w14:paraId="72E327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w:t>
                  </w:r>
                </w:p>
              </w:tc>
              <w:tc>
                <w:tcPr>
                  <w:tcW w:w="737" w:type="pct"/>
                  <w:noWrap w:val="0"/>
                  <w:vAlign w:val="center"/>
                </w:tcPr>
                <w:p w14:paraId="0EAE39BB">
                  <w:pPr>
                    <w:keepNext w:val="0"/>
                    <w:keepLines w:val="0"/>
                    <w:widowControl w:val="0"/>
                    <w:suppressLineNumbers w:val="0"/>
                    <w:wordWrap/>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393B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noWrap w:val="0"/>
                  <w:vAlign w:val="center"/>
                </w:tcPr>
                <w:p w14:paraId="65661949">
                  <w:pPr>
                    <w:keepNext w:val="0"/>
                    <w:keepLines w:val="0"/>
                    <w:widowControl w:val="0"/>
                    <w:suppressLineNumbers w:val="0"/>
                    <w:wordWrap/>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注：ND为低于检出限</w:t>
                  </w:r>
                </w:p>
              </w:tc>
            </w:tr>
          </w:tbl>
          <w:p w14:paraId="7C9168B1">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3340EB94">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lang w:val="en-US" w:eastAsia="zh-CN"/>
              </w:rPr>
              <w:t>根据监测结果显示，武江张滩闸坝上游780米处监测断面</w:t>
            </w:r>
            <w:r>
              <w:rPr>
                <w:rFonts w:hint="eastAsia" w:ascii="Times New Roman" w:hAnsi="Times New Roman" w:eastAsia="宋体" w:cs="Times New Roman"/>
                <w:color w:val="auto"/>
                <w:sz w:val="24"/>
                <w:highlight w:val="none"/>
                <w:lang w:val="en-US" w:eastAsia="zh-CN"/>
              </w:rPr>
              <w:t>中钛的监测结果为低于检出限，浓度</w:t>
            </w:r>
            <w:r>
              <w:rPr>
                <w:rFonts w:hint="default" w:ascii="Times New Roman" w:hAnsi="Times New Roman" w:eastAsia="宋体" w:cs="Times New Roman"/>
                <w:color w:val="auto"/>
                <w:sz w:val="24"/>
                <w:highlight w:val="none"/>
                <w:lang w:val="en-US" w:eastAsia="zh-CN"/>
              </w:rPr>
              <w:t>满足《地表水环境质量标准》(GB3838-2002)表3集中式生活饮用水地表水源地特定项目标准限值，表明项目附近地表水体武江水环境</w:t>
            </w:r>
            <w:r>
              <w:rPr>
                <w:rFonts w:hint="eastAsia" w:ascii="Times New Roman" w:hAnsi="Times New Roman" w:eastAsia="宋体" w:cs="Times New Roman"/>
                <w:color w:val="auto"/>
                <w:sz w:val="24"/>
                <w:highlight w:val="none"/>
                <w:lang w:val="en-US" w:eastAsia="zh-CN"/>
              </w:rPr>
              <w:t>中钛的浓度较低，</w:t>
            </w:r>
            <w:r>
              <w:rPr>
                <w:rFonts w:hint="default" w:ascii="Times New Roman" w:hAnsi="Times New Roman" w:eastAsia="宋体" w:cs="Times New Roman"/>
                <w:color w:val="auto"/>
                <w:sz w:val="24"/>
                <w:highlight w:val="none"/>
                <w:lang w:val="en-US" w:eastAsia="zh-CN"/>
              </w:rPr>
              <w:t>水环境质量现状良好。</w:t>
            </w:r>
          </w:p>
          <w:p w14:paraId="6D559E89">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3、声环境质量现状</w:t>
            </w:r>
          </w:p>
          <w:p w14:paraId="7641BCA1">
            <w:pPr>
              <w:pStyle w:val="25"/>
              <w:spacing w:line="360" w:lineRule="auto"/>
              <w:ind w:firstLine="480" w:firstLineChars="200"/>
              <w:rPr>
                <w:rFonts w:hint="default" w:ascii="Times New Roman" w:hAnsi="Times New Roman" w:cs="Times New Roman"/>
                <w:color w:val="auto"/>
                <w:szCs w:val="24"/>
                <w:highlight w:val="none"/>
              </w:rPr>
            </w:pPr>
            <w:r>
              <w:rPr>
                <w:rFonts w:hint="default" w:ascii="Times New Roman" w:hAnsi="Times New Roman" w:eastAsia="宋体" w:cs="Times New Roman"/>
                <w:color w:val="auto"/>
                <w:sz w:val="24"/>
                <w:szCs w:val="24"/>
                <w:highlight w:val="none"/>
                <w:lang w:val="en-US" w:eastAsia="zh-CN"/>
              </w:rPr>
              <w:t>根据</w:t>
            </w:r>
            <w:r>
              <w:rPr>
                <w:rFonts w:hint="eastAsia" w:cs="Times New Roman"/>
                <w:color w:val="auto"/>
                <w:sz w:val="24"/>
                <w:szCs w:val="24"/>
                <w:highlight w:val="none"/>
                <w:lang w:val="en-US" w:eastAsia="zh-CN"/>
              </w:rPr>
              <w:t>声功能区划图</w:t>
            </w:r>
            <w:r>
              <w:rPr>
                <w:rFonts w:hint="default" w:ascii="Times New Roman" w:hAnsi="Times New Roman" w:eastAsia="宋体" w:cs="Times New Roman"/>
                <w:color w:val="auto"/>
                <w:sz w:val="24"/>
                <w:szCs w:val="24"/>
                <w:highlight w:val="none"/>
                <w:lang w:val="en-US" w:eastAsia="zh-CN"/>
              </w:rPr>
              <w:t>（见附图</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），本项目所在</w:t>
            </w:r>
            <w:r>
              <w:rPr>
                <w:rFonts w:hint="eastAsia" w:ascii="Times New Roman" w:hAnsi="Times New Roman" w:eastAsia="宋体" w:cs="Times New Roman"/>
                <w:color w:val="auto"/>
                <w:sz w:val="24"/>
                <w:szCs w:val="24"/>
                <w:highlight w:val="none"/>
                <w:lang w:val="en-US" w:eastAsia="zh-CN"/>
              </w:rPr>
              <w:t>区域</w:t>
            </w:r>
            <w:r>
              <w:rPr>
                <w:rFonts w:hint="default" w:ascii="Times New Roman" w:hAnsi="Times New Roman" w:cs="Times New Roman"/>
                <w:color w:val="auto"/>
                <w:szCs w:val="24"/>
                <w:highlight w:val="none"/>
              </w:rPr>
              <w:t>属</w:t>
            </w:r>
            <w:r>
              <w:rPr>
                <w:rFonts w:hint="eastAsia" w:ascii="Times New Roman" w:hAnsi="Times New Roman" w:cs="Times New Roman"/>
                <w:color w:val="auto"/>
                <w:szCs w:val="24"/>
                <w:highlight w:val="none"/>
                <w:lang w:val="en-US" w:eastAsia="zh-CN"/>
              </w:rPr>
              <w:t>3</w:t>
            </w:r>
            <w:r>
              <w:rPr>
                <w:rFonts w:hint="default" w:ascii="Times New Roman" w:hAnsi="Times New Roman" w:cs="Times New Roman"/>
                <w:color w:val="auto"/>
                <w:szCs w:val="24"/>
                <w:highlight w:val="none"/>
              </w:rPr>
              <w:t>类</w:t>
            </w:r>
            <w:r>
              <w:rPr>
                <w:rFonts w:hint="eastAsia" w:ascii="Times New Roman" w:hAnsi="Times New Roman" w:cs="Times New Roman"/>
                <w:color w:val="auto"/>
                <w:szCs w:val="24"/>
                <w:highlight w:val="none"/>
                <w:lang w:val="en-US" w:eastAsia="zh-CN"/>
              </w:rPr>
              <w:t>、4a类</w:t>
            </w:r>
            <w:r>
              <w:rPr>
                <w:rFonts w:hint="default" w:ascii="Times New Roman" w:hAnsi="Times New Roman" w:cs="Times New Roman"/>
                <w:color w:val="auto"/>
                <w:szCs w:val="24"/>
                <w:highlight w:val="none"/>
              </w:rPr>
              <w:t>声环境功能区，</w:t>
            </w:r>
            <w:r>
              <w:rPr>
                <w:rFonts w:hint="eastAsia" w:cs="Times New Roman"/>
                <w:color w:val="auto"/>
                <w:szCs w:val="24"/>
                <w:highlight w:val="none"/>
                <w:lang w:val="en-US" w:eastAsia="zh-CN"/>
              </w:rPr>
              <w:t>项目东面、南</w:t>
            </w:r>
            <w:r>
              <w:rPr>
                <w:rFonts w:hint="eastAsia" w:ascii="Times New Roman" w:hAnsi="Times New Roman" w:cs="Times New Roman"/>
                <w:color w:val="auto"/>
                <w:szCs w:val="24"/>
                <w:highlight w:val="none"/>
                <w:lang w:val="en-US" w:eastAsia="zh-CN"/>
              </w:rPr>
              <w:t>面</w:t>
            </w:r>
            <w:r>
              <w:rPr>
                <w:rFonts w:hint="eastAsia" w:cs="Times New Roman"/>
                <w:color w:val="auto"/>
                <w:szCs w:val="24"/>
                <w:highlight w:val="none"/>
                <w:lang w:val="en-US" w:eastAsia="zh-CN"/>
              </w:rPr>
              <w:t>红线距离道路边界小于20m，</w:t>
            </w:r>
            <w:r>
              <w:rPr>
                <w:rFonts w:hint="default" w:ascii="Times New Roman" w:hAnsi="Times New Roman" w:cs="Times New Roman"/>
                <w:color w:val="auto"/>
                <w:szCs w:val="24"/>
                <w:highlight w:val="none"/>
              </w:rPr>
              <w:t>执行《声环境质量标准》（GB3096-2008）</w:t>
            </w:r>
            <w:r>
              <w:rPr>
                <w:rFonts w:hint="eastAsia" w:ascii="Times New Roman" w:hAnsi="Times New Roman" w:cs="Times New Roman"/>
                <w:color w:val="auto"/>
                <w:szCs w:val="24"/>
                <w:highlight w:val="none"/>
                <w:lang w:val="en-US" w:eastAsia="zh-CN"/>
              </w:rPr>
              <w:t>4a</w:t>
            </w:r>
            <w:r>
              <w:rPr>
                <w:rFonts w:hint="default" w:ascii="Times New Roman" w:hAnsi="Times New Roman" w:cs="Times New Roman"/>
                <w:color w:val="auto"/>
                <w:szCs w:val="24"/>
                <w:highlight w:val="none"/>
              </w:rPr>
              <w:t>类标准的要求，即昼间≤</w:t>
            </w:r>
            <w:r>
              <w:rPr>
                <w:rFonts w:hint="eastAsia" w:ascii="Times New Roman" w:hAnsi="Times New Roman" w:cs="Times New Roman"/>
                <w:color w:val="auto"/>
                <w:szCs w:val="24"/>
                <w:highlight w:val="none"/>
                <w:lang w:val="en-US" w:eastAsia="zh-CN"/>
              </w:rPr>
              <w:t>70</w:t>
            </w:r>
            <w:r>
              <w:rPr>
                <w:rFonts w:hint="default" w:ascii="Times New Roman" w:hAnsi="Times New Roman" w:cs="Times New Roman"/>
                <w:color w:val="auto"/>
                <w:szCs w:val="24"/>
                <w:highlight w:val="none"/>
              </w:rPr>
              <w:t>dB(A)，夜间≤5</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w:t>
            </w:r>
            <w:r>
              <w:rPr>
                <w:rFonts w:hint="eastAsia" w:ascii="Times New Roman" w:hAnsi="Times New Roman" w:cs="Times New Roman"/>
                <w:color w:val="auto"/>
                <w:szCs w:val="24"/>
                <w:highlight w:val="none"/>
                <w:lang w:eastAsia="zh-CN"/>
              </w:rPr>
              <w:t>；</w:t>
            </w:r>
            <w:r>
              <w:rPr>
                <w:rFonts w:hint="eastAsia" w:ascii="Times New Roman" w:hAnsi="Times New Roman" w:cs="Times New Roman"/>
                <w:color w:val="auto"/>
                <w:szCs w:val="24"/>
                <w:highlight w:val="none"/>
                <w:lang w:val="en-US" w:eastAsia="zh-CN"/>
              </w:rPr>
              <w:t>其他边界</w:t>
            </w:r>
            <w:r>
              <w:rPr>
                <w:rFonts w:hint="default" w:ascii="Times New Roman" w:hAnsi="Times New Roman" w:cs="Times New Roman"/>
                <w:color w:val="auto"/>
                <w:szCs w:val="24"/>
                <w:highlight w:val="none"/>
              </w:rPr>
              <w:t>执行《声环境质量标准》（GB3096-2008）</w:t>
            </w:r>
            <w:r>
              <w:rPr>
                <w:rFonts w:hint="eastAsia" w:ascii="Times New Roman" w:hAnsi="Times New Roman" w:cs="Times New Roman"/>
                <w:color w:val="auto"/>
                <w:szCs w:val="24"/>
                <w:highlight w:val="none"/>
                <w:lang w:val="en-US" w:eastAsia="zh-CN"/>
              </w:rPr>
              <w:t>3</w:t>
            </w:r>
            <w:r>
              <w:rPr>
                <w:rFonts w:hint="default" w:ascii="Times New Roman" w:hAnsi="Times New Roman" w:cs="Times New Roman"/>
                <w:color w:val="auto"/>
                <w:szCs w:val="24"/>
                <w:highlight w:val="none"/>
              </w:rPr>
              <w:t>类标准的要求，即昼间≤6</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dB(A)，夜间≤5</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w:t>
            </w:r>
          </w:p>
          <w:p w14:paraId="1409CF9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本项目厂界外50m范围内无声环境保护目标，根据《建设项目环境影响报告表编制技术指南（污染影响类）（试行）》，无需进行声环境质量现状调查。</w:t>
            </w:r>
          </w:p>
          <w:p w14:paraId="0EF10DA5">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4、生态环境质量现状</w:t>
            </w:r>
          </w:p>
          <w:p w14:paraId="09D6D560">
            <w:pPr>
              <w:pStyle w:val="43"/>
              <w:spacing w:after="0" w:line="360" w:lineRule="auto"/>
              <w:ind w:firstLine="480"/>
              <w:rPr>
                <w:rFonts w:hint="default" w:ascii="Times New Roman" w:hAnsi="Times New Roman" w:cs="Times New Roman"/>
                <w:b w:val="0"/>
                <w:bCs w:val="0"/>
                <w:color w:val="auto"/>
                <w:sz w:val="24"/>
                <w:highlight w:val="none"/>
              </w:rPr>
            </w:pPr>
            <w:r>
              <w:rPr>
                <w:rFonts w:hint="default" w:ascii="Times New Roman" w:hAnsi="Times New Roman" w:cs="Times New Roman"/>
                <w:b w:val="0"/>
                <w:bCs w:val="0"/>
                <w:color w:val="auto"/>
                <w:sz w:val="24"/>
                <w:highlight w:val="none"/>
              </w:rPr>
              <w:t>本项目位于乐昌市乐昌产业转移工业园内，根据现场勘踏和调查，项目用地范围内不含生态环境保护目标，不需进行生态环境调查。</w:t>
            </w:r>
          </w:p>
          <w:p w14:paraId="27B87A7D">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5、电磁辐射</w:t>
            </w:r>
          </w:p>
          <w:p w14:paraId="0B73E93A">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项目类别不属于广播电台、差转台、电视塔台卫星地球上行站、雷达等电磁辐射类项目，因此无需开展项目电磁辐射现状监测与评价。</w:t>
            </w:r>
          </w:p>
          <w:p w14:paraId="14EFC43C">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6、地下水、土壤环境质量现状</w:t>
            </w:r>
          </w:p>
          <w:p w14:paraId="3CE1F751">
            <w:pPr>
              <w:pStyle w:val="25"/>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bCs/>
                <w:color w:val="auto"/>
                <w:kern w:val="28"/>
                <w:sz w:val="24"/>
                <w:highlight w:val="none"/>
              </w:rPr>
              <w:t>本项目</w:t>
            </w:r>
            <w:r>
              <w:rPr>
                <w:rFonts w:hint="default" w:ascii="Times New Roman" w:hAnsi="Times New Roman" w:cs="Times New Roman"/>
                <w:bCs/>
                <w:color w:val="auto"/>
                <w:kern w:val="28"/>
                <w:sz w:val="24"/>
                <w:highlight w:val="none"/>
                <w:lang w:eastAsia="zh-CN"/>
              </w:rPr>
              <w:t>生产车间</w:t>
            </w:r>
            <w:r>
              <w:rPr>
                <w:rFonts w:hint="default" w:ascii="Times New Roman" w:hAnsi="Times New Roman" w:cs="Times New Roman"/>
                <w:bCs/>
                <w:color w:val="auto"/>
                <w:kern w:val="28"/>
                <w:sz w:val="24"/>
                <w:highlight w:val="none"/>
              </w:rPr>
              <w:t>厂区内均已进行地面硬化，</w:t>
            </w:r>
            <w:r>
              <w:rPr>
                <w:rFonts w:hint="eastAsia" w:cs="Times New Roman"/>
                <w:bCs/>
                <w:color w:val="auto"/>
                <w:kern w:val="28"/>
                <w:sz w:val="24"/>
                <w:highlight w:val="none"/>
                <w:lang w:val="en-US" w:eastAsia="zh-CN"/>
              </w:rPr>
              <w:t>工件表面预处理</w:t>
            </w:r>
            <w:r>
              <w:rPr>
                <w:rFonts w:hint="default" w:ascii="Times New Roman" w:hAnsi="Times New Roman" w:cs="Times New Roman"/>
                <w:bCs/>
                <w:color w:val="auto"/>
                <w:kern w:val="28"/>
                <w:sz w:val="24"/>
                <w:highlight w:val="none"/>
                <w:lang w:val="en-US" w:eastAsia="zh-CN"/>
              </w:rPr>
              <w:t>生产车间、</w:t>
            </w:r>
            <w:r>
              <w:rPr>
                <w:rFonts w:hint="eastAsia" w:cs="Times New Roman"/>
                <w:bCs/>
                <w:color w:val="auto"/>
                <w:kern w:val="28"/>
                <w:sz w:val="24"/>
                <w:highlight w:val="none"/>
                <w:lang w:eastAsia="zh-CN"/>
              </w:rPr>
              <w:t>危险废物贮存间</w:t>
            </w:r>
            <w:r>
              <w:rPr>
                <w:rFonts w:hint="default" w:ascii="Times New Roman" w:hAnsi="Times New Roman" w:cs="Times New Roman"/>
                <w:bCs/>
                <w:color w:val="auto"/>
                <w:kern w:val="28"/>
                <w:sz w:val="24"/>
                <w:highlight w:val="none"/>
                <w:lang w:eastAsia="zh-CN"/>
              </w:rPr>
              <w:t>、自建污水处理站</w:t>
            </w:r>
            <w:r>
              <w:rPr>
                <w:rFonts w:hint="default" w:ascii="Times New Roman" w:hAnsi="Times New Roman" w:cs="Times New Roman"/>
                <w:bCs/>
                <w:color w:val="auto"/>
                <w:kern w:val="28"/>
                <w:sz w:val="24"/>
                <w:highlight w:val="none"/>
              </w:rPr>
              <w:t>作基础防渗，防渗层为至少lm厚粘土层（渗透系数≤10</w:t>
            </w:r>
            <w:r>
              <w:rPr>
                <w:rFonts w:hint="default" w:ascii="Times New Roman" w:hAnsi="Times New Roman" w:cs="Times New Roman"/>
                <w:bCs/>
                <w:color w:val="auto"/>
                <w:kern w:val="28"/>
                <w:sz w:val="24"/>
                <w:highlight w:val="none"/>
                <w:vertAlign w:val="superscript"/>
              </w:rPr>
              <w:t>-7</w:t>
            </w:r>
            <w:r>
              <w:rPr>
                <w:rFonts w:hint="default" w:ascii="Times New Roman" w:hAnsi="Times New Roman" w:cs="Times New Roman"/>
                <w:bCs/>
                <w:color w:val="auto"/>
                <w:kern w:val="28"/>
                <w:sz w:val="24"/>
                <w:highlight w:val="none"/>
              </w:rPr>
              <w:t>cm/s），或2mm厚高密度聚乙烯，或至少2mm厚的其他人工材料，渗透系数≤10</w:t>
            </w:r>
            <w:r>
              <w:rPr>
                <w:rFonts w:hint="default" w:ascii="Times New Roman" w:hAnsi="Times New Roman" w:cs="Times New Roman"/>
                <w:bCs/>
                <w:color w:val="auto"/>
                <w:kern w:val="28"/>
                <w:sz w:val="24"/>
                <w:highlight w:val="none"/>
                <w:vertAlign w:val="superscript"/>
              </w:rPr>
              <w:t>-10</w:t>
            </w:r>
            <w:r>
              <w:rPr>
                <w:rFonts w:hint="default" w:ascii="Times New Roman" w:hAnsi="Times New Roman" w:cs="Times New Roman"/>
                <w:bCs/>
                <w:color w:val="auto"/>
                <w:kern w:val="28"/>
                <w:sz w:val="24"/>
                <w:highlight w:val="none"/>
              </w:rPr>
              <w:t>cm/s；本项目液态</w:t>
            </w:r>
            <w:r>
              <w:rPr>
                <w:rFonts w:hint="default" w:ascii="Times New Roman" w:hAnsi="Times New Roman" w:cs="Times New Roman"/>
                <w:bCs/>
                <w:color w:val="auto"/>
                <w:kern w:val="28"/>
                <w:sz w:val="24"/>
                <w:highlight w:val="none"/>
                <w:lang w:eastAsia="zh-CN"/>
              </w:rPr>
              <w:t>原辅料</w:t>
            </w:r>
            <w:r>
              <w:rPr>
                <w:rFonts w:hint="default" w:ascii="Times New Roman" w:hAnsi="Times New Roman" w:cs="Times New Roman"/>
                <w:bCs/>
                <w:color w:val="auto"/>
                <w:kern w:val="28"/>
                <w:sz w:val="24"/>
                <w:highlight w:val="none"/>
              </w:rPr>
              <w:t>均储存在</w:t>
            </w:r>
            <w:r>
              <w:rPr>
                <w:rFonts w:hint="eastAsia" w:ascii="Times New Roman" w:hAnsi="Times New Roman" w:cs="Times New Roman"/>
                <w:bCs/>
                <w:color w:val="auto"/>
                <w:kern w:val="28"/>
                <w:sz w:val="24"/>
                <w:highlight w:val="none"/>
                <w:lang w:val="en-US" w:eastAsia="zh-CN"/>
              </w:rPr>
              <w:t>5#</w:t>
            </w:r>
            <w:r>
              <w:rPr>
                <w:rFonts w:hint="default" w:ascii="Times New Roman" w:hAnsi="Times New Roman" w:cs="Times New Roman"/>
                <w:bCs/>
                <w:color w:val="auto"/>
                <w:kern w:val="28"/>
                <w:sz w:val="24"/>
                <w:highlight w:val="none"/>
              </w:rPr>
              <w:t>厂房设置的化学品仓内，且出入口处设置围堰围挡，物料随用随取，不使用时密闭封存，厂界四周设置围墙围挡，仅保留</w:t>
            </w:r>
            <w:r>
              <w:rPr>
                <w:rFonts w:hint="default" w:ascii="Times New Roman" w:hAnsi="Times New Roman" w:cs="Times New Roman"/>
                <w:bCs/>
                <w:color w:val="auto"/>
                <w:kern w:val="28"/>
                <w:sz w:val="24"/>
                <w:highlight w:val="none"/>
                <w:lang w:val="en-US" w:eastAsia="zh-CN"/>
              </w:rPr>
              <w:t>东南</w:t>
            </w:r>
            <w:r>
              <w:rPr>
                <w:rFonts w:hint="default" w:ascii="Times New Roman" w:hAnsi="Times New Roman" w:cs="Times New Roman"/>
                <w:bCs/>
                <w:color w:val="auto"/>
                <w:kern w:val="28"/>
                <w:sz w:val="24"/>
                <w:highlight w:val="none"/>
              </w:rPr>
              <w:t>侧厂区出入口，可防止地表径流直接进入本项目</w:t>
            </w:r>
            <w:r>
              <w:rPr>
                <w:rFonts w:hint="default" w:ascii="Times New Roman" w:hAnsi="Times New Roman" w:cs="Times New Roman"/>
                <w:bCs/>
                <w:color w:val="auto"/>
                <w:kern w:val="28"/>
                <w:sz w:val="24"/>
                <w:highlight w:val="none"/>
                <w:lang w:val="en-US" w:eastAsia="zh-CN"/>
              </w:rPr>
              <w:t>周边水体</w:t>
            </w:r>
            <w:r>
              <w:rPr>
                <w:rFonts w:hint="default" w:ascii="Times New Roman" w:hAnsi="Times New Roman" w:cs="Times New Roman"/>
                <w:bCs/>
                <w:color w:val="auto"/>
                <w:kern w:val="28"/>
                <w:sz w:val="24"/>
                <w:highlight w:val="none"/>
              </w:rPr>
              <w:t>。因此不存在地</w:t>
            </w:r>
            <w:r>
              <w:rPr>
                <w:rFonts w:hint="default" w:ascii="Times New Roman" w:hAnsi="Times New Roman" w:cs="Times New Roman"/>
                <w:bCs/>
                <w:color w:val="auto"/>
                <w:kern w:val="28"/>
                <w:sz w:val="24"/>
                <w:highlight w:val="none"/>
                <w:lang w:eastAsia="zh-CN"/>
              </w:rPr>
              <w:t>下</w:t>
            </w:r>
            <w:r>
              <w:rPr>
                <w:rFonts w:hint="default" w:ascii="Times New Roman" w:hAnsi="Times New Roman" w:cs="Times New Roman"/>
                <w:bCs/>
                <w:color w:val="auto"/>
                <w:kern w:val="28"/>
                <w:sz w:val="24"/>
                <w:highlight w:val="none"/>
              </w:rPr>
              <w:t>水、</w:t>
            </w:r>
            <w:r>
              <w:rPr>
                <w:rFonts w:hint="default" w:ascii="Times New Roman" w:hAnsi="Times New Roman" w:cs="Times New Roman"/>
                <w:bCs/>
                <w:color w:val="auto"/>
                <w:kern w:val="28"/>
                <w:sz w:val="24"/>
                <w:highlight w:val="none"/>
                <w:lang w:eastAsia="zh-CN"/>
              </w:rPr>
              <w:t>土壤</w:t>
            </w:r>
            <w:r>
              <w:rPr>
                <w:rFonts w:hint="default" w:ascii="Times New Roman" w:hAnsi="Times New Roman" w:cs="Times New Roman"/>
                <w:bCs/>
                <w:color w:val="auto"/>
                <w:kern w:val="28"/>
                <w:sz w:val="24"/>
                <w:highlight w:val="none"/>
              </w:rPr>
              <w:t>环境污染途径。其他区域均进行水泥地面硬底化。项目生产经营范围内具有一定的防腐防渗作用，可有效阻断污染物入渗土壤的途径，正常工况下不会对地下水、土壤环境造成显著不良影响，且占地范围内不具备监测条件。因此</w:t>
            </w:r>
            <w:r>
              <w:rPr>
                <w:rFonts w:hint="eastAsia" w:cs="Times New Roman"/>
                <w:bCs/>
                <w:color w:val="auto"/>
                <w:kern w:val="28"/>
                <w:sz w:val="24"/>
                <w:highlight w:val="none"/>
                <w:lang w:val="en-US" w:eastAsia="zh-CN"/>
              </w:rPr>
              <w:t>本项目不对地下水、土壤环境质量现状监测</w:t>
            </w:r>
            <w:r>
              <w:rPr>
                <w:rFonts w:hint="default" w:ascii="Times New Roman" w:hAnsi="Times New Roman" w:cs="Times New Roman"/>
                <w:bCs/>
                <w:color w:val="auto"/>
                <w:kern w:val="28"/>
                <w:sz w:val="24"/>
                <w:highlight w:val="none"/>
                <w:lang w:eastAsia="zh-CN"/>
              </w:rPr>
              <w:t>。</w:t>
            </w:r>
          </w:p>
        </w:tc>
      </w:tr>
      <w:tr w14:paraId="2C227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1" w:hRule="atLeast"/>
          <w:jc w:val="center"/>
        </w:trPr>
        <w:tc>
          <w:tcPr>
            <w:tcW w:w="278" w:type="pct"/>
            <w:noWrap w:val="0"/>
            <w:vAlign w:val="center"/>
          </w:tcPr>
          <w:p w14:paraId="044F2BD2">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环境</w:t>
            </w:r>
          </w:p>
          <w:p w14:paraId="46A3D136">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保护</w:t>
            </w:r>
          </w:p>
          <w:p w14:paraId="037D47D5">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目标</w:t>
            </w:r>
          </w:p>
        </w:tc>
        <w:tc>
          <w:tcPr>
            <w:tcW w:w="4721" w:type="pct"/>
            <w:noWrap w:val="0"/>
            <w:vAlign w:val="center"/>
          </w:tcPr>
          <w:p w14:paraId="3943FEF8">
            <w:pPr>
              <w:keepNext w:val="0"/>
              <w:keepLines w:val="0"/>
              <w:pageBreakBefore w:val="0"/>
              <w:widowControl w:val="0"/>
              <w:tabs>
                <w:tab w:val="left" w:pos="1472"/>
              </w:tabs>
              <w:kinsoku/>
              <w:wordWrap/>
              <w:overflowPunct/>
              <w:topLinePunct w:val="0"/>
              <w:autoSpaceDE/>
              <w:autoSpaceDN/>
              <w:bidi w:val="0"/>
              <w:adjustRightInd/>
              <w:snapToGrid/>
              <w:spacing w:line="120" w:lineRule="exact"/>
              <w:ind w:left="771"/>
              <w:jc w:val="center"/>
              <w:textAlignment w:val="auto"/>
              <w:rPr>
                <w:rFonts w:hint="default" w:ascii="Times New Roman" w:hAnsi="Times New Roman" w:cs="Times New Roman"/>
                <w:color w:val="auto"/>
                <w:szCs w:val="21"/>
                <w:highlight w:val="none"/>
              </w:rPr>
            </w:pPr>
          </w:p>
          <w:p w14:paraId="69F1679B">
            <w:pPr>
              <w:pStyle w:val="43"/>
              <w:spacing w:after="0" w:line="360" w:lineRule="auto"/>
              <w:ind w:firstLine="480"/>
              <w:rPr>
                <w:rFonts w:hint="default" w:ascii="Times New Roman" w:hAnsi="Times New Roman" w:cs="Times New Roman"/>
                <w:b w:val="0"/>
                <w:bCs/>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b w:val="0"/>
                <w:bCs/>
                <w:color w:val="auto"/>
                <w:sz w:val="24"/>
                <w:szCs w:val="24"/>
                <w:highlight w:val="none"/>
                <w:lang w:val="en-US" w:eastAsia="zh-CN"/>
              </w:rPr>
              <w:t>现场调查及结合卫星地图，绘制了</w:t>
            </w:r>
            <w:r>
              <w:rPr>
                <w:rFonts w:hint="default" w:ascii="Times New Roman" w:hAnsi="Times New Roman" w:eastAsia="宋体" w:cs="Times New Roman"/>
                <w:b w:val="0"/>
                <w:bCs/>
                <w:color w:val="auto"/>
                <w:sz w:val="24"/>
                <w:szCs w:val="24"/>
                <w:highlight w:val="none"/>
              </w:rPr>
              <w:t>项目</w:t>
            </w:r>
            <w:r>
              <w:rPr>
                <w:rFonts w:hint="default" w:ascii="Times New Roman" w:hAnsi="Times New Roman" w:cs="Times New Roman"/>
                <w:b w:val="0"/>
                <w:bCs/>
                <w:color w:val="auto"/>
                <w:sz w:val="24"/>
                <w:highlight w:val="none"/>
              </w:rPr>
              <w:t>周边环境保护目标</w:t>
            </w:r>
            <w:r>
              <w:rPr>
                <w:rFonts w:hint="default" w:ascii="Times New Roman" w:hAnsi="Times New Roman" w:cs="Times New Roman"/>
                <w:b w:val="0"/>
                <w:bCs/>
                <w:color w:val="auto"/>
                <w:sz w:val="24"/>
                <w:highlight w:val="none"/>
                <w:lang w:val="en-US" w:eastAsia="zh-CN"/>
              </w:rPr>
              <w:t>分布</w:t>
            </w:r>
            <w:r>
              <w:rPr>
                <w:rFonts w:hint="default" w:ascii="Times New Roman" w:hAnsi="Times New Roman" w:cs="Times New Roman"/>
                <w:b w:val="0"/>
                <w:bCs/>
                <w:color w:val="auto"/>
                <w:sz w:val="24"/>
                <w:highlight w:val="none"/>
              </w:rPr>
              <w:t>图</w:t>
            </w:r>
            <w:r>
              <w:rPr>
                <w:rFonts w:hint="default"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lang w:val="en-US" w:eastAsia="zh-CN"/>
              </w:rPr>
              <w:t>详见附图</w:t>
            </w:r>
            <w:r>
              <w:rPr>
                <w:rFonts w:hint="eastAsia" w:ascii="Times New Roman" w:hAnsi="Times New Roman" w:cs="Times New Roman"/>
                <w:b w:val="0"/>
                <w:bCs/>
                <w:color w:val="auto"/>
                <w:sz w:val="24"/>
                <w:highlight w:val="none"/>
                <w:lang w:val="en-US" w:eastAsia="zh-CN"/>
              </w:rPr>
              <w:t>11</w:t>
            </w:r>
            <w:r>
              <w:rPr>
                <w:rFonts w:hint="default" w:ascii="Times New Roman" w:hAnsi="Times New Roman" w:cs="Times New Roman"/>
                <w:b w:val="0"/>
                <w:bCs/>
                <w:color w:val="auto"/>
                <w:sz w:val="24"/>
                <w:highlight w:val="none"/>
                <w:lang w:eastAsia="zh-CN"/>
              </w:rPr>
              <w:t>），</w:t>
            </w:r>
            <w:r>
              <w:rPr>
                <w:rFonts w:hint="default" w:ascii="Times New Roman" w:hAnsi="Times New Roman" w:eastAsia="宋体" w:cs="Times New Roman"/>
                <w:color w:val="auto"/>
                <w:sz w:val="24"/>
                <w:highlight w:val="none"/>
                <w:lang w:val="en-US" w:eastAsia="zh-CN"/>
              </w:rPr>
              <w:t>由此可知</w:t>
            </w:r>
            <w:r>
              <w:rPr>
                <w:rFonts w:hint="default" w:ascii="Times New Roman" w:hAnsi="Times New Roman" w:cs="Times New Roman"/>
                <w:b w:val="0"/>
                <w:bCs/>
                <w:color w:val="auto"/>
                <w:sz w:val="24"/>
                <w:highlight w:val="none"/>
                <w:lang w:val="en-US" w:eastAsia="zh-CN"/>
              </w:rPr>
              <w:t>：</w:t>
            </w:r>
          </w:p>
          <w:p w14:paraId="27E105F0">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1、环境空气保护目标</w:t>
            </w:r>
          </w:p>
          <w:p w14:paraId="620DDB3F">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根据现场调查，项目厂界外500米范围内大气环境保护目标</w:t>
            </w:r>
            <w:r>
              <w:rPr>
                <w:rFonts w:hint="default" w:ascii="Times New Roman" w:hAnsi="Times New Roman" w:cs="Times New Roman"/>
                <w:color w:val="auto"/>
                <w:sz w:val="24"/>
                <w:highlight w:val="none"/>
                <w:lang w:val="en-US" w:eastAsia="zh-CN"/>
              </w:rPr>
              <w:t>分布情况见下表</w:t>
            </w:r>
            <w:r>
              <w:rPr>
                <w:rFonts w:hint="default" w:ascii="Times New Roman" w:hAnsi="Times New Roman" w:cs="Times New Roman"/>
                <w:color w:val="auto"/>
                <w:sz w:val="24"/>
                <w:highlight w:val="none"/>
              </w:rPr>
              <w:t>。</w:t>
            </w:r>
          </w:p>
          <w:p w14:paraId="44DBF511">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 xml:space="preserve">  项目大气环境保护目标</w:t>
            </w:r>
            <w:r>
              <w:rPr>
                <w:rFonts w:hint="default" w:ascii="Times New Roman" w:hAnsi="Times New Roman" w:eastAsia="宋体" w:cs="Times New Roman"/>
                <w:b/>
                <w:bCs/>
                <w:color w:val="auto"/>
                <w:sz w:val="21"/>
                <w:szCs w:val="21"/>
                <w:highlight w:val="none"/>
              </w:rPr>
              <w:t>分布</w:t>
            </w:r>
            <w:r>
              <w:rPr>
                <w:rFonts w:hint="default" w:ascii="Times New Roman" w:hAnsi="Times New Roman" w:eastAsia="宋体" w:cs="Times New Roman"/>
                <w:b/>
                <w:bCs/>
                <w:color w:val="auto"/>
                <w:sz w:val="21"/>
                <w:szCs w:val="21"/>
                <w:highlight w:val="none"/>
                <w:lang w:val="en-US" w:eastAsia="zh-CN"/>
              </w:rPr>
              <w:t>一览表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911"/>
              <w:gridCol w:w="983"/>
              <w:gridCol w:w="1103"/>
              <w:gridCol w:w="1105"/>
              <w:gridCol w:w="858"/>
              <w:gridCol w:w="955"/>
              <w:gridCol w:w="1320"/>
            </w:tblGrid>
            <w:tr w14:paraId="01E1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restart"/>
                  <w:tcBorders>
                    <w:tl2br w:val="nil"/>
                    <w:tr2bl w:val="nil"/>
                  </w:tcBorders>
                  <w:noWrap/>
                  <w:vAlign w:val="center"/>
                </w:tcPr>
                <w:p w14:paraId="10634577">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1137" w:type="pct"/>
                  <w:gridSpan w:val="2"/>
                  <w:tcBorders>
                    <w:tl2br w:val="nil"/>
                    <w:tr2bl w:val="nil"/>
                  </w:tcBorders>
                  <w:noWrap/>
                  <w:vAlign w:val="center"/>
                </w:tcPr>
                <w:p w14:paraId="040E0316">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坐标/m</w:t>
                  </w:r>
                </w:p>
              </w:tc>
              <w:tc>
                <w:tcPr>
                  <w:tcW w:w="662" w:type="pct"/>
                  <w:vMerge w:val="restart"/>
                  <w:tcBorders>
                    <w:tl2br w:val="nil"/>
                    <w:tr2bl w:val="nil"/>
                  </w:tcBorders>
                  <w:noWrap/>
                  <w:vAlign w:val="center"/>
                </w:tcPr>
                <w:p w14:paraId="0A1CE87A">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保护对象</w:t>
                  </w:r>
                </w:p>
              </w:tc>
              <w:tc>
                <w:tcPr>
                  <w:tcW w:w="663" w:type="pct"/>
                  <w:vMerge w:val="restart"/>
                  <w:tcBorders>
                    <w:tl2br w:val="nil"/>
                    <w:tr2bl w:val="nil"/>
                  </w:tcBorders>
                  <w:noWrap/>
                  <w:vAlign w:val="center"/>
                </w:tcPr>
                <w:p w14:paraId="58F8D990">
                  <w:pPr>
                    <w:pStyle w:val="114"/>
                    <w:spacing w:line="240" w:lineRule="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保护</w:t>
                  </w:r>
                  <w:r>
                    <w:rPr>
                      <w:rFonts w:hint="default" w:ascii="Times New Roman" w:hAnsi="Times New Roman" w:eastAsia="宋体" w:cs="Times New Roman"/>
                      <w:b/>
                      <w:bCs/>
                      <w:color w:val="auto"/>
                      <w:sz w:val="21"/>
                      <w:szCs w:val="21"/>
                      <w:highlight w:val="none"/>
                      <w:lang w:val="en-US" w:eastAsia="zh-CN"/>
                    </w:rPr>
                    <w:t>内容</w:t>
                  </w:r>
                </w:p>
              </w:tc>
              <w:tc>
                <w:tcPr>
                  <w:tcW w:w="515" w:type="pct"/>
                  <w:vMerge w:val="restart"/>
                  <w:tcBorders>
                    <w:tl2br w:val="nil"/>
                    <w:tr2bl w:val="nil"/>
                  </w:tcBorders>
                  <w:noWrap/>
                  <w:vAlign w:val="center"/>
                </w:tcPr>
                <w:p w14:paraId="7E1285D7">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环境功能区</w:t>
                  </w:r>
                </w:p>
              </w:tc>
              <w:tc>
                <w:tcPr>
                  <w:tcW w:w="573" w:type="pct"/>
                  <w:vMerge w:val="restart"/>
                  <w:tcBorders>
                    <w:tl2br w:val="nil"/>
                    <w:tr2bl w:val="nil"/>
                  </w:tcBorders>
                  <w:noWrap/>
                  <w:vAlign w:val="center"/>
                </w:tcPr>
                <w:p w14:paraId="0805A775">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相对厂址方位</w:t>
                  </w:r>
                </w:p>
              </w:tc>
              <w:tc>
                <w:tcPr>
                  <w:tcW w:w="789" w:type="pct"/>
                  <w:vMerge w:val="restart"/>
                  <w:tcBorders>
                    <w:tl2br w:val="nil"/>
                    <w:tr2bl w:val="nil"/>
                  </w:tcBorders>
                  <w:noWrap/>
                  <w:vAlign w:val="center"/>
                </w:tcPr>
                <w:p w14:paraId="194B46CD">
                  <w:pPr>
                    <w:pStyle w:val="114"/>
                    <w:spacing w:line="240" w:lineRule="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相对</w:t>
                  </w:r>
                  <w:r>
                    <w:rPr>
                      <w:rFonts w:hint="default" w:ascii="Times New Roman" w:hAnsi="Times New Roman" w:eastAsia="宋体" w:cs="Times New Roman"/>
                      <w:b/>
                      <w:bCs/>
                      <w:color w:val="auto"/>
                      <w:sz w:val="21"/>
                      <w:szCs w:val="21"/>
                      <w:highlight w:val="none"/>
                      <w:lang w:val="en-US" w:eastAsia="zh-CN"/>
                    </w:rPr>
                    <w:t>厂界</w:t>
                  </w:r>
                  <w:r>
                    <w:rPr>
                      <w:rFonts w:hint="default" w:ascii="Times New Roman" w:hAnsi="Times New Roman" w:eastAsia="宋体" w:cs="Times New Roman"/>
                      <w:b/>
                      <w:bCs/>
                      <w:color w:val="auto"/>
                      <w:sz w:val="21"/>
                      <w:szCs w:val="21"/>
                      <w:highlight w:val="none"/>
                    </w:rPr>
                    <w:t>距离</w:t>
                  </w:r>
                  <w:r>
                    <w:rPr>
                      <w:rFonts w:hint="default" w:ascii="Times New Roman" w:hAnsi="Times New Roman" w:eastAsia="宋体" w:cs="Times New Roman"/>
                      <w:b/>
                      <w:bCs/>
                      <w:color w:val="auto"/>
                      <w:sz w:val="21"/>
                      <w:szCs w:val="21"/>
                      <w:highlight w:val="none"/>
                      <w:lang w:val="en-US" w:eastAsia="zh-CN"/>
                    </w:rPr>
                    <w:t>/m</w:t>
                  </w:r>
                </w:p>
              </w:tc>
            </w:tr>
            <w:tr w14:paraId="76BF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continue"/>
                  <w:tcBorders>
                    <w:tl2br w:val="nil"/>
                    <w:tr2bl w:val="nil"/>
                  </w:tcBorders>
                  <w:noWrap/>
                  <w:vAlign w:val="center"/>
                </w:tcPr>
                <w:p w14:paraId="3898EE71">
                  <w:pPr>
                    <w:pStyle w:val="114"/>
                    <w:spacing w:line="240" w:lineRule="auto"/>
                    <w:rPr>
                      <w:rFonts w:hint="default" w:ascii="Times New Roman" w:hAnsi="Times New Roman" w:eastAsia="宋体" w:cs="Times New Roman"/>
                      <w:bCs/>
                      <w:color w:val="auto"/>
                      <w:sz w:val="21"/>
                      <w:szCs w:val="21"/>
                      <w:highlight w:val="none"/>
                    </w:rPr>
                  </w:pPr>
                </w:p>
              </w:tc>
              <w:tc>
                <w:tcPr>
                  <w:tcW w:w="547" w:type="pct"/>
                  <w:tcBorders>
                    <w:tl2br w:val="nil"/>
                    <w:tr2bl w:val="nil"/>
                  </w:tcBorders>
                  <w:noWrap/>
                  <w:vAlign w:val="center"/>
                </w:tcPr>
                <w:p w14:paraId="2D7D5CFF">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X</w:t>
                  </w:r>
                </w:p>
              </w:tc>
              <w:tc>
                <w:tcPr>
                  <w:tcW w:w="590" w:type="pct"/>
                  <w:tcBorders>
                    <w:tl2br w:val="nil"/>
                    <w:tr2bl w:val="nil"/>
                  </w:tcBorders>
                  <w:noWrap/>
                  <w:vAlign w:val="center"/>
                </w:tcPr>
                <w:p w14:paraId="50FC6816">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Y</w:t>
                  </w:r>
                </w:p>
              </w:tc>
              <w:tc>
                <w:tcPr>
                  <w:tcW w:w="662" w:type="pct"/>
                  <w:vMerge w:val="continue"/>
                  <w:tcBorders>
                    <w:tl2br w:val="nil"/>
                    <w:tr2bl w:val="nil"/>
                  </w:tcBorders>
                  <w:noWrap/>
                  <w:vAlign w:val="center"/>
                </w:tcPr>
                <w:p w14:paraId="6003EFBD">
                  <w:pPr>
                    <w:pStyle w:val="114"/>
                    <w:spacing w:line="240" w:lineRule="auto"/>
                    <w:rPr>
                      <w:rFonts w:hint="default" w:ascii="Times New Roman" w:hAnsi="Times New Roman" w:eastAsia="宋体" w:cs="Times New Roman"/>
                      <w:bCs/>
                      <w:color w:val="auto"/>
                      <w:sz w:val="21"/>
                      <w:szCs w:val="21"/>
                      <w:highlight w:val="none"/>
                    </w:rPr>
                  </w:pPr>
                </w:p>
              </w:tc>
              <w:tc>
                <w:tcPr>
                  <w:tcW w:w="663" w:type="pct"/>
                  <w:vMerge w:val="continue"/>
                  <w:tcBorders>
                    <w:tl2br w:val="nil"/>
                    <w:tr2bl w:val="nil"/>
                  </w:tcBorders>
                  <w:noWrap/>
                  <w:vAlign w:val="center"/>
                </w:tcPr>
                <w:p w14:paraId="13C4F349">
                  <w:pPr>
                    <w:pStyle w:val="114"/>
                    <w:spacing w:line="240" w:lineRule="auto"/>
                    <w:rPr>
                      <w:rFonts w:hint="default" w:ascii="Times New Roman" w:hAnsi="Times New Roman" w:eastAsia="宋体" w:cs="Times New Roman"/>
                      <w:bCs/>
                      <w:color w:val="auto"/>
                      <w:sz w:val="21"/>
                      <w:szCs w:val="21"/>
                      <w:highlight w:val="none"/>
                    </w:rPr>
                  </w:pPr>
                </w:p>
              </w:tc>
              <w:tc>
                <w:tcPr>
                  <w:tcW w:w="515" w:type="pct"/>
                  <w:vMerge w:val="continue"/>
                  <w:tcBorders>
                    <w:tl2br w:val="nil"/>
                    <w:tr2bl w:val="nil"/>
                  </w:tcBorders>
                  <w:noWrap/>
                  <w:vAlign w:val="center"/>
                </w:tcPr>
                <w:p w14:paraId="0C118E26">
                  <w:pPr>
                    <w:pStyle w:val="114"/>
                    <w:spacing w:line="240" w:lineRule="auto"/>
                    <w:rPr>
                      <w:rFonts w:hint="default" w:ascii="Times New Roman" w:hAnsi="Times New Roman" w:eastAsia="宋体" w:cs="Times New Roman"/>
                      <w:bCs/>
                      <w:color w:val="auto"/>
                      <w:sz w:val="21"/>
                      <w:szCs w:val="21"/>
                      <w:highlight w:val="none"/>
                    </w:rPr>
                  </w:pPr>
                </w:p>
              </w:tc>
              <w:tc>
                <w:tcPr>
                  <w:tcW w:w="573" w:type="pct"/>
                  <w:vMerge w:val="continue"/>
                  <w:tcBorders>
                    <w:tl2br w:val="nil"/>
                    <w:tr2bl w:val="nil"/>
                  </w:tcBorders>
                  <w:noWrap/>
                  <w:vAlign w:val="center"/>
                </w:tcPr>
                <w:p w14:paraId="6DC8A1DE">
                  <w:pPr>
                    <w:pStyle w:val="114"/>
                    <w:spacing w:line="240" w:lineRule="auto"/>
                    <w:rPr>
                      <w:rFonts w:hint="default" w:ascii="Times New Roman" w:hAnsi="Times New Roman" w:eastAsia="宋体" w:cs="Times New Roman"/>
                      <w:bCs/>
                      <w:color w:val="auto"/>
                      <w:sz w:val="21"/>
                      <w:szCs w:val="21"/>
                      <w:highlight w:val="none"/>
                    </w:rPr>
                  </w:pPr>
                </w:p>
              </w:tc>
              <w:tc>
                <w:tcPr>
                  <w:tcW w:w="789" w:type="pct"/>
                  <w:vMerge w:val="continue"/>
                  <w:tcBorders>
                    <w:tl2br w:val="nil"/>
                    <w:tr2bl w:val="nil"/>
                  </w:tcBorders>
                  <w:noWrap/>
                  <w:vAlign w:val="center"/>
                </w:tcPr>
                <w:p w14:paraId="6C965ADD">
                  <w:pPr>
                    <w:pStyle w:val="114"/>
                    <w:spacing w:line="240" w:lineRule="auto"/>
                    <w:rPr>
                      <w:rFonts w:hint="default" w:ascii="Times New Roman" w:hAnsi="Times New Roman" w:eastAsia="宋体" w:cs="Times New Roman"/>
                      <w:bCs/>
                      <w:color w:val="auto"/>
                      <w:sz w:val="21"/>
                      <w:szCs w:val="21"/>
                      <w:highlight w:val="none"/>
                    </w:rPr>
                  </w:pPr>
                </w:p>
              </w:tc>
            </w:tr>
            <w:tr w14:paraId="68DF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5D9F0AF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王屋小学</w:t>
                  </w:r>
                </w:p>
              </w:tc>
              <w:tc>
                <w:tcPr>
                  <w:tcW w:w="547" w:type="pct"/>
                  <w:tcBorders>
                    <w:tl2br w:val="nil"/>
                    <w:tr2bl w:val="nil"/>
                  </w:tcBorders>
                  <w:noWrap/>
                  <w:vAlign w:val="center"/>
                </w:tcPr>
                <w:p w14:paraId="5BB94E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466.13</w:t>
                  </w:r>
                </w:p>
              </w:tc>
              <w:tc>
                <w:tcPr>
                  <w:tcW w:w="590" w:type="pct"/>
                  <w:tcBorders>
                    <w:tl2br w:val="nil"/>
                    <w:tr2bl w:val="nil"/>
                  </w:tcBorders>
                  <w:noWrap/>
                  <w:vAlign w:val="center"/>
                </w:tcPr>
                <w:p w14:paraId="46D8D6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418.82</w:t>
                  </w:r>
                </w:p>
              </w:tc>
              <w:tc>
                <w:tcPr>
                  <w:tcW w:w="662" w:type="pct"/>
                  <w:tcBorders>
                    <w:tl2br w:val="nil"/>
                    <w:tr2bl w:val="nil"/>
                  </w:tcBorders>
                  <w:noWrap/>
                  <w:vAlign w:val="center"/>
                </w:tcPr>
                <w:p w14:paraId="5BF93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师生</w:t>
                  </w:r>
                </w:p>
              </w:tc>
              <w:tc>
                <w:tcPr>
                  <w:tcW w:w="663" w:type="pct"/>
                  <w:tcBorders>
                    <w:tl2br w:val="nil"/>
                    <w:tr2bl w:val="nil"/>
                  </w:tcBorders>
                  <w:noWrap/>
                  <w:vAlign w:val="center"/>
                </w:tcPr>
                <w:p w14:paraId="20040F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约300人</w:t>
                  </w:r>
                </w:p>
              </w:tc>
              <w:tc>
                <w:tcPr>
                  <w:tcW w:w="515" w:type="pct"/>
                  <w:tcBorders>
                    <w:tl2br w:val="nil"/>
                    <w:tr2bl w:val="nil"/>
                  </w:tcBorders>
                  <w:noWrap/>
                  <w:vAlign w:val="center"/>
                </w:tcPr>
                <w:p w14:paraId="20463FD3">
                  <w:pP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二类</w:t>
                  </w:r>
                  <w:r>
                    <w:rPr>
                      <w:rFonts w:hint="default" w:ascii="Times New Roman" w:hAnsi="Times New Roman" w:eastAsia="宋体" w:cs="Times New Roman"/>
                      <w:bCs/>
                      <w:color w:val="auto"/>
                      <w:sz w:val="21"/>
                      <w:szCs w:val="21"/>
                      <w:highlight w:val="none"/>
                      <w:lang w:val="en-US" w:eastAsia="zh-CN"/>
                    </w:rPr>
                    <w:t>区</w:t>
                  </w:r>
                </w:p>
              </w:tc>
              <w:tc>
                <w:tcPr>
                  <w:tcW w:w="573" w:type="pct"/>
                  <w:tcBorders>
                    <w:tl2br w:val="nil"/>
                    <w:tr2bl w:val="nil"/>
                  </w:tcBorders>
                  <w:noWrap/>
                  <w:vAlign w:val="center"/>
                </w:tcPr>
                <w:p w14:paraId="07F2F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89" w:type="pct"/>
                  <w:tcBorders>
                    <w:tl2br w:val="nil"/>
                    <w:tr2bl w:val="nil"/>
                  </w:tcBorders>
                  <w:noWrap/>
                  <w:vAlign w:val="center"/>
                </w:tcPr>
                <w:p w14:paraId="0D734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377</w:t>
                  </w:r>
                </w:p>
              </w:tc>
            </w:tr>
            <w:tr w14:paraId="6F4C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215889A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村落</w:t>
                  </w:r>
                </w:p>
              </w:tc>
              <w:tc>
                <w:tcPr>
                  <w:tcW w:w="547" w:type="pct"/>
                  <w:tcBorders>
                    <w:tl2br w:val="nil"/>
                    <w:tr2bl w:val="nil"/>
                  </w:tcBorders>
                  <w:noWrap/>
                  <w:vAlign w:val="center"/>
                </w:tcPr>
                <w:p w14:paraId="7EEE9A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2</w:t>
                  </w:r>
                  <w:r>
                    <w:rPr>
                      <w:rFonts w:hint="eastAsia" w:cs="Times New Roman"/>
                      <w:i w:val="0"/>
                      <w:iCs w:val="0"/>
                      <w:color w:val="auto"/>
                      <w:kern w:val="0"/>
                      <w:sz w:val="21"/>
                      <w:szCs w:val="21"/>
                      <w:highlight w:val="none"/>
                      <w:u w:val="none"/>
                      <w:lang w:val="en-US" w:eastAsia="zh-CN" w:bidi="ar"/>
                    </w:rPr>
                    <w:t>97.92</w:t>
                  </w:r>
                </w:p>
              </w:tc>
              <w:tc>
                <w:tcPr>
                  <w:tcW w:w="590" w:type="pct"/>
                  <w:tcBorders>
                    <w:tl2br w:val="nil"/>
                    <w:tr2bl w:val="nil"/>
                  </w:tcBorders>
                  <w:noWrap/>
                  <w:vAlign w:val="center"/>
                </w:tcPr>
                <w:p w14:paraId="73BEF0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431.19</w:t>
                  </w:r>
                </w:p>
              </w:tc>
              <w:tc>
                <w:tcPr>
                  <w:tcW w:w="662" w:type="pct"/>
                  <w:tcBorders>
                    <w:tl2br w:val="nil"/>
                    <w:tr2bl w:val="nil"/>
                  </w:tcBorders>
                  <w:noWrap/>
                  <w:vAlign w:val="center"/>
                </w:tcPr>
                <w:p w14:paraId="3D8750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居民</w:t>
                  </w:r>
                </w:p>
              </w:tc>
              <w:tc>
                <w:tcPr>
                  <w:tcW w:w="663" w:type="pct"/>
                  <w:tcBorders>
                    <w:tl2br w:val="nil"/>
                    <w:tr2bl w:val="nil"/>
                  </w:tcBorders>
                  <w:noWrap/>
                  <w:vAlign w:val="center"/>
                </w:tcPr>
                <w:p w14:paraId="45B0B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约20人</w:t>
                  </w:r>
                </w:p>
              </w:tc>
              <w:tc>
                <w:tcPr>
                  <w:tcW w:w="515" w:type="pct"/>
                  <w:tcBorders>
                    <w:tl2br w:val="nil"/>
                    <w:tr2bl w:val="nil"/>
                  </w:tcBorders>
                  <w:noWrap/>
                  <w:vAlign w:val="center"/>
                </w:tcPr>
                <w:p w14:paraId="0B3FCA67">
                  <w:pPr>
                    <w:spacing w:line="24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二类</w:t>
                  </w:r>
                  <w:r>
                    <w:rPr>
                      <w:rFonts w:hint="default" w:ascii="Times New Roman" w:hAnsi="Times New Roman" w:eastAsia="宋体" w:cs="Times New Roman"/>
                      <w:bCs/>
                      <w:color w:val="auto"/>
                      <w:sz w:val="21"/>
                      <w:szCs w:val="21"/>
                      <w:highlight w:val="none"/>
                      <w:lang w:val="en-US" w:eastAsia="zh-CN"/>
                    </w:rPr>
                    <w:t>区</w:t>
                  </w:r>
                </w:p>
              </w:tc>
              <w:tc>
                <w:tcPr>
                  <w:tcW w:w="573" w:type="pct"/>
                  <w:tcBorders>
                    <w:tl2br w:val="nil"/>
                    <w:tr2bl w:val="nil"/>
                  </w:tcBorders>
                  <w:noWrap/>
                  <w:vAlign w:val="center"/>
                </w:tcPr>
                <w:p w14:paraId="4702CB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89" w:type="pct"/>
                  <w:tcBorders>
                    <w:tl2br w:val="nil"/>
                    <w:tr2bl w:val="nil"/>
                  </w:tcBorders>
                  <w:noWrap/>
                  <w:vAlign w:val="center"/>
                </w:tcPr>
                <w:p w14:paraId="67AE05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464</w:t>
                  </w:r>
                </w:p>
              </w:tc>
            </w:tr>
            <w:tr w14:paraId="5B1C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tcBorders>
                    <w:tl2br w:val="nil"/>
                    <w:tr2bl w:val="nil"/>
                  </w:tcBorders>
                  <w:noWrap/>
                  <w:vAlign w:val="center"/>
                </w:tcPr>
                <w:p w14:paraId="08D0FFA7">
                  <w:pPr>
                    <w:pStyle w:val="43"/>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pacing w:val="-1"/>
                      <w:sz w:val="21"/>
                      <w:szCs w:val="21"/>
                      <w:highlight w:val="none"/>
                    </w:rPr>
                    <w:t>注：以</w:t>
                  </w:r>
                  <w:r>
                    <w:rPr>
                      <w:rFonts w:hint="default" w:ascii="Times New Roman" w:hAnsi="Times New Roman" w:eastAsia="宋体" w:cs="Times New Roman"/>
                      <w:color w:val="auto"/>
                      <w:spacing w:val="-1"/>
                      <w:sz w:val="21"/>
                      <w:szCs w:val="21"/>
                      <w:highlight w:val="none"/>
                      <w:lang w:val="en-US" w:eastAsia="zh-CN"/>
                    </w:rPr>
                    <w:t>厂区</w:t>
                  </w:r>
                  <w:r>
                    <w:rPr>
                      <w:rFonts w:hint="default" w:ascii="Times New Roman" w:hAnsi="Times New Roman" w:eastAsia="宋体" w:cs="Times New Roman"/>
                      <w:color w:val="auto"/>
                      <w:spacing w:val="-1"/>
                      <w:sz w:val="21"/>
                      <w:szCs w:val="21"/>
                      <w:highlight w:val="none"/>
                    </w:rPr>
                    <w:t>的</w:t>
                  </w:r>
                  <w:r>
                    <w:rPr>
                      <w:rFonts w:hint="default" w:ascii="Times New Roman" w:hAnsi="Times New Roman" w:eastAsia="宋体" w:cs="Times New Roman"/>
                      <w:color w:val="auto"/>
                      <w:spacing w:val="-1"/>
                      <w:sz w:val="21"/>
                      <w:szCs w:val="21"/>
                      <w:highlight w:val="none"/>
                      <w:lang w:val="en-US" w:eastAsia="zh-CN"/>
                    </w:rPr>
                    <w:t>坐标（113°24'30.099" E,25°9'23.358" N）</w:t>
                  </w:r>
                  <w:r>
                    <w:rPr>
                      <w:rFonts w:hint="default" w:ascii="Times New Roman" w:hAnsi="Times New Roman" w:eastAsia="宋体" w:cs="Times New Roman"/>
                      <w:color w:val="auto"/>
                      <w:spacing w:val="-1"/>
                      <w:sz w:val="21"/>
                      <w:szCs w:val="21"/>
                      <w:highlight w:val="none"/>
                    </w:rPr>
                    <w:t>为原点（0，0），正东向为X轴正方向、正北向为Y轴正方向建立直角坐标系。</w:t>
                  </w:r>
                </w:p>
              </w:tc>
            </w:tr>
          </w:tbl>
          <w:p w14:paraId="2408362F">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2、地下水环境保护目标</w:t>
            </w:r>
          </w:p>
          <w:p w14:paraId="10242B16">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根据现场调查，项目厂界500米范围内无地下集中式饮用水水源和热水、矿泉水、温泉水等特殊地下水资源。</w:t>
            </w:r>
          </w:p>
          <w:p w14:paraId="34284D8A">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3、声环境保护目标</w:t>
            </w:r>
          </w:p>
          <w:p w14:paraId="06172607">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根据现场调查，</w:t>
            </w:r>
            <w:r>
              <w:rPr>
                <w:rFonts w:hint="eastAsia" w:ascii="Times New Roman" w:hAnsi="Times New Roman" w:cs="Times New Roman"/>
                <w:color w:val="auto"/>
                <w:sz w:val="24"/>
                <w:szCs w:val="24"/>
                <w:highlight w:val="none"/>
                <w:lang w:val="en-US" w:eastAsia="zh-CN"/>
              </w:rPr>
              <w:t>项目污水处理厂及泵站</w:t>
            </w:r>
            <w:r>
              <w:rPr>
                <w:rFonts w:hint="default" w:ascii="Times New Roman" w:hAnsi="Times New Roman" w:cs="Times New Roman"/>
                <w:color w:val="auto"/>
                <w:sz w:val="24"/>
                <w:szCs w:val="24"/>
                <w:highlight w:val="none"/>
              </w:rPr>
              <w:t>厂界50m范围内无声环境保护目标。</w:t>
            </w:r>
          </w:p>
          <w:p w14:paraId="13E3CB72">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4、生态环境保护目标</w:t>
            </w:r>
          </w:p>
          <w:p w14:paraId="54E99F19">
            <w:pPr>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 w:val="24"/>
                <w:szCs w:val="24"/>
                <w:highlight w:val="none"/>
              </w:rPr>
              <w:t>根据对项目所在地的实地勘察，项目用地范围内无生态环境保护目标。</w:t>
            </w:r>
          </w:p>
        </w:tc>
      </w:tr>
      <w:tr w14:paraId="772F8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78" w:type="pct"/>
            <w:noWrap w:val="0"/>
            <w:tcMar>
              <w:left w:w="28" w:type="dxa"/>
              <w:right w:w="28" w:type="dxa"/>
            </w:tcMar>
            <w:vAlign w:val="center"/>
          </w:tcPr>
          <w:p w14:paraId="4F8EF08F">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污染</w:t>
            </w:r>
          </w:p>
          <w:p w14:paraId="2E879F38">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物排</w:t>
            </w:r>
          </w:p>
          <w:p w14:paraId="320D0FD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放控</w:t>
            </w:r>
          </w:p>
          <w:p w14:paraId="42C61871">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制标</w:t>
            </w:r>
          </w:p>
          <w:p w14:paraId="59603B1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准</w:t>
            </w:r>
          </w:p>
        </w:tc>
        <w:tc>
          <w:tcPr>
            <w:tcW w:w="4721" w:type="pct"/>
            <w:noWrap w:val="0"/>
            <w:vAlign w:val="center"/>
          </w:tcPr>
          <w:p w14:paraId="5BBD923A">
            <w:pPr>
              <w:keepNext w:val="0"/>
              <w:keepLines w:val="0"/>
              <w:pageBreakBefore w:val="0"/>
              <w:widowControl w:val="0"/>
              <w:kinsoku/>
              <w:wordWrap/>
              <w:overflowPunct/>
              <w:topLinePunct w:val="0"/>
              <w:autoSpaceDE/>
              <w:autoSpaceDN/>
              <w:bidi w:val="0"/>
              <w:adjustRightInd/>
              <w:snapToGrid/>
              <w:spacing w:line="100" w:lineRule="exact"/>
              <w:ind w:firstLine="422" w:firstLineChars="200"/>
              <w:textAlignment w:val="auto"/>
              <w:rPr>
                <w:rFonts w:hint="default" w:ascii="Times New Roman" w:hAnsi="Times New Roman" w:cs="Times New Roman"/>
                <w:b/>
                <w:color w:val="auto"/>
                <w:szCs w:val="21"/>
                <w:highlight w:val="none"/>
              </w:rPr>
            </w:pPr>
          </w:p>
          <w:p w14:paraId="213A0F39">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1、大气污染物排放标准</w:t>
            </w:r>
          </w:p>
          <w:p w14:paraId="0CCA3F91">
            <w:pPr>
              <w:spacing w:line="360" w:lineRule="auto"/>
              <w:ind w:firstLine="480" w:firstLineChars="200"/>
              <w:rPr>
                <w:rFonts w:hint="eastAsia"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bidi="ar"/>
              </w:rPr>
              <w:t>①</w:t>
            </w:r>
            <w:r>
              <w:rPr>
                <w:rFonts w:hint="eastAsia" w:ascii="Times New Roman" w:hAnsi="Times New Roman" w:eastAsia="宋体" w:cs="Times New Roman"/>
                <w:color w:val="auto"/>
                <w:kern w:val="0"/>
                <w:sz w:val="24"/>
                <w:highlight w:val="none"/>
                <w:lang w:val="en-US" w:eastAsia="zh-CN" w:bidi="ar"/>
              </w:rPr>
              <w:t>切割粉尘、</w:t>
            </w:r>
            <w:r>
              <w:rPr>
                <w:rFonts w:hint="default" w:ascii="Times New Roman" w:hAnsi="Times New Roman" w:eastAsia="宋体" w:cs="Times New Roman"/>
                <w:color w:val="auto"/>
                <w:kern w:val="0"/>
                <w:sz w:val="24"/>
                <w:highlight w:val="none"/>
                <w:lang w:bidi="ar"/>
              </w:rPr>
              <w:t>焊接烟尘</w:t>
            </w:r>
            <w:r>
              <w:rPr>
                <w:rFonts w:hint="eastAsia" w:ascii="Times New Roman" w:hAnsi="Times New Roman" w:eastAsia="宋体" w:cs="Times New Roman"/>
                <w:color w:val="auto"/>
                <w:kern w:val="0"/>
                <w:sz w:val="24"/>
                <w:highlight w:val="none"/>
                <w:lang w:val="en-US" w:eastAsia="zh-CN" w:bidi="ar"/>
              </w:rPr>
              <w:t>以及抛光打磨</w:t>
            </w:r>
            <w:r>
              <w:rPr>
                <w:rFonts w:hint="default" w:ascii="Times New Roman" w:hAnsi="Times New Roman" w:eastAsia="宋体" w:cs="Times New Roman"/>
                <w:color w:val="auto"/>
                <w:kern w:val="0"/>
                <w:sz w:val="24"/>
                <w:highlight w:val="none"/>
                <w:lang w:val="en-US" w:eastAsia="zh-CN" w:bidi="ar"/>
              </w:rPr>
              <w:t>粉尘</w:t>
            </w:r>
          </w:p>
          <w:p w14:paraId="1C8504B2">
            <w:pPr>
              <w:spacing w:line="360" w:lineRule="auto"/>
              <w:ind w:firstLine="480" w:firstLineChars="200"/>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color w:val="auto"/>
                <w:kern w:val="0"/>
                <w:sz w:val="24"/>
                <w:highlight w:val="none"/>
                <w:lang w:bidi="ar"/>
              </w:rPr>
              <w:t>本项目</w:t>
            </w:r>
            <w:r>
              <w:rPr>
                <w:rFonts w:hint="default" w:ascii="Times New Roman" w:hAnsi="Times New Roman" w:eastAsia="宋体" w:cs="Times New Roman"/>
                <w:color w:val="auto"/>
                <w:kern w:val="0"/>
                <w:sz w:val="24"/>
                <w:highlight w:val="none"/>
                <w:lang w:val="en-US" w:eastAsia="zh-CN" w:bidi="ar"/>
              </w:rPr>
              <w:t>抛光打磨工序产生的粉尘厂界颗粒物无组织排放执行</w:t>
            </w:r>
            <w:r>
              <w:rPr>
                <w:rFonts w:hint="default" w:ascii="Times New Roman" w:hAnsi="Times New Roman" w:eastAsia="宋体" w:cs="Times New Roman"/>
                <w:color w:val="auto"/>
                <w:kern w:val="0"/>
                <w:sz w:val="24"/>
                <w:highlight w:val="none"/>
                <w:lang w:bidi="ar"/>
              </w:rPr>
              <w:t>广东省《大气污染物排放限值》（DB44/27-2001）第二时段无组织排放监控浓度限值要求</w:t>
            </w:r>
            <w:r>
              <w:rPr>
                <w:rFonts w:hint="default" w:ascii="Times New Roman" w:hAnsi="Times New Roman" w:eastAsia="宋体" w:cs="Times New Roman"/>
                <w:color w:val="auto"/>
                <w:kern w:val="0"/>
                <w:sz w:val="24"/>
                <w:highlight w:val="none"/>
                <w:lang w:eastAsia="zh-CN" w:bidi="ar"/>
              </w:rPr>
              <w:t>。</w:t>
            </w:r>
          </w:p>
          <w:p w14:paraId="76E3A965">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 xml:space="preserve">  广东省《大气污染物排放限值》</w:t>
            </w:r>
            <w:r>
              <w:rPr>
                <w:rFonts w:hint="default" w:ascii="Times New Roman" w:hAnsi="Times New Roman" w:eastAsia="宋体" w:cs="Times New Roman"/>
                <w:b/>
                <w:bCs/>
                <w:color w:val="auto"/>
                <w:sz w:val="21"/>
                <w:szCs w:val="21"/>
                <w:highlight w:val="none"/>
                <w:lang w:val="en-US" w:eastAsia="zh-CN"/>
              </w:rPr>
              <w:t>（DB44/27-2001）排放限值标准</w:t>
            </w:r>
          </w:p>
          <w:tbl>
            <w:tblPr>
              <w:tblStyle w:val="48"/>
              <w:tblW w:w="83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7"/>
              <w:gridCol w:w="1831"/>
              <w:gridCol w:w="1100"/>
              <w:gridCol w:w="1309"/>
              <w:gridCol w:w="1614"/>
              <w:gridCol w:w="1556"/>
            </w:tblGrid>
            <w:tr w14:paraId="02BE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vMerge w:val="restart"/>
                  <w:tcBorders>
                    <w:top w:val="single" w:color="000000" w:sz="4" w:space="0"/>
                    <w:left w:val="single" w:color="000000" w:sz="4" w:space="0"/>
                    <w:right w:val="single" w:color="000000" w:sz="4" w:space="0"/>
                  </w:tcBorders>
                  <w:noWrap w:val="0"/>
                  <w:vAlign w:val="center"/>
                </w:tcPr>
                <w:p w14:paraId="48FA01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1098" w:type="pct"/>
                  <w:vMerge w:val="restart"/>
                  <w:tcBorders>
                    <w:top w:val="single" w:color="000000" w:sz="4" w:space="0"/>
                    <w:left w:val="single" w:color="000000" w:sz="4" w:space="0"/>
                    <w:right w:val="single" w:color="000000" w:sz="4" w:space="0"/>
                  </w:tcBorders>
                  <w:noWrap w:val="0"/>
                  <w:vAlign w:val="center"/>
                </w:tcPr>
                <w:p w14:paraId="711171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排气</w:t>
                  </w:r>
                  <w:r>
                    <w:rPr>
                      <w:rFonts w:hint="default" w:ascii="Times New Roman" w:hAnsi="Times New Roman" w:cs="Times New Roman"/>
                      <w:b/>
                      <w:bCs/>
                      <w:i w:val="0"/>
                      <w:iCs w:val="0"/>
                      <w:color w:val="auto"/>
                      <w:kern w:val="0"/>
                      <w:sz w:val="21"/>
                      <w:szCs w:val="21"/>
                      <w:highlight w:val="none"/>
                      <w:u w:val="none"/>
                      <w:lang w:val="en-US" w:eastAsia="zh-CN" w:bidi="ar"/>
                    </w:rPr>
                    <w:t>筒</w:t>
                  </w:r>
                  <w:r>
                    <w:rPr>
                      <w:rFonts w:hint="default" w:ascii="Times New Roman" w:hAnsi="Times New Roman" w:eastAsia="宋体" w:cs="Times New Roman"/>
                      <w:b/>
                      <w:bCs/>
                      <w:i w:val="0"/>
                      <w:iCs w:val="0"/>
                      <w:color w:val="auto"/>
                      <w:kern w:val="0"/>
                      <w:sz w:val="21"/>
                      <w:szCs w:val="21"/>
                      <w:highlight w:val="none"/>
                      <w:u w:val="none"/>
                      <w:lang w:val="en-US" w:eastAsia="zh-CN" w:bidi="ar"/>
                    </w:rPr>
                    <w:t>编号</w:t>
                  </w:r>
                </w:p>
              </w:tc>
              <w:tc>
                <w:tcPr>
                  <w:tcW w:w="660" w:type="pct"/>
                  <w:vMerge w:val="restart"/>
                  <w:tcBorders>
                    <w:top w:val="single" w:color="000000" w:sz="4" w:space="0"/>
                    <w:left w:val="single" w:color="000000" w:sz="4" w:space="0"/>
                    <w:right w:val="single" w:color="000000" w:sz="4" w:space="0"/>
                  </w:tcBorders>
                  <w:noWrap w:val="0"/>
                  <w:vAlign w:val="center"/>
                </w:tcPr>
                <w:p w14:paraId="059832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排气</w:t>
                  </w:r>
                  <w:r>
                    <w:rPr>
                      <w:rFonts w:hint="default" w:ascii="Times New Roman" w:hAnsi="Times New Roman" w:cs="Times New Roman"/>
                      <w:b/>
                      <w:bCs/>
                      <w:i w:val="0"/>
                      <w:iCs w:val="0"/>
                      <w:color w:val="auto"/>
                      <w:kern w:val="0"/>
                      <w:sz w:val="21"/>
                      <w:szCs w:val="21"/>
                      <w:highlight w:val="none"/>
                      <w:u w:val="none"/>
                      <w:lang w:val="en-US" w:eastAsia="zh-CN" w:bidi="ar"/>
                    </w:rPr>
                    <w:t>筒</w:t>
                  </w:r>
                  <w:r>
                    <w:rPr>
                      <w:rFonts w:hint="default" w:ascii="Times New Roman" w:hAnsi="Times New Roman" w:eastAsia="宋体" w:cs="Times New Roman"/>
                      <w:b/>
                      <w:bCs/>
                      <w:i w:val="0"/>
                      <w:iCs w:val="0"/>
                      <w:color w:val="auto"/>
                      <w:kern w:val="0"/>
                      <w:sz w:val="21"/>
                      <w:szCs w:val="21"/>
                      <w:highlight w:val="none"/>
                      <w:u w:val="none"/>
                      <w:lang w:val="en-US" w:eastAsia="zh-CN" w:bidi="ar"/>
                    </w:rPr>
                    <w:t>高度/m</w:t>
                  </w:r>
                </w:p>
              </w:tc>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793E48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有组织排放</w:t>
                  </w:r>
                </w:p>
              </w:tc>
              <w:tc>
                <w:tcPr>
                  <w:tcW w:w="930" w:type="pct"/>
                  <w:vMerge w:val="restart"/>
                  <w:tcBorders>
                    <w:top w:val="single" w:color="000000" w:sz="4" w:space="0"/>
                    <w:left w:val="single" w:color="000000" w:sz="4" w:space="0"/>
                    <w:right w:val="single" w:color="000000" w:sz="4" w:space="0"/>
                  </w:tcBorders>
                  <w:noWrap w:val="0"/>
                  <w:vAlign w:val="center"/>
                </w:tcPr>
                <w:p w14:paraId="47D6AB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无组织排放监控浓度限值(mg/m³)</w:t>
                  </w:r>
                </w:p>
              </w:tc>
            </w:tr>
            <w:tr w14:paraId="1A61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jc w:val="center"/>
              </w:trPr>
              <w:tc>
                <w:tcPr>
                  <w:tcW w:w="556" w:type="pct"/>
                  <w:vMerge w:val="continue"/>
                  <w:tcBorders>
                    <w:left w:val="single" w:color="000000" w:sz="4" w:space="0"/>
                    <w:bottom w:val="single" w:color="000000" w:sz="4" w:space="0"/>
                    <w:right w:val="single" w:color="000000" w:sz="4" w:space="0"/>
                  </w:tcBorders>
                  <w:noWrap w:val="0"/>
                  <w:vAlign w:val="center"/>
                </w:tcPr>
                <w:p w14:paraId="41784E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1098" w:type="pct"/>
                  <w:vMerge w:val="continue"/>
                  <w:tcBorders>
                    <w:left w:val="single" w:color="000000" w:sz="4" w:space="0"/>
                    <w:bottom w:val="single" w:color="000000" w:sz="4" w:space="0"/>
                    <w:right w:val="single" w:color="000000" w:sz="4" w:space="0"/>
                  </w:tcBorders>
                  <w:noWrap w:val="0"/>
                  <w:vAlign w:val="center"/>
                </w:tcPr>
                <w:p w14:paraId="02B41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660" w:type="pct"/>
                  <w:vMerge w:val="continue"/>
                  <w:tcBorders>
                    <w:left w:val="single" w:color="000000" w:sz="4" w:space="0"/>
                    <w:bottom w:val="single" w:color="000000" w:sz="4" w:space="0"/>
                    <w:right w:val="single" w:color="000000" w:sz="4" w:space="0"/>
                  </w:tcBorders>
                  <w:noWrap w:val="0"/>
                  <w:vAlign w:val="center"/>
                </w:tcPr>
                <w:p w14:paraId="3AB94C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C914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浓度限值(mg/m³)</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11439F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cs="Times New Roman"/>
                      <w:b/>
                      <w:bCs/>
                      <w:i w:val="0"/>
                      <w:iCs w:val="0"/>
                      <w:color w:val="auto"/>
                      <w:kern w:val="0"/>
                      <w:sz w:val="21"/>
                      <w:szCs w:val="21"/>
                      <w:highlight w:val="none"/>
                      <w:u w:val="none"/>
                      <w:lang w:val="en-US" w:eastAsia="zh-CN" w:bidi="ar"/>
                    </w:rPr>
                    <w:t>排放速率（kg/h）</w:t>
                  </w:r>
                </w:p>
              </w:tc>
              <w:tc>
                <w:tcPr>
                  <w:tcW w:w="930" w:type="pct"/>
                  <w:vMerge w:val="continue"/>
                  <w:tcBorders>
                    <w:left w:val="single" w:color="000000" w:sz="4" w:space="0"/>
                    <w:bottom w:val="single" w:color="000000" w:sz="4" w:space="0"/>
                    <w:right w:val="single" w:color="000000" w:sz="4" w:space="0"/>
                  </w:tcBorders>
                  <w:noWrap w:val="0"/>
                  <w:vAlign w:val="center"/>
                </w:tcPr>
                <w:p w14:paraId="5AEBEA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r>
            <w:tr w14:paraId="2399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tcBorders>
                    <w:top w:val="single" w:color="000000" w:sz="4" w:space="0"/>
                    <w:left w:val="single" w:color="000000" w:sz="4" w:space="0"/>
                    <w:bottom w:val="single" w:color="000000" w:sz="4" w:space="0"/>
                    <w:right w:val="single" w:color="000000" w:sz="4" w:space="0"/>
                  </w:tcBorders>
                  <w:noWrap w:val="0"/>
                  <w:vAlign w:val="center"/>
                </w:tcPr>
                <w:p w14:paraId="26E06A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颗粒物</w:t>
                  </w:r>
                </w:p>
              </w:tc>
              <w:tc>
                <w:tcPr>
                  <w:tcW w:w="1098" w:type="pct"/>
                  <w:tcBorders>
                    <w:top w:val="single" w:color="000000" w:sz="4" w:space="0"/>
                    <w:left w:val="single" w:color="000000" w:sz="4" w:space="0"/>
                    <w:bottom w:val="single" w:color="000000" w:sz="4" w:space="0"/>
                    <w:right w:val="single" w:color="000000" w:sz="4" w:space="0"/>
                  </w:tcBorders>
                  <w:noWrap w:val="0"/>
                  <w:vAlign w:val="center"/>
                </w:tcPr>
                <w:p w14:paraId="78EFA7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cs="Times New Roman"/>
                      <w:b w:val="0"/>
                      <w:bCs w:val="0"/>
                      <w:i w:val="0"/>
                      <w:iCs w:val="0"/>
                      <w:color w:val="auto"/>
                      <w:kern w:val="0"/>
                      <w:sz w:val="21"/>
                      <w:szCs w:val="21"/>
                      <w:highlight w:val="none"/>
                      <w:u w:val="none"/>
                      <w:lang w:val="en-US" w:eastAsia="zh-CN" w:bidi="ar"/>
                    </w:rPr>
                    <w:t>/</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5B2AEA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408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120</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5E01D1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b w:val="0"/>
                      <w:bCs w:val="0"/>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1.45*</w:t>
                  </w:r>
                </w:p>
              </w:tc>
              <w:tc>
                <w:tcPr>
                  <w:tcW w:w="930" w:type="pct"/>
                  <w:tcBorders>
                    <w:top w:val="single" w:color="000000" w:sz="4" w:space="0"/>
                    <w:left w:val="single" w:color="000000" w:sz="4" w:space="0"/>
                    <w:bottom w:val="single" w:color="000000" w:sz="4" w:space="0"/>
                    <w:right w:val="single" w:color="000000" w:sz="4" w:space="0"/>
                  </w:tcBorders>
                  <w:noWrap w:val="0"/>
                  <w:vAlign w:val="center"/>
                </w:tcPr>
                <w:p w14:paraId="55364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1.0</w:t>
                  </w:r>
                </w:p>
              </w:tc>
            </w:tr>
            <w:tr w14:paraId="1BA9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100B5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cs="Times New Roman"/>
                      <w:i w:val="0"/>
                      <w:iCs w:val="0"/>
                      <w:color w:val="auto"/>
                      <w:sz w:val="21"/>
                      <w:szCs w:val="21"/>
                      <w:highlight w:val="none"/>
                      <w:u w:val="none"/>
                      <w:lang w:val="en-US" w:eastAsia="zh-CN"/>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0C7730B6">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kern w:val="0"/>
                <w:sz w:val="24"/>
                <w:highlight w:val="none"/>
                <w:lang w:bidi="ar"/>
              </w:rPr>
            </w:pPr>
          </w:p>
          <w:p w14:paraId="0E7E8B0B">
            <w:pPr>
              <w:spacing w:line="360" w:lineRule="auto"/>
              <w:ind w:firstLine="480" w:firstLineChars="200"/>
              <w:rPr>
                <w:rFonts w:hint="eastAsia" w:ascii="Times New Roman" w:hAnsi="Times New Roman" w:eastAsia="宋体" w:cs="Times New Roman"/>
                <w:color w:val="auto"/>
                <w:kern w:val="0"/>
                <w:sz w:val="24"/>
                <w:highlight w:val="none"/>
                <w:lang w:eastAsia="zh-CN" w:bidi="ar"/>
              </w:rPr>
            </w:pPr>
            <w:r>
              <w:rPr>
                <w:rFonts w:hint="default" w:ascii="Times New Roman" w:hAnsi="Times New Roman" w:eastAsia="宋体" w:cs="Times New Roman"/>
                <w:color w:val="auto"/>
                <w:kern w:val="0"/>
                <w:sz w:val="24"/>
                <w:highlight w:val="none"/>
                <w:lang w:bidi="ar"/>
              </w:rPr>
              <w:t>②</w:t>
            </w:r>
            <w:r>
              <w:rPr>
                <w:rFonts w:hint="eastAsia" w:cs="Times New Roman"/>
                <w:color w:val="auto"/>
                <w:kern w:val="0"/>
                <w:sz w:val="24"/>
                <w:highlight w:val="none"/>
                <w:lang w:val="en-US" w:eastAsia="zh-CN" w:bidi="ar"/>
              </w:rPr>
              <w:t>喷漆</w:t>
            </w:r>
            <w:r>
              <w:rPr>
                <w:rFonts w:hint="default" w:ascii="Times New Roman" w:hAnsi="Times New Roman" w:eastAsia="宋体" w:cs="Times New Roman"/>
                <w:color w:val="auto"/>
                <w:kern w:val="0"/>
                <w:sz w:val="24"/>
                <w:highlight w:val="none"/>
                <w:lang w:bidi="ar"/>
              </w:rPr>
              <w:t>废气</w:t>
            </w:r>
          </w:p>
          <w:p w14:paraId="4A868A44">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kern w:val="0"/>
                <w:sz w:val="24"/>
                <w:szCs w:val="24"/>
                <w:lang w:val="en-US" w:eastAsia="zh-CN" w:bidi="ar"/>
              </w:rPr>
              <w:t>喷</w:t>
            </w:r>
            <w:r>
              <w:rPr>
                <w:rFonts w:hint="eastAsia" w:cs="Times New Roman"/>
                <w:color w:val="auto"/>
                <w:kern w:val="0"/>
                <w:sz w:val="24"/>
                <w:szCs w:val="24"/>
                <w:lang w:val="en-US" w:eastAsia="zh-CN" w:bidi="ar"/>
              </w:rPr>
              <w:t>漆</w:t>
            </w:r>
            <w:r>
              <w:rPr>
                <w:rFonts w:hint="eastAsia" w:ascii="Times New Roman" w:hAnsi="Times New Roman" w:eastAsia="宋体" w:cs="Times New Roman"/>
                <w:color w:val="auto"/>
                <w:sz w:val="24"/>
                <w:szCs w:val="24"/>
                <w:lang w:val="en-US" w:eastAsia="zh-CN"/>
              </w:rPr>
              <w:t>废气通过排气筒</w:t>
            </w:r>
            <w:r>
              <w:rPr>
                <w:rFonts w:hint="eastAsia" w:cs="Times New Roman"/>
                <w:color w:val="auto"/>
                <w:sz w:val="24"/>
                <w:szCs w:val="24"/>
                <w:lang w:val="en-US" w:eastAsia="zh-CN"/>
              </w:rPr>
              <w:t>DA001</w:t>
            </w:r>
            <w:r>
              <w:rPr>
                <w:rFonts w:hint="eastAsia" w:ascii="Times New Roman" w:hAnsi="Times New Roman" w:eastAsia="宋体" w:cs="Times New Roman"/>
                <w:color w:val="auto"/>
                <w:sz w:val="24"/>
                <w:szCs w:val="24"/>
                <w:lang w:val="en-US" w:eastAsia="zh-CN"/>
              </w:rPr>
              <w:t>排放，废气排放因子颗粒物、非甲烷总烃（以NMHC表征）、苯系物（二甲苯统一表征为苯系物）执行</w:t>
            </w:r>
            <w:r>
              <w:rPr>
                <w:rFonts w:hint="default" w:ascii="Times New Roman" w:hAnsi="Times New Roman" w:eastAsia="宋体" w:cs="Times New Roman"/>
                <w:color w:val="auto"/>
                <w:sz w:val="24"/>
                <w:szCs w:val="24"/>
                <w:lang w:val="en-US" w:eastAsia="zh-CN"/>
              </w:rPr>
              <w:t>广东省《固定污染源挥发性有机物综合排放标准》（DB44/2367-2022）中表</w:t>
            </w:r>
            <w:r>
              <w:rPr>
                <w:rFonts w:hint="eastAsia" w:ascii="Times New Roman" w:hAnsi="Times New Roman" w:eastAsia="宋体" w:cs="Times New Roman"/>
                <w:color w:val="auto"/>
                <w:sz w:val="24"/>
                <w:szCs w:val="24"/>
                <w:lang w:val="en-US" w:eastAsia="zh-CN"/>
              </w:rPr>
              <w:t>1挥发性有机物排放限值。</w:t>
            </w:r>
            <w:r>
              <w:rPr>
                <w:rFonts w:hint="default" w:ascii="Times New Roman" w:hAnsi="Times New Roman" w:eastAsia="宋体" w:cs="Times New Roman"/>
                <w:color w:val="auto"/>
                <w:sz w:val="24"/>
                <w:szCs w:val="24"/>
              </w:rPr>
              <w:t>臭气浓度有组织排放执行《恶臭污染物排放标准》（GB14554-93）中表2恶臭污染物排放标准值</w:t>
            </w:r>
            <w:r>
              <w:rPr>
                <w:rFonts w:hint="eastAsia" w:ascii="Times New Roman" w:hAnsi="Times New Roman" w:eastAsia="宋体" w:cs="Times New Roman"/>
                <w:color w:val="auto"/>
                <w:sz w:val="24"/>
                <w:szCs w:val="24"/>
                <w:lang w:eastAsia="zh-CN"/>
              </w:rPr>
              <w:t>。</w:t>
            </w:r>
          </w:p>
          <w:p w14:paraId="27B8431B">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③</w:t>
            </w:r>
            <w:r>
              <w:rPr>
                <w:rFonts w:hint="eastAsia" w:ascii="Times New Roman" w:hAnsi="Times New Roman" w:eastAsia="宋体" w:cs="Times New Roman"/>
                <w:color w:val="auto"/>
                <w:sz w:val="24"/>
                <w:szCs w:val="24"/>
                <w:lang w:val="en-US" w:eastAsia="zh-CN"/>
              </w:rPr>
              <w:t>固化</w:t>
            </w:r>
            <w:r>
              <w:rPr>
                <w:rFonts w:hint="default" w:ascii="Times New Roman" w:hAnsi="Times New Roman" w:eastAsia="宋体" w:cs="Times New Roman"/>
                <w:color w:val="auto"/>
                <w:sz w:val="24"/>
                <w:szCs w:val="24"/>
              </w:rPr>
              <w:t>废气</w:t>
            </w:r>
          </w:p>
          <w:p w14:paraId="0C12C1CF">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vertAlign w:val="baseline"/>
                <w:lang w:val="en-US" w:eastAsia="zh-CN"/>
              </w:rPr>
            </w:pPr>
            <w:r>
              <w:rPr>
                <w:rFonts w:hint="eastAsia" w:cs="Times New Roman"/>
                <w:color w:val="auto"/>
                <w:sz w:val="24"/>
                <w:szCs w:val="24"/>
                <w:lang w:val="en-US" w:eastAsia="zh-CN"/>
              </w:rPr>
              <w:t>固化废气</w:t>
            </w:r>
            <w:r>
              <w:rPr>
                <w:rFonts w:hint="eastAsia" w:ascii="Times New Roman" w:hAnsi="Times New Roman" w:eastAsia="宋体" w:cs="Times New Roman"/>
                <w:color w:val="auto"/>
                <w:sz w:val="24"/>
                <w:szCs w:val="24"/>
                <w:lang w:val="en-US" w:eastAsia="zh-CN"/>
              </w:rPr>
              <w:t>通过排气筒</w:t>
            </w:r>
            <w:r>
              <w:rPr>
                <w:rFonts w:hint="eastAsia" w:cs="Times New Roman"/>
                <w:color w:val="auto"/>
                <w:sz w:val="24"/>
                <w:szCs w:val="24"/>
                <w:lang w:val="en-US" w:eastAsia="zh-CN"/>
              </w:rPr>
              <w:t>DA002</w:t>
            </w:r>
            <w:r>
              <w:rPr>
                <w:rFonts w:hint="eastAsia" w:ascii="Times New Roman" w:hAnsi="Times New Roman" w:eastAsia="宋体" w:cs="Times New Roman"/>
                <w:color w:val="auto"/>
                <w:sz w:val="24"/>
                <w:szCs w:val="24"/>
                <w:lang w:val="en-US" w:eastAsia="zh-CN"/>
              </w:rPr>
              <w:t>排放，废气排放因子</w:t>
            </w:r>
            <w:r>
              <w:rPr>
                <w:rFonts w:hint="default" w:ascii="Times New Roman" w:hAnsi="Times New Roman" w:eastAsia="宋体" w:cs="Times New Roman"/>
                <w:color w:val="auto"/>
                <w:sz w:val="24"/>
                <w:szCs w:val="24"/>
              </w:rPr>
              <w:t>非甲烷总烃、</w:t>
            </w:r>
            <w:r>
              <w:rPr>
                <w:rFonts w:hint="eastAsia" w:ascii="Times New Roman" w:hAnsi="Times New Roman" w:eastAsia="宋体" w:cs="Times New Roman"/>
                <w:color w:val="auto"/>
                <w:sz w:val="24"/>
                <w:szCs w:val="24"/>
                <w:lang w:val="en-US" w:eastAsia="zh-CN"/>
              </w:rPr>
              <w:t>苯系物</w:t>
            </w:r>
            <w:r>
              <w:rPr>
                <w:rFonts w:hint="default" w:ascii="Times New Roman" w:hAnsi="Times New Roman" w:eastAsia="宋体" w:cs="Times New Roman"/>
                <w:color w:val="auto"/>
                <w:sz w:val="24"/>
                <w:szCs w:val="24"/>
              </w:rPr>
              <w:t>有组织排放执行广东省《固定污染源挥发性有机物综合排放标准》（DB44/2367-2022）表1挥发性有机物排放限值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臭气浓度有组织排放执行《恶臭污染物排放标准》（GB14554-93）中表2恶臭污染物排放标准值</w:t>
            </w:r>
            <w:r>
              <w:rPr>
                <w:rFonts w:hint="eastAsia" w:ascii="Times New Roman" w:hAnsi="Times New Roman" w:eastAsia="宋体" w:cs="Times New Roman"/>
                <w:color w:val="auto"/>
                <w:sz w:val="24"/>
                <w:szCs w:val="24"/>
                <w:lang w:eastAsia="zh-CN"/>
              </w:rPr>
              <w:t>。</w:t>
            </w:r>
          </w:p>
          <w:p w14:paraId="2F2D62C7">
            <w:pPr>
              <w:keepNext w:val="0"/>
              <w:keepLines w:val="0"/>
              <w:suppressLineNumbers w:val="0"/>
              <w:tabs>
                <w:tab w:val="left" w:pos="2790"/>
              </w:tabs>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厂界无组织：NMHC</w:t>
            </w:r>
            <w:r>
              <w:rPr>
                <w:rFonts w:hint="eastAsia" w:cs="Times New Roman"/>
                <w:color w:val="auto"/>
                <w:sz w:val="24"/>
                <w:szCs w:val="24"/>
                <w:lang w:eastAsia="zh-CN"/>
              </w:rPr>
              <w:t>、</w:t>
            </w:r>
            <w:r>
              <w:rPr>
                <w:rFonts w:hint="eastAsia" w:cs="Times New Roman"/>
                <w:color w:val="auto"/>
                <w:sz w:val="24"/>
                <w:szCs w:val="24"/>
                <w:lang w:val="en-US" w:eastAsia="zh-CN"/>
              </w:rPr>
              <w:t>颗粒物、苯系物</w:t>
            </w:r>
            <w:r>
              <w:rPr>
                <w:rFonts w:hint="default" w:ascii="Times New Roman" w:hAnsi="Times New Roman" w:eastAsia="宋体" w:cs="Times New Roman"/>
                <w:color w:val="auto"/>
                <w:sz w:val="24"/>
                <w:szCs w:val="24"/>
              </w:rPr>
              <w:t>执行广东省《大气污染物排放限值》（DB44/27-2001）第二时段无组织排放监控浓度限值</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臭气浓度</w:t>
            </w:r>
            <w:r>
              <w:rPr>
                <w:rFonts w:hint="default" w:ascii="Times New Roman" w:hAnsi="Times New Roman" w:eastAsia="宋体" w:cs="Times New Roman"/>
                <w:color w:val="auto"/>
                <w:sz w:val="24"/>
                <w:szCs w:val="24"/>
              </w:rPr>
              <w:t>排放执行《恶臭污染物排放标准》（GB14554-93）中表1恶臭污染物厂界标准值二级新扩改建标准</w:t>
            </w:r>
            <w:r>
              <w:rPr>
                <w:rFonts w:hint="eastAsia" w:ascii="Times New Roman" w:hAnsi="Times New Roman" w:eastAsia="宋体" w:cs="Times New Roman"/>
                <w:color w:val="auto"/>
                <w:sz w:val="24"/>
                <w:szCs w:val="24"/>
                <w:lang w:val="en-US" w:eastAsia="zh-CN"/>
              </w:rPr>
              <w:t>。</w:t>
            </w:r>
          </w:p>
          <w:p w14:paraId="065A8786">
            <w:pPr>
              <w:spacing w:line="360" w:lineRule="auto"/>
              <w:ind w:firstLine="480" w:firstLineChars="200"/>
              <w:rPr>
                <w:rFonts w:hint="eastAsia"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color w:val="auto"/>
                <w:sz w:val="24"/>
                <w:szCs w:val="24"/>
              </w:rPr>
              <w:t>厂区内</w:t>
            </w:r>
            <w:r>
              <w:rPr>
                <w:rFonts w:hint="eastAsia" w:ascii="Times New Roman" w:hAnsi="Times New Roman" w:eastAsia="宋体" w:cs="Times New Roman"/>
                <w:color w:val="auto"/>
                <w:sz w:val="24"/>
                <w:szCs w:val="24"/>
                <w:lang w:val="en-US" w:eastAsia="zh-CN"/>
              </w:rPr>
              <w:t>NMHC</w:t>
            </w:r>
            <w:r>
              <w:rPr>
                <w:rFonts w:hint="default" w:ascii="Times New Roman" w:hAnsi="Times New Roman" w:eastAsia="宋体" w:cs="Times New Roman"/>
                <w:color w:val="auto"/>
                <w:sz w:val="24"/>
                <w:szCs w:val="24"/>
              </w:rPr>
              <w:t>执行广东省《固定污染源挥发性有机物综合排放标准》（DB44/2367-2022）</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表3厂区内VOCs无组织排放限值，具体详见下表</w:t>
            </w:r>
            <w:r>
              <w:rPr>
                <w:rFonts w:hint="eastAsia" w:ascii="Times New Roman" w:hAnsi="Times New Roman" w:eastAsia="宋体" w:cs="Times New Roman"/>
                <w:color w:val="auto"/>
                <w:sz w:val="24"/>
                <w:szCs w:val="24"/>
                <w:lang w:eastAsia="zh-CN"/>
              </w:rPr>
              <w:t>。</w:t>
            </w:r>
          </w:p>
          <w:p w14:paraId="65420FC3">
            <w:pPr>
              <w:numPr>
                <w:ilvl w:val="0"/>
                <w:numId w:val="14"/>
              </w:numPr>
              <w:spacing w:line="240" w:lineRule="auto"/>
              <w:ind w:left="0" w:leftChars="0" w:firstLine="40" w:firstLineChars="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DA001</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01"/>
              <w:gridCol w:w="1645"/>
              <w:gridCol w:w="2509"/>
              <w:gridCol w:w="802"/>
              <w:gridCol w:w="1059"/>
              <w:gridCol w:w="981"/>
            </w:tblGrid>
            <w:tr w14:paraId="23C1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679" w:type="pct"/>
                  <w:noWrap w:val="0"/>
                  <w:vAlign w:val="center"/>
                </w:tcPr>
                <w:p w14:paraId="05DDCF63">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5" w:type="pct"/>
                  <w:noWrap w:val="0"/>
                  <w:vAlign w:val="center"/>
                </w:tcPr>
                <w:p w14:paraId="13879E3B">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7AA38634">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36AD8F62">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3" w:type="pct"/>
                  <w:noWrap w:val="0"/>
                  <w:vAlign w:val="center"/>
                </w:tcPr>
                <w:p w14:paraId="7918ECEB">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043B1158">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5" w:type="pct"/>
                  <w:noWrap w:val="0"/>
                  <w:vAlign w:val="center"/>
                </w:tcPr>
                <w:p w14:paraId="4438F06B">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53558C30">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1E9C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7" w:hRule="atLeast"/>
                <w:jc w:val="center"/>
              </w:trPr>
              <w:tc>
                <w:tcPr>
                  <w:tcW w:w="679" w:type="pct"/>
                  <w:vMerge w:val="restart"/>
                  <w:noWrap w:val="0"/>
                  <w:vAlign w:val="center"/>
                </w:tcPr>
                <w:p w14:paraId="6BE73945">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喷漆</w:t>
                  </w:r>
                </w:p>
              </w:tc>
              <w:tc>
                <w:tcPr>
                  <w:tcW w:w="1015" w:type="pct"/>
                  <w:noWrap w:val="0"/>
                  <w:vAlign w:val="center"/>
                </w:tcPr>
                <w:p w14:paraId="50500408">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颗粒物</w:t>
                  </w:r>
                </w:p>
              </w:tc>
              <w:tc>
                <w:tcPr>
                  <w:tcW w:w="1549" w:type="pct"/>
                  <w:noWrap w:val="0"/>
                  <w:vAlign w:val="center"/>
                </w:tcPr>
                <w:p w14:paraId="1A29207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广东省《大气污染物排放限值》（DB44/27-2001）第二时段</w:t>
                  </w:r>
                  <w:r>
                    <w:rPr>
                      <w:rFonts w:hint="eastAsia" w:ascii="Times New Roman" w:hAnsi="Times New Roman" w:eastAsia="宋体" w:cs="Times New Roman"/>
                      <w:color w:val="auto"/>
                      <w:kern w:val="0"/>
                      <w:sz w:val="21"/>
                      <w:szCs w:val="21"/>
                      <w:highlight w:val="none"/>
                      <w:lang w:val="en-US" w:eastAsia="zh-CN" w:bidi="ar"/>
                    </w:rPr>
                    <w:t>二级</w:t>
                  </w:r>
                  <w:r>
                    <w:rPr>
                      <w:rFonts w:hint="default" w:ascii="Times New Roman" w:hAnsi="Times New Roman" w:eastAsia="宋体" w:cs="Times New Roman"/>
                      <w:color w:val="auto"/>
                      <w:kern w:val="0"/>
                      <w:sz w:val="21"/>
                      <w:szCs w:val="21"/>
                      <w:highlight w:val="none"/>
                      <w:lang w:val="en-US" w:eastAsia="zh-CN" w:bidi="ar"/>
                    </w:rPr>
                    <w:t>排放限值</w:t>
                  </w:r>
                </w:p>
              </w:tc>
              <w:tc>
                <w:tcPr>
                  <w:tcW w:w="495" w:type="pct"/>
                  <w:vMerge w:val="restart"/>
                  <w:noWrap w:val="0"/>
                  <w:vAlign w:val="center"/>
                </w:tcPr>
                <w:p w14:paraId="54C6873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3" w:type="pct"/>
                  <w:noWrap w:val="0"/>
                  <w:vAlign w:val="center"/>
                </w:tcPr>
                <w:p w14:paraId="71293E9F">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w:t>
                  </w:r>
                </w:p>
              </w:tc>
              <w:tc>
                <w:tcPr>
                  <w:tcW w:w="605" w:type="pct"/>
                  <w:noWrap w:val="0"/>
                  <w:vAlign w:val="center"/>
                </w:tcPr>
                <w:p w14:paraId="452F5457">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1.45*</w:t>
                  </w:r>
                </w:p>
              </w:tc>
            </w:tr>
            <w:tr w14:paraId="62AD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679" w:type="pct"/>
                  <w:vMerge w:val="continue"/>
                  <w:noWrap w:val="0"/>
                  <w:vAlign w:val="center"/>
                </w:tcPr>
                <w:p w14:paraId="6A633AE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746249A5">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ascii="Times New Roman" w:hAnsi="Times New Roman" w:eastAsia="宋体" w:cs="Times New Roman"/>
                      <w:color w:val="auto"/>
                      <w:sz w:val="21"/>
                      <w:szCs w:val="21"/>
                      <w:highlight w:val="none"/>
                      <w:lang w:bidi="ar"/>
                    </w:rPr>
                    <w:t>NMHC</w:t>
                  </w:r>
                </w:p>
              </w:tc>
              <w:tc>
                <w:tcPr>
                  <w:tcW w:w="1549" w:type="pct"/>
                  <w:vMerge w:val="restart"/>
                  <w:noWrap w:val="0"/>
                  <w:vAlign w:val="center"/>
                </w:tcPr>
                <w:p w14:paraId="0D5F466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lang w:bidi="ar"/>
                    </w:rPr>
                    <w:t>广东省《固定污染源挥发性有机物综合排放标准》（DB44/2367-2022）表1挥发性有机物排放限值</w:t>
                  </w:r>
                </w:p>
              </w:tc>
              <w:tc>
                <w:tcPr>
                  <w:tcW w:w="495" w:type="pct"/>
                  <w:vMerge w:val="continue"/>
                  <w:noWrap w:val="0"/>
                  <w:vAlign w:val="center"/>
                </w:tcPr>
                <w:p w14:paraId="247DA758">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7172186C">
                  <w:pPr>
                    <w:autoSpaceDE w:val="0"/>
                    <w:autoSpaceDN w:val="0"/>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8</w:t>
                  </w:r>
                  <w:r>
                    <w:rPr>
                      <w:rFonts w:ascii="Times New Roman" w:hAnsi="Times New Roman" w:eastAsia="宋体" w:cs="Times New Roman"/>
                      <w:color w:val="auto"/>
                      <w:sz w:val="21"/>
                      <w:szCs w:val="21"/>
                      <w:highlight w:val="none"/>
                    </w:rPr>
                    <w:t>0</w:t>
                  </w:r>
                </w:p>
              </w:tc>
              <w:tc>
                <w:tcPr>
                  <w:tcW w:w="605" w:type="pct"/>
                  <w:noWrap w:val="0"/>
                  <w:vAlign w:val="center"/>
                </w:tcPr>
                <w:p w14:paraId="7657DF3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49EB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679" w:type="pct"/>
                  <w:vMerge w:val="continue"/>
                  <w:noWrap w:val="0"/>
                  <w:vAlign w:val="center"/>
                </w:tcPr>
                <w:p w14:paraId="231AD6D2">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6B64655F">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苯系物</w:t>
                  </w:r>
                </w:p>
              </w:tc>
              <w:tc>
                <w:tcPr>
                  <w:tcW w:w="1549" w:type="pct"/>
                  <w:vMerge w:val="continue"/>
                  <w:noWrap w:val="0"/>
                  <w:vAlign w:val="center"/>
                </w:tcPr>
                <w:p w14:paraId="6CBAA128">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5C6CF93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5B3273B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40</w:t>
                  </w:r>
                </w:p>
              </w:tc>
              <w:tc>
                <w:tcPr>
                  <w:tcW w:w="605" w:type="pct"/>
                  <w:noWrap w:val="0"/>
                  <w:vAlign w:val="center"/>
                </w:tcPr>
                <w:p w14:paraId="0CA5B80E">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6C98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7" w:hRule="atLeast"/>
                <w:jc w:val="center"/>
              </w:trPr>
              <w:tc>
                <w:tcPr>
                  <w:tcW w:w="679" w:type="pct"/>
                  <w:vMerge w:val="continue"/>
                  <w:noWrap w:val="0"/>
                  <w:vAlign w:val="center"/>
                </w:tcPr>
                <w:p w14:paraId="66925F3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4DFAC45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3CF2BC19">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2897FD2A">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6EDD668C">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5" w:type="pct"/>
                  <w:noWrap w:val="0"/>
                  <w:vAlign w:val="center"/>
                </w:tcPr>
                <w:p w14:paraId="7CA80EEE">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5620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5000" w:type="pct"/>
                  <w:gridSpan w:val="6"/>
                  <w:noWrap w:val="0"/>
                  <w:vAlign w:val="center"/>
                </w:tcPr>
                <w:p w14:paraId="004AED6F">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056AE537">
            <w:pPr>
              <w:numPr>
                <w:ilvl w:val="0"/>
                <w:numId w:val="14"/>
              </w:numPr>
              <w:spacing w:line="240" w:lineRule="auto"/>
              <w:ind w:left="0" w:leftChars="0" w:firstLine="40" w:firstLineChars="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DA002</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635"/>
              <w:gridCol w:w="2496"/>
              <w:gridCol w:w="798"/>
              <w:gridCol w:w="1054"/>
              <w:gridCol w:w="980"/>
            </w:tblGrid>
            <w:tr w14:paraId="1E95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679" w:type="pct"/>
                  <w:noWrap w:val="0"/>
                  <w:vAlign w:val="center"/>
                </w:tcPr>
                <w:p w14:paraId="683A8BDF">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5" w:type="pct"/>
                  <w:noWrap w:val="0"/>
                  <w:vAlign w:val="center"/>
                </w:tcPr>
                <w:p w14:paraId="2A6D98F0">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169B9E51">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4AF26D6D">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4" w:type="pct"/>
                  <w:noWrap w:val="0"/>
                  <w:vAlign w:val="center"/>
                </w:tcPr>
                <w:p w14:paraId="73E4AE4B">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7DD827C2">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5" w:type="pct"/>
                  <w:noWrap w:val="0"/>
                  <w:vAlign w:val="center"/>
                </w:tcPr>
                <w:p w14:paraId="658237E3">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69180A53">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35C3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restart"/>
                  <w:noWrap w:val="0"/>
                  <w:vAlign w:val="center"/>
                </w:tcPr>
                <w:p w14:paraId="2B10F937">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固化</w:t>
                  </w:r>
                  <w:r>
                    <w:rPr>
                      <w:rFonts w:hint="eastAsia" w:ascii="Times New Roman" w:hAnsi="Times New Roman" w:eastAsia="宋体" w:cs="Times New Roman"/>
                      <w:color w:val="auto"/>
                      <w:sz w:val="21"/>
                      <w:szCs w:val="21"/>
                      <w:highlight w:val="none"/>
                      <w:lang w:val="en-US" w:eastAsia="zh-CN"/>
                    </w:rPr>
                    <w:t>烘干</w:t>
                  </w:r>
                </w:p>
              </w:tc>
              <w:tc>
                <w:tcPr>
                  <w:tcW w:w="1015" w:type="pct"/>
                  <w:noWrap w:val="0"/>
                  <w:vAlign w:val="center"/>
                </w:tcPr>
                <w:p w14:paraId="014A9462">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ascii="Times New Roman" w:hAnsi="Times New Roman" w:eastAsia="宋体" w:cs="Times New Roman"/>
                      <w:color w:val="auto"/>
                      <w:sz w:val="21"/>
                      <w:szCs w:val="21"/>
                      <w:highlight w:val="none"/>
                      <w:lang w:bidi="ar"/>
                    </w:rPr>
                    <w:t>NMHC</w:t>
                  </w:r>
                </w:p>
              </w:tc>
              <w:tc>
                <w:tcPr>
                  <w:tcW w:w="1549" w:type="pct"/>
                  <w:vMerge w:val="restart"/>
                  <w:noWrap w:val="0"/>
                  <w:vAlign w:val="center"/>
                </w:tcPr>
                <w:p w14:paraId="771D5DAF">
                  <w:pPr>
                    <w:widowControl/>
                    <w:wordWrap w:val="0"/>
                    <w:topLinePunct/>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lang w:bidi="ar"/>
                    </w:rPr>
                    <w:t>广东省《固定污染源挥发性有机物综合排放标准》（DB44/2367-2022）表1挥发性有机物排放限值；</w:t>
                  </w:r>
                </w:p>
              </w:tc>
              <w:tc>
                <w:tcPr>
                  <w:tcW w:w="495" w:type="pct"/>
                  <w:vMerge w:val="restart"/>
                  <w:noWrap w:val="0"/>
                  <w:vAlign w:val="center"/>
                </w:tcPr>
                <w:p w14:paraId="025A63CF">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4" w:type="pct"/>
                  <w:noWrap w:val="0"/>
                  <w:vAlign w:val="center"/>
                </w:tcPr>
                <w:p w14:paraId="07C1BFB3">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80</w:t>
                  </w:r>
                </w:p>
              </w:tc>
              <w:tc>
                <w:tcPr>
                  <w:tcW w:w="605" w:type="pct"/>
                  <w:noWrap w:val="0"/>
                  <w:vAlign w:val="center"/>
                </w:tcPr>
                <w:p w14:paraId="13BADD20">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35D5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continue"/>
                  <w:noWrap w:val="0"/>
                  <w:vAlign w:val="center"/>
                </w:tcPr>
                <w:p w14:paraId="62AE226E">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22A31ECD">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bidi="ar"/>
                    </w:rPr>
                  </w:pPr>
                  <w:r>
                    <w:rPr>
                      <w:rFonts w:hint="eastAsia" w:cs="Times New Roman"/>
                      <w:color w:val="auto"/>
                      <w:sz w:val="21"/>
                      <w:szCs w:val="21"/>
                      <w:highlight w:val="none"/>
                      <w:lang w:val="en-US" w:eastAsia="zh-CN" w:bidi="ar"/>
                    </w:rPr>
                    <w:t>苯系物</w:t>
                  </w:r>
                </w:p>
              </w:tc>
              <w:tc>
                <w:tcPr>
                  <w:tcW w:w="1549" w:type="pct"/>
                  <w:vMerge w:val="continue"/>
                  <w:noWrap w:val="0"/>
                  <w:vAlign w:val="center"/>
                </w:tcPr>
                <w:p w14:paraId="33B18FAD">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49615715">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66DCB6D7">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c>
                <w:tcPr>
                  <w:tcW w:w="605" w:type="pct"/>
                  <w:noWrap w:val="0"/>
                  <w:vAlign w:val="center"/>
                </w:tcPr>
                <w:p w14:paraId="5B0541BE">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663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79" w:type="pct"/>
                  <w:vMerge w:val="continue"/>
                  <w:noWrap w:val="0"/>
                  <w:vAlign w:val="center"/>
                </w:tcPr>
                <w:p w14:paraId="6ACCBC7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1C35EA8C">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颗粒物</w:t>
                  </w:r>
                </w:p>
              </w:tc>
              <w:tc>
                <w:tcPr>
                  <w:tcW w:w="1549" w:type="pct"/>
                  <w:vMerge w:val="restart"/>
                  <w:noWrap w:val="0"/>
                  <w:vAlign w:val="center"/>
                </w:tcPr>
                <w:p w14:paraId="17F80B09">
                  <w:pPr>
                    <w:autoSpaceDE w:val="0"/>
                    <w:autoSpaceDN w:val="0"/>
                    <w:adjustRightInd w:val="0"/>
                    <w:snapToGrid w:val="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p>
                <w:p w14:paraId="688D8D84">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c>
                <w:tcPr>
                  <w:tcW w:w="495" w:type="pct"/>
                  <w:vMerge w:val="continue"/>
                  <w:noWrap w:val="0"/>
                  <w:vAlign w:val="center"/>
                </w:tcPr>
                <w:p w14:paraId="0CA01A3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03B7C0D3">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30</w:t>
                  </w:r>
                </w:p>
              </w:tc>
              <w:tc>
                <w:tcPr>
                  <w:tcW w:w="605" w:type="pct"/>
                  <w:noWrap w:val="0"/>
                  <w:vAlign w:val="center"/>
                </w:tcPr>
                <w:p w14:paraId="0505720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B44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679" w:type="pct"/>
                  <w:vMerge w:val="continue"/>
                  <w:noWrap w:val="0"/>
                  <w:vAlign w:val="center"/>
                </w:tcPr>
                <w:p w14:paraId="1C904815">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0604CFA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SO</w:t>
                  </w:r>
                  <w:r>
                    <w:rPr>
                      <w:rFonts w:ascii="Times New Roman" w:hAnsi="Times New Roman" w:eastAsia="宋体" w:cs="Times New Roman"/>
                      <w:color w:val="auto"/>
                      <w:sz w:val="21"/>
                      <w:szCs w:val="21"/>
                      <w:highlight w:val="none"/>
                      <w:vertAlign w:val="subscript"/>
                    </w:rPr>
                    <w:t>2</w:t>
                  </w:r>
                </w:p>
              </w:tc>
              <w:tc>
                <w:tcPr>
                  <w:tcW w:w="1549" w:type="pct"/>
                  <w:vMerge w:val="continue"/>
                  <w:noWrap w:val="0"/>
                  <w:vAlign w:val="center"/>
                </w:tcPr>
                <w:p w14:paraId="60B89AEE">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7CDE19C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5AAC067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w:t>
                  </w:r>
                </w:p>
              </w:tc>
              <w:tc>
                <w:tcPr>
                  <w:tcW w:w="605" w:type="pct"/>
                  <w:noWrap w:val="0"/>
                  <w:vAlign w:val="center"/>
                </w:tcPr>
                <w:p w14:paraId="71ED46A2">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FF7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679" w:type="pct"/>
                  <w:vMerge w:val="continue"/>
                  <w:noWrap w:val="0"/>
                  <w:vAlign w:val="center"/>
                </w:tcPr>
                <w:p w14:paraId="5C2650F6">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5861E58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NOx</w:t>
                  </w:r>
                </w:p>
              </w:tc>
              <w:tc>
                <w:tcPr>
                  <w:tcW w:w="1549" w:type="pct"/>
                  <w:vMerge w:val="continue"/>
                  <w:noWrap w:val="0"/>
                  <w:vAlign w:val="center"/>
                </w:tcPr>
                <w:p w14:paraId="2F1C7F23">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40638584">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627CE65F">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605" w:type="pct"/>
                  <w:noWrap w:val="0"/>
                  <w:vAlign w:val="center"/>
                </w:tcPr>
                <w:p w14:paraId="5F94BE7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E02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jc w:val="center"/>
              </w:trPr>
              <w:tc>
                <w:tcPr>
                  <w:tcW w:w="679" w:type="pct"/>
                  <w:vMerge w:val="continue"/>
                  <w:noWrap w:val="0"/>
                  <w:vAlign w:val="center"/>
                </w:tcPr>
                <w:p w14:paraId="037234A6">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089991A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29FB4FAD">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36D9BF7F">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772D9F3F">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5" w:type="pct"/>
                  <w:noWrap w:val="0"/>
                  <w:vAlign w:val="center"/>
                </w:tcPr>
                <w:p w14:paraId="5615F353">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623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00" w:type="pct"/>
                  <w:gridSpan w:val="6"/>
                  <w:noWrap w:val="0"/>
                  <w:vAlign w:val="center"/>
                </w:tcPr>
                <w:p w14:paraId="22A0EE4C">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5550F630">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DA003</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635"/>
              <w:gridCol w:w="2495"/>
              <w:gridCol w:w="798"/>
              <w:gridCol w:w="1054"/>
              <w:gridCol w:w="980"/>
            </w:tblGrid>
            <w:tr w14:paraId="4BC5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678" w:type="pct"/>
                  <w:noWrap w:val="0"/>
                  <w:vAlign w:val="center"/>
                </w:tcPr>
                <w:p w14:paraId="09E439B1">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4" w:type="pct"/>
                  <w:noWrap w:val="0"/>
                  <w:vAlign w:val="center"/>
                </w:tcPr>
                <w:p w14:paraId="29829DAC">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7CAB0B45">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790C4509">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4" w:type="pct"/>
                  <w:noWrap w:val="0"/>
                  <w:vAlign w:val="center"/>
                </w:tcPr>
                <w:p w14:paraId="5C6E03CA">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7CD7F758">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8" w:type="pct"/>
                  <w:noWrap w:val="0"/>
                  <w:vAlign w:val="center"/>
                </w:tcPr>
                <w:p w14:paraId="5D67A6E8">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6444EE75">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3C6E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8" w:type="pct"/>
                  <w:vMerge w:val="restart"/>
                  <w:noWrap w:val="0"/>
                  <w:vAlign w:val="center"/>
                </w:tcPr>
                <w:p w14:paraId="327BCEE8">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w:t>
                  </w:r>
                </w:p>
              </w:tc>
              <w:tc>
                <w:tcPr>
                  <w:tcW w:w="1014" w:type="pct"/>
                  <w:noWrap w:val="0"/>
                  <w:vAlign w:val="center"/>
                </w:tcPr>
                <w:p w14:paraId="756434EA">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hint="eastAsia" w:cs="Times New Roman"/>
                      <w:color w:val="auto"/>
                      <w:sz w:val="21"/>
                      <w:szCs w:val="21"/>
                      <w:highlight w:val="none"/>
                      <w:lang w:val="en-US" w:eastAsia="zh-CN" w:bidi="ar"/>
                    </w:rPr>
                    <w:t>氟化物</w:t>
                  </w:r>
                </w:p>
              </w:tc>
              <w:tc>
                <w:tcPr>
                  <w:tcW w:w="1549" w:type="pct"/>
                  <w:noWrap w:val="0"/>
                  <w:vAlign w:val="center"/>
                </w:tcPr>
                <w:p w14:paraId="430DD2EE">
                  <w:pPr>
                    <w:widowControl/>
                    <w:wordWrap w:val="0"/>
                    <w:topLinePunct/>
                    <w:jc w:val="left"/>
                    <w:rPr>
                      <w:rFonts w:ascii="Times New Roman" w:hAnsi="Times New Roman" w:eastAsia="宋体" w:cs="Times New Roman"/>
                      <w:color w:val="auto"/>
                      <w:spacing w:val="-2"/>
                      <w:sz w:val="21"/>
                      <w:szCs w:val="21"/>
                      <w:highlight w:val="none"/>
                      <w:lang w:val="en-US" w:eastAsia="zh-CN" w:bidi="ar-SA"/>
                    </w:rPr>
                  </w:pPr>
                  <w:r>
                    <w:rPr>
                      <w:rFonts w:hint="eastAsia" w:ascii="Times New Roman" w:hAnsi="Times New Roman" w:eastAsia="宋体" w:cs="Times New Roman"/>
                      <w:color w:val="auto"/>
                      <w:sz w:val="21"/>
                      <w:szCs w:val="21"/>
                      <w:highlight w:val="none"/>
                      <w:lang w:bidi="ar"/>
                    </w:rPr>
                    <w:t>广东省《大气污染物排放限值》（DB44/27-2001）第二时段二级标准</w:t>
                  </w:r>
                </w:p>
              </w:tc>
              <w:tc>
                <w:tcPr>
                  <w:tcW w:w="495" w:type="pct"/>
                  <w:vMerge w:val="restart"/>
                  <w:noWrap w:val="0"/>
                  <w:vAlign w:val="center"/>
                </w:tcPr>
                <w:p w14:paraId="54D2A0E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4" w:type="pct"/>
                  <w:noWrap w:val="0"/>
                  <w:vAlign w:val="center"/>
                </w:tcPr>
                <w:p w14:paraId="60E1327D">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9.0</w:t>
                  </w:r>
                </w:p>
              </w:tc>
              <w:tc>
                <w:tcPr>
                  <w:tcW w:w="608" w:type="pct"/>
                  <w:noWrap w:val="0"/>
                  <w:vAlign w:val="center"/>
                </w:tcPr>
                <w:p w14:paraId="4C59E160">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rPr>
                  </w:pPr>
                  <w:r>
                    <w:rPr>
                      <w:rFonts w:hint="eastAsia"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42</w:t>
                  </w:r>
                </w:p>
              </w:tc>
            </w:tr>
            <w:tr w14:paraId="6BF9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78" w:type="pct"/>
                  <w:vMerge w:val="continue"/>
                  <w:noWrap w:val="0"/>
                  <w:vAlign w:val="center"/>
                </w:tcPr>
                <w:p w14:paraId="4C625674">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38C94E9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颗粒物</w:t>
                  </w:r>
                </w:p>
              </w:tc>
              <w:tc>
                <w:tcPr>
                  <w:tcW w:w="1549" w:type="pct"/>
                  <w:vMerge w:val="restart"/>
                  <w:noWrap w:val="0"/>
                  <w:vAlign w:val="center"/>
                </w:tcPr>
                <w:p w14:paraId="581AB08D">
                  <w:pPr>
                    <w:autoSpaceDE w:val="0"/>
                    <w:autoSpaceDN w:val="0"/>
                    <w:adjustRightInd w:val="0"/>
                    <w:snapToGrid w:val="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p>
                <w:p w14:paraId="1E6DF48F">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c>
                <w:tcPr>
                  <w:tcW w:w="495" w:type="pct"/>
                  <w:vMerge w:val="continue"/>
                  <w:noWrap w:val="0"/>
                  <w:vAlign w:val="center"/>
                </w:tcPr>
                <w:p w14:paraId="0EF2F40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3D75FF2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30</w:t>
                  </w:r>
                </w:p>
              </w:tc>
              <w:tc>
                <w:tcPr>
                  <w:tcW w:w="608" w:type="pct"/>
                  <w:noWrap w:val="0"/>
                  <w:vAlign w:val="center"/>
                </w:tcPr>
                <w:p w14:paraId="474171C1">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513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678" w:type="pct"/>
                  <w:vMerge w:val="continue"/>
                  <w:noWrap w:val="0"/>
                  <w:vAlign w:val="center"/>
                </w:tcPr>
                <w:p w14:paraId="56EE487B">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67B5EEC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SO</w:t>
                  </w:r>
                  <w:r>
                    <w:rPr>
                      <w:rFonts w:ascii="Times New Roman" w:hAnsi="Times New Roman" w:eastAsia="宋体" w:cs="Times New Roman"/>
                      <w:color w:val="auto"/>
                      <w:sz w:val="21"/>
                      <w:szCs w:val="21"/>
                      <w:highlight w:val="none"/>
                      <w:vertAlign w:val="subscript"/>
                    </w:rPr>
                    <w:t>2</w:t>
                  </w:r>
                </w:p>
              </w:tc>
              <w:tc>
                <w:tcPr>
                  <w:tcW w:w="1549" w:type="pct"/>
                  <w:vMerge w:val="continue"/>
                  <w:noWrap w:val="0"/>
                  <w:vAlign w:val="center"/>
                </w:tcPr>
                <w:p w14:paraId="04CD0089">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3FF39D60">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571B87B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w:t>
                  </w:r>
                </w:p>
              </w:tc>
              <w:tc>
                <w:tcPr>
                  <w:tcW w:w="608" w:type="pct"/>
                  <w:noWrap w:val="0"/>
                  <w:vAlign w:val="center"/>
                </w:tcPr>
                <w:p w14:paraId="53F2CEF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B2E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678" w:type="pct"/>
                  <w:vMerge w:val="continue"/>
                  <w:noWrap w:val="0"/>
                  <w:vAlign w:val="center"/>
                </w:tcPr>
                <w:p w14:paraId="7F737A3B">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0288D8D4">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NOx</w:t>
                  </w:r>
                </w:p>
              </w:tc>
              <w:tc>
                <w:tcPr>
                  <w:tcW w:w="1549" w:type="pct"/>
                  <w:vMerge w:val="continue"/>
                  <w:noWrap w:val="0"/>
                  <w:vAlign w:val="center"/>
                </w:tcPr>
                <w:p w14:paraId="7F38F6B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1BBE1C1A">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7F9F326C">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608" w:type="pct"/>
                  <w:noWrap w:val="0"/>
                  <w:vAlign w:val="center"/>
                </w:tcPr>
                <w:p w14:paraId="764C776A">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EAA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jc w:val="center"/>
              </w:trPr>
              <w:tc>
                <w:tcPr>
                  <w:tcW w:w="678" w:type="pct"/>
                  <w:vMerge w:val="continue"/>
                  <w:noWrap w:val="0"/>
                  <w:vAlign w:val="center"/>
                </w:tcPr>
                <w:p w14:paraId="46BF6F89">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5E8244A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33296EA3">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66EA91A7">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3BCD62AD">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8" w:type="pct"/>
                  <w:noWrap w:val="0"/>
                  <w:vAlign w:val="center"/>
                </w:tcPr>
                <w:p w14:paraId="5D93C1B0">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4E69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00" w:type="pct"/>
                  <w:gridSpan w:val="6"/>
                  <w:noWrap w:val="0"/>
                  <w:vAlign w:val="center"/>
                </w:tcPr>
                <w:p w14:paraId="4F4EE819">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663B039B">
            <w:pPr>
              <w:pStyle w:val="2"/>
              <w:rPr>
                <w:rFonts w:hint="default"/>
                <w:color w:val="auto"/>
                <w:lang w:val="en-US" w:eastAsia="zh-CN"/>
              </w:rPr>
            </w:pPr>
          </w:p>
          <w:p w14:paraId="56101925">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cs="Times New Roman"/>
                <w:b/>
                <w:bCs/>
                <w:color w:val="auto"/>
                <w:sz w:val="21"/>
                <w:szCs w:val="21"/>
                <w:highlight w:val="none"/>
                <w:lang w:val="en-US" w:eastAsia="zh-CN"/>
              </w:rPr>
              <w:t>无</w:t>
            </w:r>
            <w:r>
              <w:rPr>
                <w:rFonts w:hint="eastAsia" w:ascii="Times New Roman" w:hAnsi="Times New Roman" w:eastAsia="宋体" w:cs="Times New Roman"/>
                <w:b/>
                <w:color w:val="auto"/>
                <w:kern w:val="2"/>
                <w:sz w:val="21"/>
                <w:szCs w:val="21"/>
                <w:lang w:val="en-US" w:eastAsia="zh-CN" w:bidi="ar-SA"/>
              </w:rPr>
              <w:t>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1"/>
              <w:gridCol w:w="803"/>
              <w:gridCol w:w="1575"/>
              <w:gridCol w:w="1512"/>
              <w:gridCol w:w="786"/>
              <w:gridCol w:w="692"/>
              <w:gridCol w:w="452"/>
            </w:tblGrid>
            <w:tr w14:paraId="2324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7F79F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污染物</w:t>
                  </w:r>
                </w:p>
              </w:tc>
              <w:tc>
                <w:tcPr>
                  <w:tcW w:w="481" w:type="pct"/>
                  <w:tcBorders>
                    <w:tl2br w:val="nil"/>
                    <w:tr2bl w:val="nil"/>
                  </w:tcBorders>
                  <w:noWrap/>
                  <w:tcMar>
                    <w:left w:w="0" w:type="dxa"/>
                    <w:right w:w="0" w:type="dxa"/>
                  </w:tcMar>
                  <w:vAlign w:val="center"/>
                </w:tcPr>
                <w:p w14:paraId="610439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颗粒物</w:t>
                  </w:r>
                </w:p>
              </w:tc>
              <w:tc>
                <w:tcPr>
                  <w:tcW w:w="1852" w:type="pct"/>
                  <w:gridSpan w:val="2"/>
                  <w:tcBorders>
                    <w:tl2br w:val="nil"/>
                    <w:tr2bl w:val="nil"/>
                  </w:tcBorders>
                  <w:noWrap/>
                  <w:vAlign w:val="center"/>
                </w:tcPr>
                <w:p w14:paraId="6E22496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vertAlign w:val="baseline"/>
                      <w:lang w:val="en-US" w:eastAsia="zh-CN"/>
                    </w:rPr>
                  </w:pPr>
                  <w:r>
                    <w:rPr>
                      <w:rFonts w:hint="eastAsia"/>
                      <w:b/>
                      <w:bCs/>
                      <w:color w:val="auto"/>
                      <w:sz w:val="21"/>
                      <w:szCs w:val="21"/>
                      <w:vertAlign w:val="baseline"/>
                      <w:lang w:val="en-US" w:eastAsia="zh-CN"/>
                    </w:rPr>
                    <w:t>非甲烷总烃</w:t>
                  </w:r>
                </w:p>
              </w:tc>
              <w:tc>
                <w:tcPr>
                  <w:tcW w:w="471" w:type="pct"/>
                  <w:tcBorders>
                    <w:tl2br w:val="nil"/>
                    <w:tr2bl w:val="nil"/>
                  </w:tcBorders>
                  <w:noWrap/>
                  <w:vAlign w:val="center"/>
                </w:tcPr>
                <w:p w14:paraId="6C019D0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苯</w:t>
                  </w:r>
                  <w:r>
                    <w:rPr>
                      <w:rFonts w:hint="eastAsia"/>
                      <w:b/>
                      <w:bCs/>
                      <w:color w:val="auto"/>
                      <w:lang w:val="en-US" w:eastAsia="zh-CN"/>
                    </w:rPr>
                    <w:t>系物</w:t>
                  </w:r>
                </w:p>
              </w:tc>
              <w:tc>
                <w:tcPr>
                  <w:tcW w:w="415" w:type="pct"/>
                  <w:tcBorders>
                    <w:tl2br w:val="nil"/>
                    <w:tr2bl w:val="nil"/>
                  </w:tcBorders>
                  <w:noWrap/>
                  <w:vAlign w:val="center"/>
                </w:tcPr>
                <w:p w14:paraId="17C5B32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lang w:val="en-US" w:eastAsia="zh-CN"/>
                    </w:rPr>
                  </w:pPr>
                  <w:r>
                    <w:rPr>
                      <w:rFonts w:hint="eastAsia"/>
                      <w:b/>
                      <w:bCs/>
                      <w:color w:val="auto"/>
                      <w:sz w:val="21"/>
                      <w:szCs w:val="21"/>
                      <w:lang w:val="en-US" w:eastAsia="zh-CN"/>
                    </w:rPr>
                    <w:t>臭气浓度</w:t>
                  </w:r>
                </w:p>
              </w:tc>
              <w:tc>
                <w:tcPr>
                  <w:tcW w:w="271" w:type="pct"/>
                  <w:tcBorders>
                    <w:tl2br w:val="nil"/>
                    <w:tr2bl w:val="nil"/>
                  </w:tcBorders>
                  <w:noWrap/>
                  <w:vAlign w:val="center"/>
                </w:tcPr>
                <w:p w14:paraId="04F920B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氟化物</w:t>
                  </w:r>
                </w:p>
              </w:tc>
            </w:tr>
            <w:tr w14:paraId="6F46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507" w:type="pct"/>
                  <w:vMerge w:val="restart"/>
                  <w:tcBorders>
                    <w:tl2br w:val="nil"/>
                    <w:tr2bl w:val="nil"/>
                  </w:tcBorders>
                  <w:noWrap/>
                  <w:tcMar>
                    <w:left w:w="0" w:type="dxa"/>
                    <w:right w:w="0" w:type="dxa"/>
                  </w:tcMar>
                  <w:vAlign w:val="center"/>
                </w:tcPr>
                <w:p w14:paraId="6B672C65">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default" w:ascii="Times New Roman" w:hAnsi="Times New Roman" w:eastAsia="宋体" w:cs="Times New Roman"/>
                      <w:color w:val="auto"/>
                      <w:sz w:val="21"/>
                      <w:szCs w:val="21"/>
                      <w:lang w:val="en-US" w:eastAsia="zh-CN"/>
                    </w:rPr>
                    <w:t>《固定污染源挥发性有机物综合排放标准》（DB44/2367-2022）中表</w:t>
                  </w:r>
                  <w:r>
                    <w:rPr>
                      <w:rFonts w:hint="eastAsia" w:cs="Times New Roman"/>
                      <w:color w:val="auto"/>
                      <w:sz w:val="21"/>
                      <w:szCs w:val="21"/>
                      <w:lang w:val="en-US" w:eastAsia="zh-CN"/>
                    </w:rPr>
                    <w:t>1挥发性有机物排放限值</w:t>
                  </w:r>
                </w:p>
              </w:tc>
              <w:tc>
                <w:tcPr>
                  <w:tcW w:w="481" w:type="pct"/>
                  <w:vMerge w:val="restart"/>
                  <w:tcBorders>
                    <w:tl2br w:val="nil"/>
                    <w:tr2bl w:val="nil"/>
                  </w:tcBorders>
                  <w:noWrap/>
                  <w:tcMar>
                    <w:left w:w="0" w:type="dxa"/>
                    <w:right w:w="0" w:type="dxa"/>
                  </w:tcMar>
                  <w:vAlign w:val="center"/>
                </w:tcPr>
                <w:p w14:paraId="03BF7B4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w:t>
                  </w:r>
                </w:p>
              </w:tc>
              <w:tc>
                <w:tcPr>
                  <w:tcW w:w="1852" w:type="pct"/>
                  <w:gridSpan w:val="2"/>
                  <w:tcBorders>
                    <w:tl2br w:val="nil"/>
                    <w:tr2bl w:val="nil"/>
                  </w:tcBorders>
                  <w:noWrap/>
                  <w:vAlign w:val="center"/>
                </w:tcPr>
                <w:p w14:paraId="1C4068C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厂内NMHC</w:t>
                  </w:r>
                </w:p>
              </w:tc>
              <w:tc>
                <w:tcPr>
                  <w:tcW w:w="471" w:type="pct"/>
                  <w:vMerge w:val="restart"/>
                  <w:tcBorders>
                    <w:tl2br w:val="nil"/>
                    <w:tr2bl w:val="nil"/>
                  </w:tcBorders>
                  <w:noWrap/>
                  <w:vAlign w:val="center"/>
                </w:tcPr>
                <w:p w14:paraId="141ECC6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w:t>
                  </w:r>
                </w:p>
              </w:tc>
              <w:tc>
                <w:tcPr>
                  <w:tcW w:w="415" w:type="pct"/>
                  <w:vMerge w:val="restart"/>
                  <w:tcBorders>
                    <w:tl2br w:val="nil"/>
                    <w:tr2bl w:val="nil"/>
                  </w:tcBorders>
                  <w:noWrap/>
                  <w:vAlign w:val="center"/>
                </w:tcPr>
                <w:p w14:paraId="64409FC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eastAsia"/>
                      <w:color w:val="auto"/>
                      <w:sz w:val="21"/>
                      <w:szCs w:val="21"/>
                    </w:rPr>
                    <w:t>/</w:t>
                  </w:r>
                </w:p>
              </w:tc>
              <w:tc>
                <w:tcPr>
                  <w:tcW w:w="271" w:type="pct"/>
                  <w:vMerge w:val="restart"/>
                  <w:tcBorders>
                    <w:tl2br w:val="nil"/>
                    <w:tr2bl w:val="nil"/>
                  </w:tcBorders>
                  <w:noWrap/>
                  <w:vAlign w:val="center"/>
                </w:tcPr>
                <w:p w14:paraId="0E44FB6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r>
            <w:tr w14:paraId="467F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07" w:type="pct"/>
                  <w:vMerge w:val="continue"/>
                  <w:tcBorders>
                    <w:tl2br w:val="nil"/>
                    <w:tr2bl w:val="nil"/>
                  </w:tcBorders>
                  <w:noWrap/>
                  <w:tcMar>
                    <w:left w:w="0" w:type="dxa"/>
                    <w:right w:w="0" w:type="dxa"/>
                  </w:tcMar>
                  <w:vAlign w:val="center"/>
                </w:tcPr>
                <w:p w14:paraId="37DC50F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481" w:type="pct"/>
                  <w:vMerge w:val="continue"/>
                  <w:tcBorders>
                    <w:tl2br w:val="nil"/>
                    <w:tr2bl w:val="nil"/>
                  </w:tcBorders>
                  <w:noWrap/>
                  <w:tcMar>
                    <w:left w:w="0" w:type="dxa"/>
                    <w:right w:w="0" w:type="dxa"/>
                  </w:tcMar>
                  <w:vAlign w:val="center"/>
                </w:tcPr>
                <w:p w14:paraId="113DF0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p>
              </w:tc>
              <w:tc>
                <w:tcPr>
                  <w:tcW w:w="945" w:type="pct"/>
                  <w:tcBorders>
                    <w:tl2br w:val="nil"/>
                    <w:tr2bl w:val="nil"/>
                  </w:tcBorders>
                  <w:noWrap/>
                  <w:vAlign w:val="center"/>
                </w:tcPr>
                <w:p w14:paraId="4B7427F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6（</w:t>
                  </w:r>
                  <w:r>
                    <w:rPr>
                      <w:rFonts w:hint="default" w:ascii="Times New Roman" w:hAnsi="Times New Roman" w:eastAsia="宋体" w:cs="Times New Roman"/>
                      <w:color w:val="auto"/>
                      <w:sz w:val="21"/>
                      <w:szCs w:val="21"/>
                    </w:rPr>
                    <w:t>监控点处1h平均浓度值</w:t>
                  </w:r>
                  <w:r>
                    <w:rPr>
                      <w:rFonts w:hint="eastAsia"/>
                      <w:color w:val="auto"/>
                      <w:sz w:val="21"/>
                      <w:szCs w:val="21"/>
                      <w:lang w:val="en-US" w:eastAsia="zh-CN"/>
                    </w:rPr>
                    <w:t>）</w:t>
                  </w:r>
                </w:p>
              </w:tc>
              <w:tc>
                <w:tcPr>
                  <w:tcW w:w="907" w:type="pct"/>
                  <w:tcBorders>
                    <w:tl2br w:val="nil"/>
                    <w:tr2bl w:val="nil"/>
                  </w:tcBorders>
                  <w:noWrap/>
                  <w:vAlign w:val="center"/>
                </w:tcPr>
                <w:p w14:paraId="4190DC6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w:t>
                  </w:r>
                  <w:r>
                    <w:rPr>
                      <w:rFonts w:hint="default" w:ascii="Times New Roman" w:hAnsi="Times New Roman" w:eastAsia="宋体" w:cs="Times New Roman"/>
                      <w:color w:val="auto"/>
                      <w:sz w:val="21"/>
                      <w:szCs w:val="21"/>
                    </w:rPr>
                    <w:t>监控点处任意一次浓度值</w:t>
                  </w:r>
                  <w:r>
                    <w:rPr>
                      <w:rFonts w:hint="eastAsia"/>
                      <w:color w:val="auto"/>
                      <w:sz w:val="21"/>
                      <w:szCs w:val="21"/>
                      <w:lang w:val="en-US" w:eastAsia="zh-CN"/>
                    </w:rPr>
                    <w:t>）</w:t>
                  </w:r>
                </w:p>
              </w:tc>
              <w:tc>
                <w:tcPr>
                  <w:tcW w:w="471" w:type="pct"/>
                  <w:vMerge w:val="continue"/>
                  <w:tcBorders>
                    <w:tl2br w:val="nil"/>
                    <w:tr2bl w:val="nil"/>
                  </w:tcBorders>
                  <w:noWrap/>
                  <w:vAlign w:val="center"/>
                </w:tcPr>
                <w:p w14:paraId="3C9B87A4">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415" w:type="pct"/>
                  <w:vMerge w:val="continue"/>
                  <w:tcBorders>
                    <w:tl2br w:val="nil"/>
                    <w:tr2bl w:val="nil"/>
                  </w:tcBorders>
                  <w:noWrap/>
                  <w:vAlign w:val="center"/>
                </w:tcPr>
                <w:p w14:paraId="6AF67800">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271" w:type="pct"/>
                  <w:vMerge w:val="continue"/>
                  <w:tcBorders>
                    <w:tl2br w:val="nil"/>
                    <w:tr2bl w:val="nil"/>
                  </w:tcBorders>
                  <w:noWrap/>
                  <w:vAlign w:val="center"/>
                </w:tcPr>
                <w:p w14:paraId="0050B40A">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r>
            <w:tr w14:paraId="7B25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452F8E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2"/>
                      <w:sz w:val="21"/>
                      <w:szCs w:val="21"/>
                      <w:highlight w:val="none"/>
                    </w:rPr>
                    <w:t>《恶臭污染物排放标准》（GB14554-93）</w:t>
                  </w:r>
                  <w:r>
                    <w:rPr>
                      <w:rFonts w:hint="default" w:ascii="Times New Roman" w:hAnsi="Times New Roman" w:eastAsia="宋体" w:cs="Times New Roman"/>
                      <w:b w:val="0"/>
                      <w:bCs w:val="0"/>
                      <w:color w:val="auto"/>
                      <w:sz w:val="21"/>
                      <w:szCs w:val="21"/>
                    </w:rPr>
                    <w:t>表1恶臭污染物厂界标准值二级新扩改建标准</w:t>
                  </w:r>
                </w:p>
              </w:tc>
              <w:tc>
                <w:tcPr>
                  <w:tcW w:w="481" w:type="pct"/>
                  <w:tcBorders>
                    <w:tl2br w:val="nil"/>
                    <w:tr2bl w:val="nil"/>
                  </w:tcBorders>
                  <w:noWrap/>
                  <w:tcMar>
                    <w:left w:w="0" w:type="dxa"/>
                    <w:right w:w="0" w:type="dxa"/>
                  </w:tcMar>
                  <w:vAlign w:val="center"/>
                </w:tcPr>
                <w:p w14:paraId="05D2EC0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w:t>
                  </w:r>
                </w:p>
              </w:tc>
              <w:tc>
                <w:tcPr>
                  <w:tcW w:w="1852" w:type="pct"/>
                  <w:gridSpan w:val="2"/>
                  <w:tcBorders>
                    <w:tl2br w:val="nil"/>
                    <w:tr2bl w:val="nil"/>
                  </w:tcBorders>
                  <w:noWrap/>
                  <w:vAlign w:val="center"/>
                </w:tcPr>
                <w:p w14:paraId="25AD600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c>
                <w:tcPr>
                  <w:tcW w:w="471" w:type="pct"/>
                  <w:tcBorders>
                    <w:tl2br w:val="nil"/>
                    <w:tr2bl w:val="nil"/>
                  </w:tcBorders>
                  <w:noWrap/>
                  <w:vAlign w:val="center"/>
                </w:tcPr>
                <w:p w14:paraId="54E847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c>
                <w:tcPr>
                  <w:tcW w:w="415" w:type="pct"/>
                  <w:tcBorders>
                    <w:tl2br w:val="nil"/>
                    <w:tr2bl w:val="nil"/>
                  </w:tcBorders>
                  <w:noWrap/>
                  <w:vAlign w:val="center"/>
                </w:tcPr>
                <w:p w14:paraId="49177B1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w:t>
                  </w:r>
                </w:p>
              </w:tc>
              <w:tc>
                <w:tcPr>
                  <w:tcW w:w="271" w:type="pct"/>
                  <w:tcBorders>
                    <w:tl2br w:val="nil"/>
                    <w:tr2bl w:val="nil"/>
                  </w:tcBorders>
                  <w:noWrap/>
                  <w:vAlign w:val="center"/>
                </w:tcPr>
                <w:p w14:paraId="526D02B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w:t>
                  </w:r>
                </w:p>
              </w:tc>
            </w:tr>
            <w:tr w14:paraId="2A5E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507" w:type="pct"/>
                  <w:tcBorders>
                    <w:tl2br w:val="nil"/>
                    <w:tr2bl w:val="nil"/>
                  </w:tcBorders>
                  <w:noWrap/>
                  <w:tcMar>
                    <w:left w:w="0" w:type="dxa"/>
                    <w:right w:w="0" w:type="dxa"/>
                  </w:tcMar>
                  <w:vAlign w:val="center"/>
                </w:tcPr>
                <w:p w14:paraId="29F4B4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val="0"/>
                      <w:bCs/>
                      <w:color w:val="auto"/>
                      <w:spacing w:val="-2"/>
                      <w:sz w:val="21"/>
                      <w:szCs w:val="21"/>
                      <w:highlight w:val="none"/>
                    </w:rPr>
                  </w:pPr>
                  <w:r>
                    <w:rPr>
                      <w:rFonts w:hint="eastAsia" w:ascii="Times New Roman" w:hAnsi="Times New Roman" w:eastAsia="宋体" w:cs="Times New Roman"/>
                      <w:b w:val="0"/>
                      <w:bCs/>
                      <w:color w:val="auto"/>
                      <w:kern w:val="2"/>
                      <w:sz w:val="21"/>
                      <w:szCs w:val="21"/>
                      <w:lang w:val="en-US" w:eastAsia="zh-CN" w:bidi="ar-SA"/>
                    </w:rPr>
                    <w:t>《大气污染物排放限值》(DB44/27-2001)第二时段无组织排放监控浓度限值</w:t>
                  </w:r>
                </w:p>
              </w:tc>
              <w:tc>
                <w:tcPr>
                  <w:tcW w:w="481" w:type="pct"/>
                  <w:tcBorders>
                    <w:tl2br w:val="nil"/>
                    <w:tr2bl w:val="nil"/>
                  </w:tcBorders>
                  <w:noWrap/>
                  <w:tcMar>
                    <w:left w:w="0" w:type="dxa"/>
                    <w:right w:w="0" w:type="dxa"/>
                  </w:tcMar>
                  <w:vAlign w:val="center"/>
                </w:tcPr>
                <w:p w14:paraId="311D98F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auto"/>
                      <w:sz w:val="21"/>
                      <w:szCs w:val="21"/>
                      <w:lang w:val="en-US" w:eastAsia="zh-CN"/>
                    </w:rPr>
                  </w:pPr>
                  <w:r>
                    <w:rPr>
                      <w:rFonts w:hint="eastAsia"/>
                      <w:b w:val="0"/>
                      <w:bCs/>
                      <w:color w:val="auto"/>
                      <w:sz w:val="21"/>
                      <w:szCs w:val="21"/>
                      <w:lang w:val="en-US" w:eastAsia="zh-CN"/>
                    </w:rPr>
                    <w:t>1.0</w:t>
                  </w:r>
                </w:p>
              </w:tc>
              <w:tc>
                <w:tcPr>
                  <w:tcW w:w="1852" w:type="pct"/>
                  <w:gridSpan w:val="2"/>
                  <w:tcBorders>
                    <w:tl2br w:val="nil"/>
                    <w:tr2bl w:val="nil"/>
                  </w:tcBorders>
                  <w:noWrap/>
                  <w:vAlign w:val="center"/>
                </w:tcPr>
                <w:p w14:paraId="5E3C22E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auto"/>
                      <w:sz w:val="21"/>
                      <w:szCs w:val="21"/>
                      <w:lang w:val="en-US" w:eastAsia="zh-CN"/>
                    </w:rPr>
                  </w:pPr>
                  <w:r>
                    <w:rPr>
                      <w:rFonts w:hint="eastAsia"/>
                      <w:b w:val="0"/>
                      <w:bCs/>
                      <w:color w:val="auto"/>
                      <w:sz w:val="21"/>
                      <w:szCs w:val="21"/>
                      <w:lang w:val="en-US" w:eastAsia="zh-CN"/>
                    </w:rPr>
                    <w:t>4.0</w:t>
                  </w:r>
                </w:p>
              </w:tc>
              <w:tc>
                <w:tcPr>
                  <w:tcW w:w="471" w:type="pct"/>
                  <w:tcBorders>
                    <w:tl2br w:val="nil"/>
                    <w:tr2bl w:val="nil"/>
                  </w:tcBorders>
                  <w:noWrap/>
                  <w:vAlign w:val="center"/>
                </w:tcPr>
                <w:p w14:paraId="1685392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二甲苯1.2</w:t>
                  </w:r>
                </w:p>
              </w:tc>
              <w:tc>
                <w:tcPr>
                  <w:tcW w:w="415" w:type="pct"/>
                  <w:tcBorders>
                    <w:tl2br w:val="nil"/>
                    <w:tr2bl w:val="nil"/>
                  </w:tcBorders>
                  <w:noWrap/>
                  <w:vAlign w:val="center"/>
                </w:tcPr>
                <w:p w14:paraId="239747F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71" w:type="pct"/>
                  <w:tcBorders>
                    <w:tl2br w:val="nil"/>
                    <w:tr2bl w:val="nil"/>
                  </w:tcBorders>
                  <w:noWrap/>
                  <w:vAlign w:val="center"/>
                </w:tcPr>
                <w:p w14:paraId="3E4152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0.02</w:t>
                  </w:r>
                </w:p>
              </w:tc>
            </w:tr>
            <w:tr w14:paraId="1C8E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 w:hRule="atLeast"/>
                <w:jc w:val="center"/>
              </w:trPr>
              <w:tc>
                <w:tcPr>
                  <w:tcW w:w="1507" w:type="pct"/>
                  <w:vMerge w:val="restart"/>
                  <w:tcBorders>
                    <w:tl2br w:val="nil"/>
                    <w:tr2bl w:val="nil"/>
                  </w:tcBorders>
                  <w:noWrap/>
                  <w:tcMar>
                    <w:left w:w="0" w:type="dxa"/>
                    <w:right w:w="0" w:type="dxa"/>
                  </w:tcMar>
                  <w:vAlign w:val="center"/>
                </w:tcPr>
                <w:p w14:paraId="1209621A">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eastAsia"/>
                      <w:color w:val="auto"/>
                      <w:sz w:val="21"/>
                      <w:szCs w:val="21"/>
                      <w:lang w:val="en-US" w:eastAsia="zh-CN"/>
                    </w:rPr>
                    <w:t>本项目</w:t>
                  </w:r>
                  <w:r>
                    <w:rPr>
                      <w:color w:val="auto"/>
                      <w:sz w:val="21"/>
                      <w:szCs w:val="21"/>
                    </w:rPr>
                    <w:t>执行限值</w:t>
                  </w:r>
                </w:p>
              </w:tc>
              <w:tc>
                <w:tcPr>
                  <w:tcW w:w="481" w:type="pct"/>
                  <w:vMerge w:val="restart"/>
                  <w:tcBorders>
                    <w:tl2br w:val="nil"/>
                    <w:tr2bl w:val="nil"/>
                  </w:tcBorders>
                  <w:noWrap/>
                  <w:tcMar>
                    <w:left w:w="0" w:type="dxa"/>
                    <w:right w:w="0" w:type="dxa"/>
                  </w:tcMar>
                  <w:vAlign w:val="center"/>
                </w:tcPr>
                <w:p w14:paraId="32DFE25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1.0</w:t>
                  </w:r>
                </w:p>
              </w:tc>
              <w:tc>
                <w:tcPr>
                  <w:tcW w:w="945" w:type="pct"/>
                  <w:tcBorders>
                    <w:tl2br w:val="nil"/>
                    <w:tr2bl w:val="nil"/>
                  </w:tcBorders>
                  <w:noWrap/>
                  <w:vAlign w:val="center"/>
                </w:tcPr>
                <w:p w14:paraId="6163B58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厂内：6（</w:t>
                  </w:r>
                  <w:r>
                    <w:rPr>
                      <w:rFonts w:hint="default" w:ascii="Times New Roman" w:hAnsi="Times New Roman" w:eastAsia="宋体" w:cs="Times New Roman"/>
                      <w:color w:val="auto"/>
                      <w:sz w:val="21"/>
                      <w:szCs w:val="21"/>
                    </w:rPr>
                    <w:t>监控点处1h平均浓度值</w:t>
                  </w:r>
                  <w:r>
                    <w:rPr>
                      <w:rFonts w:hint="eastAsia"/>
                      <w:color w:val="auto"/>
                      <w:sz w:val="21"/>
                      <w:szCs w:val="21"/>
                      <w:lang w:val="en-US" w:eastAsia="zh-CN"/>
                    </w:rPr>
                    <w:t>）</w:t>
                  </w:r>
                </w:p>
              </w:tc>
              <w:tc>
                <w:tcPr>
                  <w:tcW w:w="907" w:type="pct"/>
                  <w:tcBorders>
                    <w:tl2br w:val="nil"/>
                    <w:tr2bl w:val="nil"/>
                  </w:tcBorders>
                  <w:noWrap/>
                  <w:vAlign w:val="center"/>
                </w:tcPr>
                <w:p w14:paraId="31947B5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厂内：20（</w:t>
                  </w:r>
                  <w:r>
                    <w:rPr>
                      <w:rFonts w:hint="default" w:ascii="Times New Roman" w:hAnsi="Times New Roman" w:eastAsia="宋体" w:cs="Times New Roman"/>
                      <w:color w:val="auto"/>
                      <w:sz w:val="21"/>
                      <w:szCs w:val="21"/>
                    </w:rPr>
                    <w:t>监控点处任意一次浓度值</w:t>
                  </w:r>
                  <w:r>
                    <w:rPr>
                      <w:rFonts w:hint="eastAsia"/>
                      <w:color w:val="auto"/>
                      <w:sz w:val="21"/>
                      <w:szCs w:val="21"/>
                      <w:lang w:val="en-US" w:eastAsia="zh-CN"/>
                    </w:rPr>
                    <w:t>）</w:t>
                  </w:r>
                </w:p>
              </w:tc>
              <w:tc>
                <w:tcPr>
                  <w:tcW w:w="471" w:type="pct"/>
                  <w:vMerge w:val="restart"/>
                  <w:tcBorders>
                    <w:tl2br w:val="nil"/>
                    <w:tr2bl w:val="nil"/>
                  </w:tcBorders>
                  <w:noWrap/>
                  <w:vAlign w:val="center"/>
                </w:tcPr>
                <w:p w14:paraId="0751780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1.2</w:t>
                  </w:r>
                </w:p>
              </w:tc>
              <w:tc>
                <w:tcPr>
                  <w:tcW w:w="415" w:type="pct"/>
                  <w:vMerge w:val="restart"/>
                  <w:tcBorders>
                    <w:tl2br w:val="nil"/>
                    <w:tr2bl w:val="nil"/>
                  </w:tcBorders>
                  <w:noWrap/>
                  <w:vAlign w:val="center"/>
                </w:tcPr>
                <w:p w14:paraId="0094788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20（无量纲）</w:t>
                  </w:r>
                </w:p>
              </w:tc>
              <w:tc>
                <w:tcPr>
                  <w:tcW w:w="271" w:type="pct"/>
                  <w:vMerge w:val="restart"/>
                  <w:tcBorders>
                    <w:tl2br w:val="nil"/>
                    <w:tr2bl w:val="nil"/>
                  </w:tcBorders>
                  <w:noWrap/>
                  <w:vAlign w:val="center"/>
                </w:tcPr>
                <w:p w14:paraId="37A90A9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0.02</w:t>
                  </w:r>
                </w:p>
              </w:tc>
            </w:tr>
            <w:tr w14:paraId="44F4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07" w:type="pct"/>
                  <w:vMerge w:val="continue"/>
                  <w:tcBorders>
                    <w:tl2br w:val="nil"/>
                    <w:tr2bl w:val="nil"/>
                  </w:tcBorders>
                  <w:noWrap/>
                  <w:tcMar>
                    <w:left w:w="0" w:type="dxa"/>
                    <w:right w:w="0" w:type="dxa"/>
                  </w:tcMar>
                  <w:vAlign w:val="center"/>
                </w:tcPr>
                <w:p w14:paraId="4A1061E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481" w:type="pct"/>
                  <w:vMerge w:val="continue"/>
                  <w:tcBorders>
                    <w:tl2br w:val="nil"/>
                    <w:tr2bl w:val="nil"/>
                  </w:tcBorders>
                  <w:noWrap/>
                  <w:tcMar>
                    <w:left w:w="0" w:type="dxa"/>
                    <w:right w:w="0" w:type="dxa"/>
                  </w:tcMar>
                  <w:vAlign w:val="center"/>
                </w:tcPr>
                <w:p w14:paraId="09E9C7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1852" w:type="pct"/>
                  <w:gridSpan w:val="2"/>
                  <w:tcBorders>
                    <w:tl2br w:val="nil"/>
                    <w:tr2bl w:val="nil"/>
                  </w:tcBorders>
                  <w:noWrap/>
                  <w:vAlign w:val="center"/>
                </w:tcPr>
                <w:p w14:paraId="6FC91D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厂界：</w:t>
                  </w:r>
                  <w:r>
                    <w:rPr>
                      <w:rFonts w:hint="eastAsia"/>
                      <w:b w:val="0"/>
                      <w:bCs/>
                      <w:color w:val="auto"/>
                      <w:sz w:val="21"/>
                      <w:szCs w:val="21"/>
                      <w:lang w:val="en-US" w:eastAsia="zh-CN"/>
                    </w:rPr>
                    <w:t>4.0（周界外浓度最高点）</w:t>
                  </w:r>
                </w:p>
              </w:tc>
              <w:tc>
                <w:tcPr>
                  <w:tcW w:w="471" w:type="pct"/>
                  <w:vMerge w:val="continue"/>
                  <w:tcBorders>
                    <w:tl2br w:val="nil"/>
                    <w:tr2bl w:val="nil"/>
                  </w:tcBorders>
                  <w:noWrap/>
                  <w:vAlign w:val="center"/>
                </w:tcPr>
                <w:p w14:paraId="373EFC4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415" w:type="pct"/>
                  <w:vMerge w:val="continue"/>
                  <w:tcBorders>
                    <w:tl2br w:val="nil"/>
                    <w:tr2bl w:val="nil"/>
                  </w:tcBorders>
                  <w:noWrap/>
                  <w:vAlign w:val="center"/>
                </w:tcPr>
                <w:p w14:paraId="7F143D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271" w:type="pct"/>
                  <w:vMerge w:val="continue"/>
                  <w:tcBorders>
                    <w:tl2br w:val="nil"/>
                    <w:tr2bl w:val="nil"/>
                  </w:tcBorders>
                  <w:noWrap/>
                  <w:vAlign w:val="center"/>
                </w:tcPr>
                <w:p w14:paraId="6A42759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r>
          </w:tbl>
          <w:p w14:paraId="4536F276">
            <w:pPr>
              <w:pStyle w:val="2"/>
              <w:rPr>
                <w:rFonts w:hint="default"/>
                <w:color w:val="auto"/>
                <w:lang w:val="en-US" w:eastAsia="zh-CN"/>
              </w:rPr>
            </w:pPr>
          </w:p>
          <w:p w14:paraId="34789723">
            <w:pPr>
              <w:spacing w:line="360" w:lineRule="auto"/>
              <w:ind w:firstLine="482" w:firstLineChars="200"/>
              <w:rPr>
                <w:rFonts w:hint="eastAsia" w:ascii="Times New Roman" w:hAnsi="Times New Roman" w:eastAsia="宋体" w:cs="Times New Roman"/>
                <w:b/>
                <w:bCs/>
                <w:color w:val="auto"/>
                <w:kern w:val="0"/>
                <w:sz w:val="24"/>
                <w:highlight w:val="none"/>
                <w:lang w:val="en-US" w:eastAsia="zh-CN" w:bidi="ar"/>
              </w:rPr>
            </w:pPr>
            <w:r>
              <w:rPr>
                <w:rFonts w:hint="eastAsia" w:cs="Times New Roman"/>
                <w:b/>
                <w:bCs/>
                <w:color w:val="auto"/>
                <w:kern w:val="0"/>
                <w:sz w:val="24"/>
                <w:highlight w:val="none"/>
                <w:lang w:val="en-US" w:eastAsia="zh-CN" w:bidi="ar"/>
              </w:rPr>
              <w:t>④</w:t>
            </w:r>
            <w:r>
              <w:rPr>
                <w:rFonts w:hint="eastAsia" w:ascii="Times New Roman" w:hAnsi="Times New Roman" w:eastAsia="宋体" w:cs="Times New Roman"/>
                <w:b/>
                <w:bCs/>
                <w:color w:val="auto"/>
                <w:kern w:val="0"/>
                <w:sz w:val="24"/>
                <w:highlight w:val="none"/>
                <w:lang w:val="en-US" w:eastAsia="zh-CN" w:bidi="ar"/>
              </w:rPr>
              <w:t>污水处理站恶臭</w:t>
            </w:r>
          </w:p>
          <w:p w14:paraId="5A0FFB57">
            <w:pPr>
              <w:spacing w:line="360" w:lineRule="auto"/>
              <w:ind w:firstLine="480" w:firstLineChars="200"/>
              <w:rPr>
                <w:rFonts w:hint="default" w:ascii="Times New Roman" w:hAnsi="Times New Roman" w:cs="Times New Roman"/>
                <w:b/>
                <w:bCs/>
                <w:color w:val="auto"/>
                <w:sz w:val="21"/>
                <w:szCs w:val="21"/>
                <w:highlight w:val="none"/>
                <w:lang w:val="en-US" w:eastAsia="zh-CN"/>
              </w:rPr>
            </w:pPr>
            <w:r>
              <w:rPr>
                <w:rFonts w:hint="eastAsia" w:ascii="Times New Roman" w:hAnsi="Times New Roman" w:eastAsia="宋体" w:cs="Times New Roman"/>
                <w:color w:val="auto"/>
                <w:kern w:val="0"/>
                <w:sz w:val="24"/>
                <w:highlight w:val="none"/>
                <w:lang w:val="en-US" w:eastAsia="zh-CN" w:bidi="ar"/>
              </w:rPr>
              <w:t>本项目</w:t>
            </w:r>
            <w:r>
              <w:rPr>
                <w:rFonts w:hint="default" w:ascii="Times New Roman" w:hAnsi="Times New Roman" w:eastAsia="宋体" w:cs="Times New Roman"/>
                <w:color w:val="auto"/>
                <w:kern w:val="0"/>
                <w:sz w:val="24"/>
                <w:highlight w:val="none"/>
                <w:lang w:val="en-US" w:eastAsia="zh-CN" w:bidi="ar"/>
              </w:rPr>
              <w:t>厂界氨气、硫化氢、臭气浓度排放浓度执行《恶臭污染物排放标准》（GB14554-93）中表1二级标准中“新改扩建”限值要求。</w:t>
            </w:r>
          </w:p>
          <w:p w14:paraId="2C3898D7">
            <w:pPr>
              <w:numPr>
                <w:ilvl w:val="0"/>
                <w:numId w:val="14"/>
              </w:numPr>
              <w:spacing w:line="240" w:lineRule="auto"/>
              <w:ind w:left="0" w:leftChars="0" w:firstLine="40" w:firstLineChars="0"/>
              <w:jc w:val="center"/>
              <w:rPr>
                <w:rFonts w:hint="default" w:cs="Times New Roman"/>
                <w:color w:val="auto"/>
                <w:highlight w:val="no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污水处理站恶臭排放标准（单位：mg/m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bl>
            <w:tblPr>
              <w:tblStyle w:val="4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3"/>
              <w:gridCol w:w="1625"/>
              <w:gridCol w:w="1898"/>
              <w:gridCol w:w="3152"/>
            </w:tblGrid>
            <w:tr w14:paraId="32C9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657900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污染物类别</w:t>
                  </w:r>
                </w:p>
              </w:tc>
              <w:tc>
                <w:tcPr>
                  <w:tcW w:w="974" w:type="pct"/>
                  <w:tcBorders>
                    <w:top w:val="single" w:color="000000" w:sz="4" w:space="0"/>
                    <w:left w:val="single" w:color="000000" w:sz="4" w:space="0"/>
                    <w:bottom w:val="single" w:color="000000" w:sz="4" w:space="0"/>
                    <w:right w:val="single" w:color="000000" w:sz="4" w:space="0"/>
                  </w:tcBorders>
                  <w:noWrap w:val="0"/>
                  <w:vAlign w:val="center"/>
                </w:tcPr>
                <w:p w14:paraId="3518A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位置</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ED4FA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污染因子</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361A49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无组织排放限值</w:t>
                  </w:r>
                </w:p>
              </w:tc>
            </w:tr>
            <w:tr w14:paraId="2628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EC3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恶臭污染物</w:t>
                  </w:r>
                </w:p>
              </w:tc>
              <w:tc>
                <w:tcPr>
                  <w:tcW w:w="9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472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厂界</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0A1CA2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氨</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766A09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r>
            <w:tr w14:paraId="7233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5A1FB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17B9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569D5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硫化氢</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2593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r>
            <w:tr w14:paraId="2EFBD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8B5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4C9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77B7C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臭气浓度</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CB4D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20（无量纲）</w:t>
                  </w:r>
                </w:p>
              </w:tc>
            </w:tr>
          </w:tbl>
          <w:p w14:paraId="4A0055A5">
            <w:pPr>
              <w:spacing w:line="120" w:lineRule="auto"/>
              <w:rPr>
                <w:rFonts w:hint="default" w:ascii="Times New Roman" w:hAnsi="Times New Roman" w:cs="Times New Roman"/>
                <w:color w:val="auto"/>
                <w:sz w:val="20"/>
                <w:szCs w:val="20"/>
                <w:highlight w:val="none"/>
              </w:rPr>
            </w:pPr>
          </w:p>
          <w:p w14:paraId="4253A943">
            <w:pPr>
              <w:spacing w:line="360" w:lineRule="auto"/>
              <w:ind w:firstLine="482" w:firstLineChars="200"/>
              <w:rPr>
                <w:rFonts w:hint="default" w:ascii="Times New Roman" w:hAnsi="Times New Roman" w:eastAsia="宋体" w:cs="Times New Roman"/>
                <w:b/>
                <w:bCs/>
                <w:color w:val="auto"/>
                <w:kern w:val="0"/>
                <w:sz w:val="24"/>
                <w:highlight w:val="none"/>
                <w:lang w:val="en-US" w:eastAsia="zh-CN" w:bidi="ar"/>
              </w:rPr>
            </w:pPr>
            <w:r>
              <w:rPr>
                <w:rFonts w:hint="eastAsia" w:cs="Times New Roman"/>
                <w:b/>
                <w:bCs/>
                <w:color w:val="auto"/>
                <w:kern w:val="0"/>
                <w:sz w:val="24"/>
                <w:highlight w:val="none"/>
                <w:lang w:val="en-US" w:eastAsia="zh-CN" w:bidi="ar"/>
              </w:rPr>
              <w:t>⑤</w:t>
            </w:r>
            <w:r>
              <w:rPr>
                <w:rFonts w:hint="default" w:ascii="Times New Roman" w:hAnsi="Times New Roman" w:eastAsia="宋体" w:cs="Times New Roman"/>
                <w:b/>
                <w:bCs/>
                <w:color w:val="auto"/>
                <w:kern w:val="0"/>
                <w:sz w:val="24"/>
                <w:highlight w:val="none"/>
                <w:lang w:val="en-US" w:eastAsia="zh-CN" w:bidi="ar"/>
              </w:rPr>
              <w:t>食堂油烟</w:t>
            </w:r>
          </w:p>
          <w:p w14:paraId="5E11A4D1">
            <w:pPr>
              <w:spacing w:line="360" w:lineRule="auto"/>
              <w:ind w:firstLine="480" w:firstLineChars="200"/>
              <w:rPr>
                <w:rFonts w:hint="default" w:ascii="Times New Roman" w:hAnsi="Times New Roman" w:cs="Times New Roman"/>
                <w:b/>
                <w:bCs/>
                <w:color w:val="auto"/>
                <w:sz w:val="21"/>
                <w:szCs w:val="21"/>
                <w:highlight w:val="none"/>
              </w:rPr>
            </w:pPr>
            <w:r>
              <w:rPr>
                <w:rFonts w:hint="default" w:ascii="Times New Roman" w:hAnsi="Times New Roman" w:eastAsia="宋体" w:cs="Times New Roman"/>
                <w:color w:val="auto"/>
                <w:kern w:val="0"/>
                <w:sz w:val="24"/>
                <w:highlight w:val="none"/>
                <w:lang w:val="en-US" w:eastAsia="zh-CN" w:bidi="ar"/>
              </w:rPr>
              <w:t>执行《饮食业油烟排放标准（试行）》（GB 18483-2001）</w:t>
            </w:r>
            <w:r>
              <w:rPr>
                <w:rFonts w:hint="eastAsia" w:cs="Times New Roman"/>
                <w:color w:val="auto"/>
                <w:kern w:val="0"/>
                <w:sz w:val="24"/>
                <w:highlight w:val="none"/>
                <w:lang w:val="en-US" w:eastAsia="zh-CN" w:bidi="ar"/>
              </w:rPr>
              <w:t>中型标准</w:t>
            </w:r>
            <w:r>
              <w:rPr>
                <w:rFonts w:hint="default" w:ascii="Times New Roman" w:hAnsi="Times New Roman" w:eastAsia="宋体" w:cs="Times New Roman"/>
                <w:color w:val="auto"/>
                <w:kern w:val="0"/>
                <w:sz w:val="24"/>
                <w:highlight w:val="none"/>
                <w:lang w:val="en-US" w:eastAsia="zh-CN" w:bidi="ar"/>
              </w:rPr>
              <w:t>。</w:t>
            </w:r>
          </w:p>
          <w:p w14:paraId="1B94CC7E">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eastAsia="宋体" w:cs="Times New Roman"/>
                <w:b/>
                <w:color w:val="auto"/>
                <w:kern w:val="2"/>
                <w:sz w:val="21"/>
                <w:szCs w:val="21"/>
                <w:highlight w:val="none"/>
                <w:lang w:val="en-US" w:eastAsia="zh-CN" w:bidi="ar-SA"/>
              </w:rPr>
              <w:t>饮食业油烟排放标准</w:t>
            </w:r>
          </w:p>
          <w:p w14:paraId="0C1DA991">
            <w:pPr>
              <w:keepNext w:val="0"/>
              <w:keepLines w:val="0"/>
              <w:pageBreakBefore w:val="0"/>
              <w:widowControl w:val="0"/>
              <w:bidi w:val="0"/>
              <w:spacing w:line="26" w:lineRule="exact"/>
              <w:rPr>
                <w:rFonts w:hint="default" w:ascii="Times New Roman" w:hAnsi="Times New Roman" w:eastAsia="宋体" w:cs="Times New Roman"/>
                <w:color w:val="auto"/>
                <w:sz w:val="21"/>
                <w:szCs w:val="21"/>
                <w:highlight w:val="none"/>
              </w:rPr>
            </w:pPr>
          </w:p>
          <w:tbl>
            <w:tblPr>
              <w:tblStyle w:val="132"/>
              <w:tblW w:w="501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93"/>
              <w:gridCol w:w="1951"/>
              <w:gridCol w:w="1801"/>
              <w:gridCol w:w="1513"/>
            </w:tblGrid>
            <w:tr w14:paraId="63C43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29EFD576">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规模</w:t>
                  </w:r>
                </w:p>
              </w:tc>
              <w:tc>
                <w:tcPr>
                  <w:tcW w:w="1167" w:type="pct"/>
                  <w:noWrap w:val="0"/>
                  <w:vAlign w:val="center"/>
                </w:tcPr>
                <w:p w14:paraId="3F1EDE55">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1"/>
                      <w:sz w:val="21"/>
                      <w:szCs w:val="21"/>
                      <w:highlight w:val="none"/>
                    </w:rPr>
                    <w:t>小型</w:t>
                  </w:r>
                </w:p>
              </w:tc>
              <w:tc>
                <w:tcPr>
                  <w:tcW w:w="1077" w:type="pct"/>
                  <w:noWrap w:val="0"/>
                  <w:vAlign w:val="center"/>
                </w:tcPr>
                <w:p w14:paraId="1D0FBE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6"/>
                      <w:sz w:val="21"/>
                      <w:szCs w:val="21"/>
                      <w:highlight w:val="none"/>
                    </w:rPr>
                    <w:t>中型</w:t>
                  </w:r>
                </w:p>
              </w:tc>
              <w:tc>
                <w:tcPr>
                  <w:tcW w:w="904" w:type="pct"/>
                  <w:noWrap w:val="0"/>
                  <w:vAlign w:val="center"/>
                </w:tcPr>
                <w:p w14:paraId="56803D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2"/>
                      <w:sz w:val="21"/>
                      <w:szCs w:val="21"/>
                      <w:highlight w:val="none"/>
                    </w:rPr>
                    <w:t>大型</w:t>
                  </w:r>
                </w:p>
              </w:tc>
            </w:tr>
            <w:tr w14:paraId="57DAF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1DC23223">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8"/>
                      <w:sz w:val="21"/>
                      <w:szCs w:val="21"/>
                      <w:highlight w:val="none"/>
                    </w:rPr>
                    <w:t>基准灶头数</w:t>
                  </w:r>
                </w:p>
              </w:tc>
              <w:tc>
                <w:tcPr>
                  <w:tcW w:w="1167" w:type="pct"/>
                  <w:noWrap w:val="0"/>
                  <w:vAlign w:val="center"/>
                </w:tcPr>
                <w:p w14:paraId="0745C08D">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pacing w:val="-22"/>
                      <w:sz w:val="21"/>
                      <w:szCs w:val="21"/>
                      <w:highlight w:val="none"/>
                      <w:lang w:eastAsia="zh-CN"/>
                    </w:rPr>
                    <w:t>，</w:t>
                  </w:r>
                  <w:r>
                    <w:rPr>
                      <w:rFonts w:hint="default" w:ascii="Times New Roman" w:hAnsi="Times New Roman" w:eastAsia="宋体" w:cs="Times New Roman"/>
                      <w:color w:val="auto"/>
                      <w:sz w:val="21"/>
                      <w:szCs w:val="21"/>
                      <w:highlight w:val="none"/>
                    </w:rPr>
                    <w:t>&lt;3</w:t>
                  </w:r>
                </w:p>
              </w:tc>
              <w:tc>
                <w:tcPr>
                  <w:tcW w:w="1077" w:type="pct"/>
                  <w:noWrap w:val="0"/>
                  <w:vAlign w:val="center"/>
                </w:tcPr>
                <w:p w14:paraId="4AAE662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≥3</w:t>
                  </w:r>
                  <w:r>
                    <w:rPr>
                      <w:rFonts w:hint="default" w:ascii="Times New Roman" w:hAnsi="Times New Roman" w:eastAsia="宋体" w:cs="Times New Roman"/>
                      <w:b/>
                      <w:bCs/>
                      <w:color w:val="auto"/>
                      <w:spacing w:val="-24"/>
                      <w:sz w:val="21"/>
                      <w:szCs w:val="21"/>
                      <w:highlight w:val="none"/>
                      <w:lang w:eastAsia="zh-CN"/>
                    </w:rPr>
                    <w:t>，</w:t>
                  </w:r>
                  <w:r>
                    <w:rPr>
                      <w:rFonts w:hint="default" w:ascii="Times New Roman" w:hAnsi="Times New Roman" w:eastAsia="宋体" w:cs="Times New Roman"/>
                      <w:b/>
                      <w:bCs/>
                      <w:color w:val="auto"/>
                      <w:sz w:val="21"/>
                      <w:szCs w:val="21"/>
                      <w:highlight w:val="none"/>
                    </w:rPr>
                    <w:t>&lt;6</w:t>
                  </w:r>
                </w:p>
              </w:tc>
              <w:tc>
                <w:tcPr>
                  <w:tcW w:w="904" w:type="pct"/>
                  <w:noWrap w:val="0"/>
                  <w:vAlign w:val="center"/>
                </w:tcPr>
                <w:p w14:paraId="10C18F56">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≥6</w:t>
                  </w:r>
                </w:p>
              </w:tc>
            </w:tr>
            <w:tr w14:paraId="7FA05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34C01E">
                  <w:pPr>
                    <w:pStyle w:val="136"/>
                    <w:keepNext w:val="0"/>
                    <w:keepLines w:val="0"/>
                    <w:pageBreakBefore w:val="0"/>
                    <w:widowControl w:val="0"/>
                    <w:bidi w:val="0"/>
                    <w:spacing w:before="0" w:line="240" w:lineRule="auto"/>
                    <w:ind w:left="0" w:leftChars="0"/>
                    <w:jc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spacing w:val="8"/>
                      <w:sz w:val="21"/>
                      <w:szCs w:val="21"/>
                      <w:highlight w:val="none"/>
                    </w:rPr>
                    <w:t>最高允许排放浓度（</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pacing w:val="8"/>
                      <w:sz w:val="21"/>
                      <w:szCs w:val="21"/>
                      <w:highlight w:val="none"/>
                    </w:rPr>
                    <w:t>/</w:t>
                  </w:r>
                  <w:r>
                    <w:rPr>
                      <w:rFonts w:hint="default" w:ascii="Times New Roman" w:hAnsi="Times New Roman" w:eastAsia="宋体" w:cs="Times New Roman"/>
                      <w:b w:val="0"/>
                      <w:bCs w:val="0"/>
                      <w:color w:val="auto"/>
                      <w:sz w:val="21"/>
                      <w:szCs w:val="21"/>
                      <w:highlight w:val="none"/>
                      <w:lang w:val="en-US" w:bidi="ar"/>
                    </w:rPr>
                    <w:t>m</w:t>
                  </w:r>
                  <w:r>
                    <w:rPr>
                      <w:rFonts w:hint="default" w:ascii="Times New Roman" w:hAnsi="Times New Roman" w:eastAsia="宋体" w:cs="Times New Roman"/>
                      <w:b w:val="0"/>
                      <w:bCs w:val="0"/>
                      <w:color w:val="auto"/>
                      <w:sz w:val="21"/>
                      <w:szCs w:val="21"/>
                      <w:highlight w:val="none"/>
                      <w:vertAlign w:val="superscript"/>
                      <w:lang w:val="en-US" w:bidi="ar"/>
                    </w:rPr>
                    <w:t>3</w:t>
                  </w:r>
                  <w:r>
                    <w:rPr>
                      <w:rFonts w:hint="default" w:ascii="Times New Roman" w:hAnsi="Times New Roman" w:eastAsia="宋体" w:cs="Times New Roman"/>
                      <w:color w:val="auto"/>
                      <w:spacing w:val="8"/>
                      <w:sz w:val="21"/>
                      <w:szCs w:val="21"/>
                      <w:highlight w:val="none"/>
                    </w:rPr>
                    <w:t>）</w:t>
                  </w:r>
                </w:p>
              </w:tc>
              <w:tc>
                <w:tcPr>
                  <w:tcW w:w="3149" w:type="pct"/>
                  <w:gridSpan w:val="3"/>
                  <w:noWrap w:val="0"/>
                  <w:vAlign w:val="center"/>
                </w:tcPr>
                <w:p w14:paraId="5A880670">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3"/>
                      <w:sz w:val="21"/>
                      <w:szCs w:val="21"/>
                      <w:highlight w:val="none"/>
                    </w:rPr>
                  </w:pPr>
                  <w:r>
                    <w:rPr>
                      <w:rFonts w:hint="default" w:ascii="Times New Roman" w:hAnsi="Times New Roman" w:eastAsia="宋体" w:cs="Times New Roman"/>
                      <w:b/>
                      <w:bCs/>
                      <w:color w:val="auto"/>
                      <w:spacing w:val="2"/>
                      <w:sz w:val="21"/>
                      <w:szCs w:val="21"/>
                      <w:highlight w:val="none"/>
                    </w:rPr>
                    <w:t>2.0</w:t>
                  </w:r>
                </w:p>
              </w:tc>
            </w:tr>
            <w:tr w14:paraId="67BAF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2A8A88">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净化设施最低去除效率（%）</w:t>
                  </w:r>
                </w:p>
              </w:tc>
              <w:tc>
                <w:tcPr>
                  <w:tcW w:w="1167" w:type="pct"/>
                  <w:noWrap w:val="0"/>
                  <w:vAlign w:val="center"/>
                </w:tcPr>
                <w:p w14:paraId="00A0411F">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1077" w:type="pct"/>
                  <w:noWrap w:val="0"/>
                  <w:vAlign w:val="center"/>
                </w:tcPr>
                <w:p w14:paraId="00637BB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75</w:t>
                  </w:r>
                </w:p>
              </w:tc>
              <w:tc>
                <w:tcPr>
                  <w:tcW w:w="904" w:type="pct"/>
                  <w:noWrap w:val="0"/>
                  <w:vAlign w:val="center"/>
                </w:tcPr>
                <w:p w14:paraId="0D92B098">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3"/>
                      <w:sz w:val="21"/>
                      <w:szCs w:val="21"/>
                      <w:highlight w:val="none"/>
                      <w:lang w:val="en-US" w:eastAsia="zh-CN"/>
                    </w:rPr>
                  </w:pPr>
                  <w:r>
                    <w:rPr>
                      <w:rFonts w:hint="eastAsia" w:ascii="Times New Roman" w:hAnsi="Times New Roman" w:eastAsia="宋体" w:cs="Times New Roman"/>
                      <w:color w:val="auto"/>
                      <w:spacing w:val="3"/>
                      <w:sz w:val="21"/>
                      <w:szCs w:val="21"/>
                      <w:highlight w:val="none"/>
                      <w:lang w:val="en-US" w:eastAsia="zh-CN"/>
                    </w:rPr>
                    <w:t>85</w:t>
                  </w:r>
                </w:p>
              </w:tc>
            </w:tr>
          </w:tbl>
          <w:p w14:paraId="464B709F">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kern w:val="0"/>
                <w:sz w:val="24"/>
                <w:highlight w:val="none"/>
                <w:lang w:val="en-US" w:eastAsia="zh-CN" w:bidi="ar"/>
              </w:rPr>
            </w:pPr>
          </w:p>
          <w:p w14:paraId="3148896F">
            <w:pPr>
              <w:spacing w:line="360" w:lineRule="auto"/>
              <w:ind w:firstLine="482" w:firstLineChars="200"/>
              <w:rPr>
                <w:rFonts w:hint="default" w:ascii="Times New Roman" w:hAnsi="Times New Roman" w:cs="Times New Roman"/>
                <w:color w:val="auto"/>
                <w:kern w:val="0"/>
                <w:sz w:val="24"/>
                <w:highlight w:val="none"/>
              </w:rPr>
            </w:pPr>
            <w:r>
              <w:rPr>
                <w:rFonts w:hint="default" w:ascii="Times New Roman" w:hAnsi="Times New Roman" w:cs="Times New Roman"/>
                <w:b/>
                <w:color w:val="auto"/>
                <w:sz w:val="24"/>
                <w:highlight w:val="none"/>
              </w:rPr>
              <w:t>2、</w:t>
            </w:r>
            <w:r>
              <w:rPr>
                <w:rFonts w:hint="default" w:ascii="Times New Roman" w:hAnsi="Times New Roman" w:cs="Times New Roman"/>
                <w:b/>
                <w:bCs/>
                <w:color w:val="auto"/>
                <w:sz w:val="24"/>
                <w:highlight w:val="none"/>
              </w:rPr>
              <w:t>水污染物排放标准</w:t>
            </w:r>
          </w:p>
          <w:p w14:paraId="5F1555E9">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auto"/>
                <w:kern w:val="0"/>
                <w:sz w:val="24"/>
                <w:szCs w:val="21"/>
                <w:highlight w:val="none"/>
                <w:lang w:val="en-US" w:eastAsia="zh-CN" w:bidi="ar-SA"/>
              </w:rPr>
            </w:pPr>
            <w:r>
              <w:rPr>
                <w:rFonts w:hint="default" w:ascii="Times New Roman" w:hAnsi="Times New Roman" w:eastAsia="宋体" w:cs="Times New Roman"/>
                <w:snapToGrid w:val="0"/>
                <w:color w:val="auto"/>
                <w:kern w:val="0"/>
                <w:sz w:val="24"/>
                <w:szCs w:val="21"/>
                <w:highlight w:val="none"/>
                <w:lang w:val="en-US" w:eastAsia="zh-CN" w:bidi="ar-SA"/>
              </w:rPr>
              <w:t>本项目运营期废水主要为员工生活污水</w:t>
            </w:r>
            <w:r>
              <w:rPr>
                <w:rFonts w:hint="eastAsia"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前处理废水</w:t>
            </w:r>
            <w:r>
              <w:rPr>
                <w:rFonts w:hint="eastAsia" w:cs="Times New Roman"/>
                <w:snapToGrid w:val="0"/>
                <w:color w:val="auto"/>
                <w:kern w:val="0"/>
                <w:sz w:val="24"/>
                <w:szCs w:val="21"/>
                <w:highlight w:val="none"/>
                <w:lang w:val="en-US" w:eastAsia="zh-CN" w:bidi="ar-SA"/>
              </w:rPr>
              <w:t>、水帘柜废水和喷淋废水</w:t>
            </w:r>
            <w:r>
              <w:rPr>
                <w:rFonts w:hint="default" w:ascii="Times New Roman" w:hAnsi="Times New Roman" w:eastAsia="宋体" w:cs="Times New Roman"/>
                <w:snapToGrid w:val="0"/>
                <w:color w:val="auto"/>
                <w:kern w:val="0"/>
                <w:sz w:val="24"/>
                <w:szCs w:val="21"/>
                <w:highlight w:val="none"/>
                <w:lang w:val="en-US" w:eastAsia="zh-CN" w:bidi="ar-SA"/>
              </w:rPr>
              <w:t>。</w:t>
            </w:r>
          </w:p>
          <w:p w14:paraId="4733D4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auto"/>
                <w:kern w:val="0"/>
                <w:sz w:val="24"/>
                <w:szCs w:val="21"/>
                <w:highlight w:val="none"/>
                <w:lang w:val="en-US" w:eastAsia="zh-CN" w:bidi="ar-SA"/>
              </w:rPr>
            </w:pPr>
            <w:r>
              <w:rPr>
                <w:rFonts w:hint="default" w:ascii="Times New Roman" w:hAnsi="Times New Roman" w:cs="Times New Roman"/>
                <w:color w:val="auto"/>
                <w:sz w:val="24"/>
                <w:szCs w:val="24"/>
                <w:highlight w:val="none"/>
                <w:lang w:val="en-US" w:eastAsia="zh-CN"/>
              </w:rPr>
              <w:t>生活污水经“三级化粪池+隔油隔渣池”处理达到广东省地方标准《水污染物排放限值》（DB44/26-2001）第二时段三级标准</w:t>
            </w:r>
            <w:r>
              <w:rPr>
                <w:rFonts w:hint="eastAsia" w:ascii="Times New Roman" w:hAnsi="Times New Roman" w:cs="Times New Roman"/>
                <w:color w:val="auto"/>
                <w:sz w:val="24"/>
                <w:szCs w:val="24"/>
                <w:highlight w:val="none"/>
                <w:lang w:val="en-US" w:eastAsia="zh-CN"/>
              </w:rPr>
              <w:t>以及</w:t>
            </w:r>
            <w:r>
              <w:rPr>
                <w:rFonts w:hint="default" w:ascii="Times New Roman" w:hAnsi="Times New Roman" w:cs="Times New Roman"/>
                <w:color w:val="auto"/>
                <w:sz w:val="24"/>
                <w:szCs w:val="24"/>
                <w:highlight w:val="none"/>
                <w:lang w:val="en-US" w:eastAsia="zh-CN"/>
              </w:rPr>
              <w:t>园区污水处理厂接管水质要求</w:t>
            </w:r>
            <w:r>
              <w:rPr>
                <w:rFonts w:hint="eastAsia" w:ascii="Times New Roman" w:hAnsi="Times New Roman" w:cs="Times New Roman"/>
                <w:color w:val="auto"/>
                <w:sz w:val="24"/>
                <w:szCs w:val="24"/>
                <w:highlight w:val="none"/>
                <w:lang w:val="en-US" w:eastAsia="zh-CN"/>
              </w:rPr>
              <w:t>两</w:t>
            </w:r>
            <w:r>
              <w:rPr>
                <w:rFonts w:hint="default" w:ascii="Times New Roman" w:hAnsi="Times New Roman" w:cs="Times New Roman"/>
                <w:color w:val="auto"/>
                <w:sz w:val="24"/>
                <w:szCs w:val="24"/>
                <w:highlight w:val="none"/>
                <w:lang w:val="en-US" w:eastAsia="zh-CN"/>
              </w:rPr>
              <w:t>者较严值后，</w:t>
            </w:r>
            <w:r>
              <w:rPr>
                <w:rFonts w:hint="default" w:ascii="Times New Roman" w:hAnsi="Times New Roman" w:cs="Times New Roman"/>
                <w:color w:val="auto"/>
                <w:sz w:val="24"/>
                <w:szCs w:val="24"/>
                <w:highlight w:val="none"/>
              </w:rPr>
              <w:t>排入园区污水处理厂处理</w:t>
            </w:r>
            <w:r>
              <w:rPr>
                <w:rFonts w:hint="eastAsia" w:ascii="Times New Roman" w:hAnsi="Times New Roman" w:eastAsia="宋体"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根据《电镀水污染物排放标准》（DB44/1597-2015），钝化工艺属于化学转移膜类，适用电镀行业标准，根据标准“4.2.7 企业（含电镀专业园区）向公共污水处理系统排放废水时，总铬、六价铬、总镍、总镉、总银、总铅、总汞等第一类污染物执行表 1、表 2 相应的排放限值；pH 排放限值为 6～9，其他污染物的排放不超过本标准现有项目相应排放限值的200%。”，</w:t>
            </w:r>
            <w:r>
              <w:rPr>
                <w:rFonts w:hint="eastAsia" w:cs="Times New Roman"/>
                <w:snapToGrid w:val="0"/>
                <w:color w:val="auto"/>
                <w:kern w:val="0"/>
                <w:sz w:val="24"/>
                <w:szCs w:val="21"/>
                <w:highlight w:val="none"/>
                <w:lang w:val="en-US" w:eastAsia="zh-CN" w:bidi="ar-SA"/>
              </w:rPr>
              <w:t>外排</w:t>
            </w:r>
            <w:r>
              <w:rPr>
                <w:rFonts w:hint="default" w:ascii="Times New Roman" w:hAnsi="Times New Roman" w:eastAsia="宋体" w:cs="Times New Roman"/>
                <w:snapToGrid w:val="0"/>
                <w:color w:val="auto"/>
                <w:kern w:val="0"/>
                <w:sz w:val="24"/>
                <w:szCs w:val="21"/>
                <w:highlight w:val="none"/>
                <w:lang w:val="en-US" w:eastAsia="zh-CN" w:bidi="ar-SA"/>
              </w:rPr>
              <w:t>生产废水应满足中间接排放标准，因此</w:t>
            </w:r>
            <w:r>
              <w:rPr>
                <w:rFonts w:hint="eastAsia" w:cs="Times New Roman"/>
                <w:snapToGrid w:val="0"/>
                <w:color w:val="auto"/>
                <w:kern w:val="0"/>
                <w:sz w:val="24"/>
                <w:szCs w:val="21"/>
                <w:highlight w:val="none"/>
                <w:lang w:val="en-US" w:eastAsia="zh-CN" w:bidi="ar-SA"/>
              </w:rPr>
              <w:t>项目外排生产</w:t>
            </w:r>
            <w:r>
              <w:rPr>
                <w:rFonts w:hint="default" w:ascii="Times New Roman" w:hAnsi="Times New Roman" w:eastAsia="宋体" w:cs="Times New Roman"/>
                <w:snapToGrid w:val="0"/>
                <w:color w:val="auto"/>
                <w:kern w:val="0"/>
                <w:sz w:val="24"/>
                <w:szCs w:val="21"/>
                <w:highlight w:val="none"/>
                <w:lang w:val="en-US" w:eastAsia="zh-CN" w:bidi="ar-SA"/>
              </w:rPr>
              <w:t>废水经自建污水处理站处理，园区污水处理厂接管水质要求、广东省《水污染物排放限值》（DB44/26-2001）第二时段三级标准以及《电镀水污染物排放标准》（DB44/1597-2015）</w:t>
            </w:r>
            <w:r>
              <w:rPr>
                <w:rFonts w:hint="eastAsia" w:cs="Times New Roman"/>
                <w:snapToGrid w:val="0"/>
                <w:color w:val="auto"/>
                <w:kern w:val="0"/>
                <w:sz w:val="24"/>
                <w:szCs w:val="21"/>
                <w:highlight w:val="none"/>
                <w:lang w:val="en-US" w:eastAsia="zh-CN" w:bidi="ar-SA"/>
              </w:rPr>
              <w:t>表1现有项目水污染物非珠三角排放限值200%（其中总铝按</w:t>
            </w:r>
            <w:r>
              <w:rPr>
                <w:rFonts w:hint="eastAsia" w:ascii="Times New Roman" w:hAnsi="Times New Roman" w:eastAsia="宋体" w:cs="Times New Roman"/>
                <w:color w:val="auto"/>
                <w:kern w:val="2"/>
                <w:sz w:val="24"/>
                <w:szCs w:val="24"/>
                <w:highlight w:val="none"/>
                <w:lang w:val="en-US" w:eastAsia="zh-CN" w:bidi="ar-SA"/>
              </w:rPr>
              <w:t>表2新建项目水污染物排放限值-非珠三角地区执行</w:t>
            </w:r>
            <w:r>
              <w:rPr>
                <w:rFonts w:hint="eastAsia"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三者较严值要求，</w:t>
            </w:r>
            <w:r>
              <w:rPr>
                <w:rFonts w:hint="eastAsia" w:cs="Times New Roman"/>
                <w:snapToGrid w:val="0"/>
                <w:color w:val="auto"/>
                <w:kern w:val="0"/>
                <w:sz w:val="24"/>
                <w:szCs w:val="21"/>
                <w:highlight w:val="none"/>
                <w:lang w:val="en-US" w:eastAsia="zh-CN" w:bidi="ar-SA"/>
              </w:rPr>
              <w:t>经处理的废水最后</w:t>
            </w:r>
            <w:r>
              <w:rPr>
                <w:rFonts w:hint="default" w:ascii="Times New Roman" w:hAnsi="Times New Roman" w:eastAsia="宋体" w:cs="Times New Roman"/>
                <w:snapToGrid w:val="0"/>
                <w:color w:val="auto"/>
                <w:kern w:val="0"/>
                <w:sz w:val="24"/>
                <w:szCs w:val="21"/>
                <w:highlight w:val="none"/>
                <w:lang w:val="en-US" w:eastAsia="zh-CN" w:bidi="ar-SA"/>
              </w:rPr>
              <w:t>排入园区污水处理厂处理。</w:t>
            </w:r>
          </w:p>
          <w:p w14:paraId="35348C11">
            <w:pPr>
              <w:widowControl w:val="0"/>
              <w:kinsoku/>
              <w:autoSpaceDE/>
              <w:autoSpaceDN/>
              <w:adjustRightInd/>
              <w:snapToGrid/>
              <w:spacing w:line="360" w:lineRule="auto"/>
              <w:ind w:firstLine="480" w:firstLineChars="200"/>
              <w:jc w:val="both"/>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snapToGrid w:val="0"/>
                <w:color w:val="auto"/>
                <w:kern w:val="0"/>
                <w:sz w:val="24"/>
                <w:szCs w:val="21"/>
                <w:highlight w:val="none"/>
                <w:lang w:val="en-US" w:eastAsia="zh-CN" w:bidi="ar-SA"/>
              </w:rPr>
              <w:t>园区污水处理厂出水水质标准执行广东省《</w:t>
            </w:r>
            <w:r>
              <w:rPr>
                <w:rFonts w:hint="eastAsia" w:ascii="Times New Roman" w:hAnsi="Times New Roman" w:eastAsia="宋体" w:cs="Times New Roman"/>
                <w:snapToGrid w:val="0"/>
                <w:color w:val="auto"/>
                <w:kern w:val="0"/>
                <w:sz w:val="24"/>
                <w:szCs w:val="21"/>
                <w:highlight w:val="none"/>
                <w:lang w:val="en-US" w:eastAsia="zh-CN" w:bidi="ar-SA"/>
              </w:rPr>
              <w:t>水污染物排放限值</w:t>
            </w:r>
            <w:r>
              <w:rPr>
                <w:rFonts w:hint="default" w:ascii="Times New Roman" w:hAnsi="Times New Roman" w:eastAsia="宋体" w:cs="Times New Roman"/>
                <w:snapToGrid w:val="0"/>
                <w:color w:val="auto"/>
                <w:kern w:val="0"/>
                <w:sz w:val="24"/>
                <w:szCs w:val="21"/>
                <w:highlight w:val="none"/>
                <w:lang w:val="en-US" w:eastAsia="zh-CN" w:bidi="ar-SA"/>
              </w:rPr>
              <w:t>》（DB44/26-2001）第二时段一级标准和《城镇污水处理厂污染物排放标准》（</w:t>
            </w:r>
            <w:r>
              <w:rPr>
                <w:rFonts w:hint="eastAsia" w:cs="Times New Roman"/>
                <w:snapToGrid w:val="0"/>
                <w:color w:val="auto"/>
                <w:kern w:val="0"/>
                <w:sz w:val="24"/>
                <w:szCs w:val="21"/>
                <w:highlight w:val="none"/>
                <w:lang w:val="en-US" w:eastAsia="zh-CN" w:bidi="ar-SA"/>
              </w:rPr>
              <w:t>GB18918-2002</w:t>
            </w:r>
            <w:r>
              <w:rPr>
                <w:rFonts w:hint="default" w:ascii="Times New Roman" w:hAnsi="Times New Roman" w:eastAsia="宋体" w:cs="Times New Roman"/>
                <w:snapToGrid w:val="0"/>
                <w:color w:val="auto"/>
                <w:kern w:val="0"/>
                <w:sz w:val="24"/>
                <w:szCs w:val="21"/>
                <w:highlight w:val="none"/>
                <w:lang w:val="en-US" w:eastAsia="zh-CN" w:bidi="ar-SA"/>
              </w:rPr>
              <w:t>）</w:t>
            </w:r>
            <w:r>
              <w:rPr>
                <w:rFonts w:hint="eastAsia" w:cs="Times New Roman"/>
                <w:snapToGrid w:val="0"/>
                <w:color w:val="auto"/>
                <w:kern w:val="0"/>
                <w:sz w:val="24"/>
                <w:szCs w:val="21"/>
                <w:highlight w:val="none"/>
                <w:lang w:val="en-US" w:eastAsia="zh-CN" w:bidi="ar-SA"/>
              </w:rPr>
              <w:t>及其修改单一级 A 标准</w:t>
            </w:r>
            <w:r>
              <w:rPr>
                <w:rFonts w:hint="default" w:ascii="Times New Roman" w:hAnsi="Times New Roman" w:eastAsia="宋体" w:cs="Times New Roman"/>
                <w:snapToGrid w:val="0"/>
                <w:color w:val="auto"/>
                <w:kern w:val="0"/>
                <w:sz w:val="24"/>
                <w:szCs w:val="21"/>
                <w:highlight w:val="none"/>
                <w:lang w:val="en-US" w:eastAsia="zh-CN" w:bidi="ar-SA"/>
              </w:rPr>
              <w:t>中严者。</w:t>
            </w:r>
            <w:r>
              <w:rPr>
                <w:rFonts w:hint="default" w:ascii="Times New Roman" w:hAnsi="Times New Roman" w:eastAsia="宋体" w:cs="Times New Roman"/>
                <w:snapToGrid w:val="0"/>
                <w:color w:val="auto"/>
                <w:kern w:val="0"/>
                <w:sz w:val="24"/>
                <w:szCs w:val="21"/>
                <w:highlight w:val="none"/>
                <w:lang w:val="zh-CN" w:eastAsia="zh-CN" w:bidi="ar-SA"/>
              </w:rPr>
              <w:t>相关排放标准情况</w:t>
            </w:r>
            <w:r>
              <w:rPr>
                <w:rFonts w:hint="default" w:ascii="Times New Roman" w:hAnsi="Times New Roman" w:eastAsia="宋体" w:cs="Times New Roman"/>
                <w:snapToGrid w:val="0"/>
                <w:color w:val="auto"/>
                <w:kern w:val="0"/>
                <w:sz w:val="24"/>
                <w:szCs w:val="21"/>
                <w:highlight w:val="none"/>
                <w:lang w:val="en-US" w:eastAsia="zh-CN" w:bidi="ar-SA"/>
              </w:rPr>
              <w:t>见下表</w:t>
            </w:r>
            <w:r>
              <w:rPr>
                <w:rFonts w:hint="eastAsia" w:cs="Times New Roman"/>
                <w:snapToGrid w:val="0"/>
                <w:color w:val="auto"/>
                <w:kern w:val="0"/>
                <w:sz w:val="24"/>
                <w:szCs w:val="21"/>
                <w:highlight w:val="none"/>
                <w:lang w:val="en-US" w:eastAsia="zh-CN" w:bidi="ar-SA"/>
              </w:rPr>
              <w:t>。</w:t>
            </w:r>
          </w:p>
          <w:p w14:paraId="37F905F6">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lang w:val="en-US" w:eastAsia="zh-CN"/>
              </w:rPr>
              <w:t>本项目水污染物排放标准</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单位：</w:t>
            </w:r>
            <w:r>
              <w:rPr>
                <w:rFonts w:hint="default" w:ascii="Times New Roman" w:hAnsi="Times New Roman" w:cs="Times New Roman"/>
                <w:b/>
                <w:bCs/>
                <w:color w:val="auto"/>
                <w:sz w:val="21"/>
                <w:szCs w:val="21"/>
                <w:highlight w:val="none"/>
              </w:rPr>
              <w:t>mg/L，pH为无量纲</w:t>
            </w:r>
          </w:p>
          <w:tbl>
            <w:tblPr>
              <w:tblStyle w:val="48"/>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0"/>
              <w:gridCol w:w="465"/>
              <w:gridCol w:w="660"/>
              <w:gridCol w:w="720"/>
              <w:gridCol w:w="600"/>
              <w:gridCol w:w="615"/>
              <w:gridCol w:w="675"/>
              <w:gridCol w:w="630"/>
              <w:gridCol w:w="585"/>
              <w:gridCol w:w="652"/>
              <w:gridCol w:w="600"/>
              <w:gridCol w:w="638"/>
              <w:gridCol w:w="434"/>
            </w:tblGrid>
            <w:tr w14:paraId="3BCD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1240" w:type="dxa"/>
                  <w:tcBorders>
                    <w:tl2br w:val="nil"/>
                    <w:tr2bl w:val="nil"/>
                  </w:tcBorders>
                  <w:noWrap/>
                  <w:tcMar>
                    <w:left w:w="0" w:type="dxa"/>
                    <w:right w:w="0" w:type="dxa"/>
                  </w:tcMar>
                  <w:vAlign w:val="center"/>
                </w:tcPr>
                <w:p w14:paraId="308AC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465" w:type="dxa"/>
                  <w:tcBorders>
                    <w:tl2br w:val="nil"/>
                    <w:tr2bl w:val="nil"/>
                  </w:tcBorders>
                  <w:noWrap/>
                  <w:tcMar>
                    <w:left w:w="0" w:type="dxa"/>
                    <w:right w:w="0" w:type="dxa"/>
                  </w:tcMar>
                  <w:vAlign w:val="center"/>
                </w:tcPr>
                <w:p w14:paraId="2244B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660" w:type="dxa"/>
                  <w:tcBorders>
                    <w:tl2br w:val="nil"/>
                    <w:tr2bl w:val="nil"/>
                  </w:tcBorders>
                  <w:noWrap/>
                  <w:tcMar>
                    <w:left w:w="0" w:type="dxa"/>
                    <w:right w:w="0" w:type="dxa"/>
                  </w:tcMar>
                  <w:vAlign w:val="center"/>
                </w:tcPr>
                <w:p w14:paraId="52FB0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720" w:type="dxa"/>
                  <w:tcBorders>
                    <w:tl2br w:val="nil"/>
                    <w:tr2bl w:val="nil"/>
                  </w:tcBorders>
                  <w:noWrap/>
                  <w:vAlign w:val="center"/>
                </w:tcPr>
                <w:p w14:paraId="74B83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600" w:type="dxa"/>
                  <w:tcBorders>
                    <w:tl2br w:val="nil"/>
                    <w:tr2bl w:val="nil"/>
                  </w:tcBorders>
                  <w:noWrap/>
                  <w:vAlign w:val="center"/>
                </w:tcPr>
                <w:p w14:paraId="15A9F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615" w:type="dxa"/>
                  <w:tcBorders>
                    <w:tl2br w:val="nil"/>
                    <w:tr2bl w:val="nil"/>
                  </w:tcBorders>
                  <w:noWrap/>
                  <w:vAlign w:val="center"/>
                </w:tcPr>
                <w:p w14:paraId="37C13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c>
                <w:tcPr>
                  <w:tcW w:w="675" w:type="dxa"/>
                  <w:tcBorders>
                    <w:tl2br w:val="nil"/>
                    <w:tr2bl w:val="nil"/>
                  </w:tcBorders>
                  <w:noWrap/>
                  <w:vAlign w:val="center"/>
                </w:tcPr>
                <w:p w14:paraId="78F15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LAS</w:t>
                  </w:r>
                </w:p>
              </w:tc>
              <w:tc>
                <w:tcPr>
                  <w:tcW w:w="630" w:type="dxa"/>
                  <w:tcBorders>
                    <w:tl2br w:val="nil"/>
                    <w:tr2bl w:val="nil"/>
                  </w:tcBorders>
                  <w:noWrap/>
                  <w:vAlign w:val="center"/>
                </w:tcPr>
                <w:p w14:paraId="49267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氟化物</w:t>
                  </w:r>
                </w:p>
              </w:tc>
              <w:tc>
                <w:tcPr>
                  <w:tcW w:w="585" w:type="dxa"/>
                  <w:tcBorders>
                    <w:tl2br w:val="nil"/>
                    <w:tr2bl w:val="nil"/>
                  </w:tcBorders>
                  <w:noWrap/>
                  <w:vAlign w:val="center"/>
                </w:tcPr>
                <w:p w14:paraId="3BBC6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石油类</w:t>
                  </w:r>
                </w:p>
              </w:tc>
              <w:tc>
                <w:tcPr>
                  <w:tcW w:w="652" w:type="dxa"/>
                  <w:tcBorders>
                    <w:tl2br w:val="nil"/>
                    <w:tr2bl w:val="nil"/>
                  </w:tcBorders>
                  <w:noWrap/>
                  <w:vAlign w:val="center"/>
                </w:tcPr>
                <w:p w14:paraId="6F433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总磷</w:t>
                  </w:r>
                </w:p>
              </w:tc>
              <w:tc>
                <w:tcPr>
                  <w:tcW w:w="600" w:type="dxa"/>
                  <w:tcBorders>
                    <w:tl2br w:val="nil"/>
                    <w:tr2bl w:val="nil"/>
                  </w:tcBorders>
                  <w:noWrap/>
                  <w:vAlign w:val="center"/>
                </w:tcPr>
                <w:p w14:paraId="60C7D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动植物油</w:t>
                  </w:r>
                </w:p>
              </w:tc>
              <w:tc>
                <w:tcPr>
                  <w:tcW w:w="638" w:type="dxa"/>
                  <w:tcBorders>
                    <w:tl2br w:val="nil"/>
                    <w:tr2bl w:val="nil"/>
                  </w:tcBorders>
                  <w:noWrap/>
                  <w:vAlign w:val="center"/>
                </w:tcPr>
                <w:p w14:paraId="6FF56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总铝</w:t>
                  </w:r>
                </w:p>
              </w:tc>
              <w:tc>
                <w:tcPr>
                  <w:tcW w:w="434" w:type="dxa"/>
                  <w:tcBorders>
                    <w:tl2br w:val="nil"/>
                    <w:tr2bl w:val="nil"/>
                  </w:tcBorders>
                  <w:noWrap/>
                  <w:vAlign w:val="center"/>
                </w:tcPr>
                <w:p w14:paraId="16C01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TN</w:t>
                  </w:r>
                </w:p>
              </w:tc>
            </w:tr>
            <w:tr w14:paraId="7C04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240" w:type="dxa"/>
                  <w:tcBorders>
                    <w:tl2br w:val="nil"/>
                    <w:tr2bl w:val="nil"/>
                  </w:tcBorders>
                  <w:noWrap/>
                  <w:tcMar>
                    <w:left w:w="0" w:type="dxa"/>
                    <w:right w:w="0" w:type="dxa"/>
                  </w:tcMar>
                  <w:vAlign w:val="center"/>
                </w:tcPr>
                <w:p w14:paraId="18DB4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园区污水处理厂接管水质要求</w:t>
                  </w:r>
                </w:p>
              </w:tc>
              <w:tc>
                <w:tcPr>
                  <w:tcW w:w="465" w:type="dxa"/>
                  <w:tcBorders>
                    <w:tl2br w:val="nil"/>
                    <w:tr2bl w:val="nil"/>
                  </w:tcBorders>
                  <w:noWrap/>
                  <w:tcMar>
                    <w:left w:w="0" w:type="dxa"/>
                    <w:right w:w="0" w:type="dxa"/>
                  </w:tcMar>
                  <w:vAlign w:val="center"/>
                </w:tcPr>
                <w:p w14:paraId="3F1983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1C174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0</w:t>
                  </w:r>
                </w:p>
              </w:tc>
              <w:tc>
                <w:tcPr>
                  <w:tcW w:w="720" w:type="dxa"/>
                  <w:tcBorders>
                    <w:tl2br w:val="nil"/>
                    <w:tr2bl w:val="nil"/>
                  </w:tcBorders>
                  <w:noWrap/>
                  <w:vAlign w:val="center"/>
                </w:tcPr>
                <w:p w14:paraId="3B73C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600" w:type="dxa"/>
                  <w:tcBorders>
                    <w:tl2br w:val="nil"/>
                    <w:tr2bl w:val="nil"/>
                  </w:tcBorders>
                  <w:noWrap/>
                  <w:vAlign w:val="center"/>
                </w:tcPr>
                <w:p w14:paraId="0CAFE3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30</w:t>
                  </w:r>
                  <w:r>
                    <w:rPr>
                      <w:rFonts w:hint="default" w:ascii="Times New Roman" w:hAnsi="Times New Roman" w:cs="Times New Roman"/>
                      <w:color w:val="auto"/>
                      <w:sz w:val="21"/>
                      <w:szCs w:val="21"/>
                      <w:highlight w:val="none"/>
                    </w:rPr>
                    <w:t>0</w:t>
                  </w:r>
                </w:p>
              </w:tc>
              <w:tc>
                <w:tcPr>
                  <w:tcW w:w="615" w:type="dxa"/>
                  <w:tcBorders>
                    <w:tl2br w:val="nil"/>
                    <w:tr2bl w:val="nil"/>
                  </w:tcBorders>
                  <w:noWrap/>
                  <w:vAlign w:val="center"/>
                </w:tcPr>
                <w:p w14:paraId="3D482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675" w:type="dxa"/>
                  <w:tcBorders>
                    <w:tl2br w:val="nil"/>
                    <w:tr2bl w:val="nil"/>
                  </w:tcBorders>
                  <w:noWrap/>
                  <w:vAlign w:val="center"/>
                </w:tcPr>
                <w:p w14:paraId="1E357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30" w:type="dxa"/>
                  <w:tcBorders>
                    <w:tl2br w:val="nil"/>
                    <w:tr2bl w:val="nil"/>
                  </w:tcBorders>
                  <w:noWrap/>
                  <w:vAlign w:val="center"/>
                </w:tcPr>
                <w:p w14:paraId="0CC2BC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85" w:type="dxa"/>
                  <w:tcBorders>
                    <w:tl2br w:val="nil"/>
                    <w:tr2bl w:val="nil"/>
                  </w:tcBorders>
                  <w:noWrap/>
                  <w:vAlign w:val="center"/>
                </w:tcPr>
                <w:p w14:paraId="033DC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652" w:type="dxa"/>
                  <w:tcBorders>
                    <w:tl2br w:val="nil"/>
                    <w:tr2bl w:val="nil"/>
                  </w:tcBorders>
                  <w:noWrap/>
                  <w:vAlign w:val="center"/>
                </w:tcPr>
                <w:p w14:paraId="41334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c>
                <w:tcPr>
                  <w:tcW w:w="600" w:type="dxa"/>
                  <w:tcBorders>
                    <w:tl2br w:val="nil"/>
                    <w:tr2bl w:val="nil"/>
                  </w:tcBorders>
                  <w:noWrap/>
                  <w:vAlign w:val="center"/>
                </w:tcPr>
                <w:p w14:paraId="3B890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638" w:type="dxa"/>
                  <w:tcBorders>
                    <w:tl2br w:val="nil"/>
                    <w:tr2bl w:val="nil"/>
                  </w:tcBorders>
                  <w:noWrap/>
                  <w:vAlign w:val="center"/>
                </w:tcPr>
                <w:p w14:paraId="10208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34" w:type="dxa"/>
                  <w:tcBorders>
                    <w:tl2br w:val="nil"/>
                    <w:tr2bl w:val="nil"/>
                  </w:tcBorders>
                  <w:noWrap/>
                  <w:vAlign w:val="center"/>
                </w:tcPr>
                <w:p w14:paraId="43EA5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656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8" w:hRule="atLeast"/>
                <w:jc w:val="center"/>
              </w:trPr>
              <w:tc>
                <w:tcPr>
                  <w:tcW w:w="1240" w:type="dxa"/>
                  <w:tcBorders>
                    <w:tl2br w:val="nil"/>
                    <w:tr2bl w:val="nil"/>
                  </w:tcBorders>
                  <w:noWrap/>
                  <w:tcMar>
                    <w:left w:w="0" w:type="dxa"/>
                    <w:right w:w="0" w:type="dxa"/>
                  </w:tcMar>
                  <w:vAlign w:val="center"/>
                </w:tcPr>
                <w:p w14:paraId="4DA46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DB44/26-2001第二时段三级标准</w:t>
                  </w:r>
                </w:p>
              </w:tc>
              <w:tc>
                <w:tcPr>
                  <w:tcW w:w="465" w:type="dxa"/>
                  <w:tcBorders>
                    <w:tl2br w:val="nil"/>
                    <w:tr2bl w:val="nil"/>
                  </w:tcBorders>
                  <w:noWrap/>
                  <w:tcMar>
                    <w:left w:w="0" w:type="dxa"/>
                    <w:right w:w="0" w:type="dxa"/>
                  </w:tcMar>
                  <w:vAlign w:val="center"/>
                </w:tcPr>
                <w:p w14:paraId="629B8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2D9DF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720" w:type="dxa"/>
                  <w:tcBorders>
                    <w:tl2br w:val="nil"/>
                    <w:tr2bl w:val="nil"/>
                  </w:tcBorders>
                  <w:noWrap/>
                  <w:vAlign w:val="center"/>
                </w:tcPr>
                <w:p w14:paraId="244B6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600" w:type="dxa"/>
                  <w:tcBorders>
                    <w:tl2br w:val="nil"/>
                    <w:tr2bl w:val="nil"/>
                  </w:tcBorders>
                  <w:noWrap/>
                  <w:vAlign w:val="center"/>
                </w:tcPr>
                <w:p w14:paraId="28823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615" w:type="dxa"/>
                  <w:tcBorders>
                    <w:tl2br w:val="nil"/>
                    <w:tr2bl w:val="nil"/>
                  </w:tcBorders>
                  <w:noWrap/>
                  <w:vAlign w:val="center"/>
                </w:tcPr>
                <w:p w14:paraId="0A6F0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75" w:type="dxa"/>
                  <w:tcBorders>
                    <w:tl2br w:val="nil"/>
                    <w:tr2bl w:val="nil"/>
                  </w:tcBorders>
                  <w:noWrap/>
                  <w:vAlign w:val="center"/>
                </w:tcPr>
                <w:p w14:paraId="69659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630" w:type="dxa"/>
                  <w:tcBorders>
                    <w:tl2br w:val="nil"/>
                    <w:tr2bl w:val="nil"/>
                  </w:tcBorders>
                  <w:noWrap/>
                  <w:vAlign w:val="center"/>
                </w:tcPr>
                <w:p w14:paraId="45C7C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585" w:type="dxa"/>
                  <w:tcBorders>
                    <w:tl2br w:val="nil"/>
                    <w:tr2bl w:val="nil"/>
                  </w:tcBorders>
                  <w:noWrap/>
                  <w:vAlign w:val="center"/>
                </w:tcPr>
                <w:p w14:paraId="1114E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c>
                <w:tcPr>
                  <w:tcW w:w="652" w:type="dxa"/>
                  <w:tcBorders>
                    <w:tl2br w:val="nil"/>
                    <w:tr2bl w:val="nil"/>
                  </w:tcBorders>
                  <w:noWrap/>
                  <w:vAlign w:val="center"/>
                </w:tcPr>
                <w:p w14:paraId="2A3D7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00" w:type="dxa"/>
                  <w:tcBorders>
                    <w:tl2br w:val="nil"/>
                    <w:tr2bl w:val="nil"/>
                  </w:tcBorders>
                  <w:noWrap/>
                  <w:vAlign w:val="center"/>
                </w:tcPr>
                <w:p w14:paraId="095C4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638" w:type="dxa"/>
                  <w:tcBorders>
                    <w:tl2br w:val="nil"/>
                    <w:tr2bl w:val="nil"/>
                  </w:tcBorders>
                  <w:noWrap/>
                  <w:vAlign w:val="center"/>
                </w:tcPr>
                <w:p w14:paraId="4D3F8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34" w:type="dxa"/>
                  <w:tcBorders>
                    <w:tl2br w:val="nil"/>
                    <w:tr2bl w:val="nil"/>
                  </w:tcBorders>
                  <w:noWrap/>
                  <w:vAlign w:val="center"/>
                </w:tcPr>
                <w:p w14:paraId="0F72A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73F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81" w:hRule="atLeast"/>
                <w:jc w:val="center"/>
              </w:trPr>
              <w:tc>
                <w:tcPr>
                  <w:tcW w:w="1240" w:type="dxa"/>
                  <w:tcBorders>
                    <w:tl2br w:val="nil"/>
                    <w:tr2bl w:val="nil"/>
                  </w:tcBorders>
                  <w:noWrap/>
                  <w:tcMar>
                    <w:left w:w="0" w:type="dxa"/>
                    <w:right w:w="0" w:type="dxa"/>
                  </w:tcMar>
                  <w:vAlign w:val="center"/>
                </w:tcPr>
                <w:p w14:paraId="0563C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DB44/1597-2015</w:t>
                  </w:r>
                  <w:r>
                    <w:rPr>
                      <w:rFonts w:hint="eastAsia" w:cs="Times New Roman"/>
                      <w:color w:val="auto"/>
                      <w:sz w:val="21"/>
                      <w:szCs w:val="21"/>
                      <w:highlight w:val="none"/>
                      <w:lang w:val="en-US" w:eastAsia="zh-CN"/>
                    </w:rPr>
                    <w:t>表1现有项目水污染排放限值-非珠三角</w:t>
                  </w:r>
                </w:p>
              </w:tc>
              <w:tc>
                <w:tcPr>
                  <w:tcW w:w="465" w:type="dxa"/>
                  <w:tcBorders>
                    <w:tl2br w:val="nil"/>
                    <w:tr2bl w:val="nil"/>
                  </w:tcBorders>
                  <w:noWrap/>
                  <w:tcMar>
                    <w:left w:w="0" w:type="dxa"/>
                    <w:right w:w="0" w:type="dxa"/>
                  </w:tcMar>
                  <w:vAlign w:val="center"/>
                </w:tcPr>
                <w:p w14:paraId="28D62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41D8E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160</w:t>
                  </w:r>
                </w:p>
              </w:tc>
              <w:tc>
                <w:tcPr>
                  <w:tcW w:w="720" w:type="dxa"/>
                  <w:tcBorders>
                    <w:tl2br w:val="nil"/>
                    <w:tr2bl w:val="nil"/>
                  </w:tcBorders>
                  <w:noWrap/>
                  <w:vAlign w:val="center"/>
                </w:tcPr>
                <w:p w14:paraId="010FA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600" w:type="dxa"/>
                  <w:tcBorders>
                    <w:tl2br w:val="nil"/>
                    <w:tr2bl w:val="nil"/>
                  </w:tcBorders>
                  <w:noWrap/>
                  <w:vAlign w:val="center"/>
                </w:tcPr>
                <w:p w14:paraId="34487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100</w:t>
                  </w:r>
                </w:p>
              </w:tc>
              <w:tc>
                <w:tcPr>
                  <w:tcW w:w="615" w:type="dxa"/>
                  <w:tcBorders>
                    <w:tl2br w:val="nil"/>
                    <w:tr2bl w:val="nil"/>
                  </w:tcBorders>
                  <w:noWrap/>
                  <w:vAlign w:val="center"/>
                </w:tcPr>
                <w:p w14:paraId="7542D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30</w:t>
                  </w:r>
                </w:p>
              </w:tc>
              <w:tc>
                <w:tcPr>
                  <w:tcW w:w="675" w:type="dxa"/>
                  <w:tcBorders>
                    <w:tl2br w:val="nil"/>
                    <w:tr2bl w:val="nil"/>
                  </w:tcBorders>
                  <w:noWrap/>
                  <w:vAlign w:val="center"/>
                </w:tcPr>
                <w:p w14:paraId="75C74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630" w:type="dxa"/>
                  <w:tcBorders>
                    <w:tl2br w:val="nil"/>
                    <w:tr2bl w:val="nil"/>
                  </w:tcBorders>
                  <w:noWrap/>
                  <w:vAlign w:val="center"/>
                </w:tcPr>
                <w:p w14:paraId="37074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20</w:t>
                  </w:r>
                </w:p>
              </w:tc>
              <w:tc>
                <w:tcPr>
                  <w:tcW w:w="585" w:type="dxa"/>
                  <w:tcBorders>
                    <w:tl2br w:val="nil"/>
                    <w:tr2bl w:val="nil"/>
                  </w:tcBorders>
                  <w:noWrap/>
                  <w:vAlign w:val="center"/>
                </w:tcPr>
                <w:p w14:paraId="54888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652" w:type="dxa"/>
                  <w:tcBorders>
                    <w:tl2br w:val="nil"/>
                    <w:tr2bl w:val="nil"/>
                  </w:tcBorders>
                  <w:noWrap/>
                  <w:vAlign w:val="center"/>
                </w:tcPr>
                <w:p w14:paraId="7041D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2.0</w:t>
                  </w:r>
                </w:p>
              </w:tc>
              <w:tc>
                <w:tcPr>
                  <w:tcW w:w="600" w:type="dxa"/>
                  <w:tcBorders>
                    <w:tl2br w:val="nil"/>
                    <w:tr2bl w:val="nil"/>
                  </w:tcBorders>
                  <w:noWrap/>
                  <w:vAlign w:val="center"/>
                </w:tcPr>
                <w:p w14:paraId="2855E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38" w:type="dxa"/>
                  <w:tcBorders>
                    <w:tl2br w:val="nil"/>
                    <w:tr2bl w:val="nil"/>
                  </w:tcBorders>
                  <w:noWrap/>
                  <w:vAlign w:val="center"/>
                </w:tcPr>
                <w:p w14:paraId="6D9E5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434" w:type="dxa"/>
                  <w:tcBorders>
                    <w:tl2br w:val="nil"/>
                    <w:tr2bl w:val="nil"/>
                  </w:tcBorders>
                  <w:noWrap/>
                  <w:vAlign w:val="center"/>
                </w:tcPr>
                <w:p w14:paraId="66FB4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r>
            <w:tr w14:paraId="6FA4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9" w:hRule="atLeast"/>
                <w:jc w:val="center"/>
              </w:trPr>
              <w:tc>
                <w:tcPr>
                  <w:tcW w:w="1240" w:type="dxa"/>
                  <w:tcBorders>
                    <w:tl2br w:val="nil"/>
                    <w:tr2bl w:val="nil"/>
                  </w:tcBorders>
                  <w:noWrap/>
                  <w:tcMar>
                    <w:left w:w="0" w:type="dxa"/>
                    <w:right w:w="0" w:type="dxa"/>
                  </w:tcMar>
                  <w:vAlign w:val="center"/>
                </w:tcPr>
                <w:p w14:paraId="6B837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生活污水排放</w:t>
                  </w:r>
                  <w:r>
                    <w:rPr>
                      <w:rFonts w:hint="default" w:ascii="Times New Roman" w:hAnsi="Times New Roman" w:cs="Times New Roman"/>
                      <w:b/>
                      <w:bCs/>
                      <w:color w:val="auto"/>
                      <w:sz w:val="21"/>
                      <w:szCs w:val="21"/>
                      <w:highlight w:val="none"/>
                    </w:rPr>
                    <w:t>限值</w:t>
                  </w:r>
                </w:p>
              </w:tc>
              <w:tc>
                <w:tcPr>
                  <w:tcW w:w="465" w:type="dxa"/>
                  <w:tcBorders>
                    <w:tl2br w:val="nil"/>
                    <w:tr2bl w:val="nil"/>
                  </w:tcBorders>
                  <w:noWrap/>
                  <w:tcMar>
                    <w:left w:w="0" w:type="dxa"/>
                    <w:right w:w="0" w:type="dxa"/>
                  </w:tcMar>
                  <w:vAlign w:val="center"/>
                </w:tcPr>
                <w:p w14:paraId="37A4B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6-9</w:t>
                  </w:r>
                </w:p>
              </w:tc>
              <w:tc>
                <w:tcPr>
                  <w:tcW w:w="660" w:type="dxa"/>
                  <w:tcBorders>
                    <w:tl2br w:val="nil"/>
                    <w:tr2bl w:val="nil"/>
                  </w:tcBorders>
                  <w:noWrap/>
                  <w:tcMar>
                    <w:left w:w="0" w:type="dxa"/>
                    <w:right w:w="0" w:type="dxa"/>
                  </w:tcMar>
                  <w:vAlign w:val="center"/>
                </w:tcPr>
                <w:p w14:paraId="1A395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3</w:t>
                  </w:r>
                  <w:r>
                    <w:rPr>
                      <w:rFonts w:hint="eastAsia"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0</w:t>
                  </w:r>
                </w:p>
              </w:tc>
              <w:tc>
                <w:tcPr>
                  <w:tcW w:w="720" w:type="dxa"/>
                  <w:tcBorders>
                    <w:tl2br w:val="nil"/>
                    <w:tr2bl w:val="nil"/>
                  </w:tcBorders>
                  <w:noWrap/>
                  <w:vAlign w:val="center"/>
                </w:tcPr>
                <w:p w14:paraId="1FA77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150</w:t>
                  </w:r>
                </w:p>
              </w:tc>
              <w:tc>
                <w:tcPr>
                  <w:tcW w:w="600" w:type="dxa"/>
                  <w:tcBorders>
                    <w:tl2br w:val="nil"/>
                    <w:tr2bl w:val="nil"/>
                  </w:tcBorders>
                  <w:noWrap/>
                  <w:vAlign w:val="center"/>
                </w:tcPr>
                <w:p w14:paraId="0E645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eastAsia" w:cs="Times New Roman"/>
                      <w:b/>
                      <w:bCs/>
                      <w:color w:val="auto"/>
                      <w:sz w:val="21"/>
                      <w:szCs w:val="21"/>
                      <w:highlight w:val="none"/>
                      <w:lang w:val="en-US" w:eastAsia="zh-CN"/>
                    </w:rPr>
                    <w:t>30</w:t>
                  </w:r>
                  <w:r>
                    <w:rPr>
                      <w:rFonts w:hint="default" w:ascii="Times New Roman" w:hAnsi="Times New Roman" w:cs="Times New Roman"/>
                      <w:b/>
                      <w:bCs/>
                      <w:color w:val="auto"/>
                      <w:sz w:val="21"/>
                      <w:szCs w:val="21"/>
                      <w:highlight w:val="none"/>
                    </w:rPr>
                    <w:t>0</w:t>
                  </w:r>
                </w:p>
              </w:tc>
              <w:tc>
                <w:tcPr>
                  <w:tcW w:w="615" w:type="dxa"/>
                  <w:tcBorders>
                    <w:tl2br w:val="nil"/>
                    <w:tr2bl w:val="nil"/>
                  </w:tcBorders>
                  <w:noWrap/>
                  <w:vAlign w:val="center"/>
                </w:tcPr>
                <w:p w14:paraId="720EF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40</w:t>
                  </w:r>
                </w:p>
              </w:tc>
              <w:tc>
                <w:tcPr>
                  <w:tcW w:w="675" w:type="dxa"/>
                  <w:tcBorders>
                    <w:tl2br w:val="nil"/>
                    <w:tr2bl w:val="nil"/>
                  </w:tcBorders>
                  <w:noWrap/>
                  <w:vAlign w:val="center"/>
                </w:tcPr>
                <w:p w14:paraId="06E32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20</w:t>
                  </w:r>
                </w:p>
              </w:tc>
              <w:tc>
                <w:tcPr>
                  <w:tcW w:w="630" w:type="dxa"/>
                  <w:tcBorders>
                    <w:tl2br w:val="nil"/>
                    <w:tr2bl w:val="nil"/>
                  </w:tcBorders>
                  <w:noWrap/>
                  <w:vAlign w:val="center"/>
                </w:tcPr>
                <w:p w14:paraId="485453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20</w:t>
                  </w:r>
                </w:p>
              </w:tc>
              <w:tc>
                <w:tcPr>
                  <w:tcW w:w="585" w:type="dxa"/>
                  <w:tcBorders>
                    <w:tl2br w:val="nil"/>
                    <w:tr2bl w:val="nil"/>
                  </w:tcBorders>
                  <w:noWrap/>
                  <w:vAlign w:val="center"/>
                </w:tcPr>
                <w:p w14:paraId="38941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20</w:t>
                  </w:r>
                </w:p>
              </w:tc>
              <w:tc>
                <w:tcPr>
                  <w:tcW w:w="652" w:type="dxa"/>
                  <w:tcBorders>
                    <w:tl2br w:val="nil"/>
                    <w:tr2bl w:val="nil"/>
                  </w:tcBorders>
                  <w:noWrap/>
                  <w:vAlign w:val="center"/>
                </w:tcPr>
                <w:p w14:paraId="30E40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4.0</w:t>
                  </w:r>
                </w:p>
              </w:tc>
              <w:tc>
                <w:tcPr>
                  <w:tcW w:w="600" w:type="dxa"/>
                  <w:tcBorders>
                    <w:tl2br w:val="nil"/>
                    <w:tr2bl w:val="nil"/>
                  </w:tcBorders>
                  <w:noWrap/>
                  <w:vAlign w:val="center"/>
                </w:tcPr>
                <w:p w14:paraId="12DD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100</w:t>
                  </w:r>
                </w:p>
              </w:tc>
              <w:tc>
                <w:tcPr>
                  <w:tcW w:w="638" w:type="dxa"/>
                  <w:tcBorders>
                    <w:tl2br w:val="nil"/>
                    <w:tr2bl w:val="nil"/>
                  </w:tcBorders>
                  <w:noWrap/>
                  <w:vAlign w:val="center"/>
                </w:tcPr>
                <w:p w14:paraId="6B1DB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c>
                <w:tcPr>
                  <w:tcW w:w="434" w:type="dxa"/>
                  <w:tcBorders>
                    <w:tl2br w:val="nil"/>
                    <w:tr2bl w:val="nil"/>
                  </w:tcBorders>
                  <w:noWrap/>
                  <w:vAlign w:val="center"/>
                </w:tcPr>
                <w:p w14:paraId="527F7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r>
            <w:tr w14:paraId="11F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240" w:type="dxa"/>
                  <w:tcBorders>
                    <w:tl2br w:val="nil"/>
                    <w:tr2bl w:val="nil"/>
                  </w:tcBorders>
                  <w:noWrap/>
                  <w:tcMar>
                    <w:left w:w="0" w:type="dxa"/>
                    <w:right w:w="0" w:type="dxa"/>
                  </w:tcMar>
                  <w:vAlign w:val="center"/>
                </w:tcPr>
                <w:p w14:paraId="3FFB8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外排</w:t>
                  </w:r>
                  <w:r>
                    <w:rPr>
                      <w:rFonts w:hint="eastAsia" w:ascii="Times New Roman" w:hAnsi="Times New Roman" w:cs="Times New Roman"/>
                      <w:b/>
                      <w:bCs/>
                      <w:color w:val="auto"/>
                      <w:sz w:val="21"/>
                      <w:szCs w:val="21"/>
                      <w:highlight w:val="none"/>
                      <w:lang w:val="en-US" w:eastAsia="zh-CN"/>
                    </w:rPr>
                    <w:t>生产废水排放</w:t>
                  </w:r>
                  <w:r>
                    <w:rPr>
                      <w:rFonts w:hint="default" w:ascii="Times New Roman" w:hAnsi="Times New Roman" w:cs="Times New Roman"/>
                      <w:b/>
                      <w:bCs/>
                      <w:color w:val="auto"/>
                      <w:sz w:val="21"/>
                      <w:szCs w:val="21"/>
                      <w:highlight w:val="none"/>
                    </w:rPr>
                    <w:t>限值</w:t>
                  </w:r>
                </w:p>
              </w:tc>
              <w:tc>
                <w:tcPr>
                  <w:tcW w:w="465" w:type="dxa"/>
                  <w:tcBorders>
                    <w:tl2br w:val="nil"/>
                    <w:tr2bl w:val="nil"/>
                  </w:tcBorders>
                  <w:noWrap/>
                  <w:tcMar>
                    <w:left w:w="0" w:type="dxa"/>
                    <w:right w:w="0" w:type="dxa"/>
                  </w:tcMar>
                  <w:vAlign w:val="center"/>
                </w:tcPr>
                <w:p w14:paraId="62C42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6-9</w:t>
                  </w:r>
                </w:p>
              </w:tc>
              <w:tc>
                <w:tcPr>
                  <w:tcW w:w="660" w:type="dxa"/>
                  <w:tcBorders>
                    <w:tl2br w:val="nil"/>
                    <w:tr2bl w:val="nil"/>
                  </w:tcBorders>
                  <w:noWrap/>
                  <w:tcMar>
                    <w:left w:w="0" w:type="dxa"/>
                    <w:right w:w="0" w:type="dxa"/>
                  </w:tcMar>
                  <w:vAlign w:val="center"/>
                </w:tcPr>
                <w:p w14:paraId="2B603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160</w:t>
                  </w:r>
                </w:p>
              </w:tc>
              <w:tc>
                <w:tcPr>
                  <w:tcW w:w="720" w:type="dxa"/>
                  <w:tcBorders>
                    <w:tl2br w:val="nil"/>
                    <w:tr2bl w:val="nil"/>
                  </w:tcBorders>
                  <w:noWrap/>
                  <w:vAlign w:val="center"/>
                </w:tcPr>
                <w:p w14:paraId="62B51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150</w:t>
                  </w:r>
                </w:p>
              </w:tc>
              <w:tc>
                <w:tcPr>
                  <w:tcW w:w="600" w:type="dxa"/>
                  <w:tcBorders>
                    <w:tl2br w:val="nil"/>
                    <w:tr2bl w:val="nil"/>
                  </w:tcBorders>
                  <w:noWrap/>
                  <w:vAlign w:val="center"/>
                </w:tcPr>
                <w:p w14:paraId="14710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100</w:t>
                  </w:r>
                </w:p>
              </w:tc>
              <w:tc>
                <w:tcPr>
                  <w:tcW w:w="615" w:type="dxa"/>
                  <w:tcBorders>
                    <w:tl2br w:val="nil"/>
                    <w:tr2bl w:val="nil"/>
                  </w:tcBorders>
                  <w:noWrap/>
                  <w:vAlign w:val="center"/>
                </w:tcPr>
                <w:p w14:paraId="5A5F0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30</w:t>
                  </w:r>
                </w:p>
              </w:tc>
              <w:tc>
                <w:tcPr>
                  <w:tcW w:w="675" w:type="dxa"/>
                  <w:tcBorders>
                    <w:tl2br w:val="nil"/>
                    <w:tr2bl w:val="nil"/>
                  </w:tcBorders>
                  <w:noWrap/>
                  <w:vAlign w:val="center"/>
                </w:tcPr>
                <w:p w14:paraId="4BB8C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20</w:t>
                  </w:r>
                </w:p>
              </w:tc>
              <w:tc>
                <w:tcPr>
                  <w:tcW w:w="630" w:type="dxa"/>
                  <w:tcBorders>
                    <w:tl2br w:val="nil"/>
                    <w:tr2bl w:val="nil"/>
                  </w:tcBorders>
                  <w:noWrap/>
                  <w:vAlign w:val="center"/>
                </w:tcPr>
                <w:p w14:paraId="3677F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20</w:t>
                  </w:r>
                </w:p>
              </w:tc>
              <w:tc>
                <w:tcPr>
                  <w:tcW w:w="585" w:type="dxa"/>
                  <w:tcBorders>
                    <w:tl2br w:val="nil"/>
                    <w:tr2bl w:val="nil"/>
                  </w:tcBorders>
                  <w:noWrap/>
                  <w:vAlign w:val="center"/>
                </w:tcPr>
                <w:p w14:paraId="165EA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6.0</w:t>
                  </w:r>
                </w:p>
              </w:tc>
              <w:tc>
                <w:tcPr>
                  <w:tcW w:w="652" w:type="dxa"/>
                  <w:tcBorders>
                    <w:tl2br w:val="nil"/>
                    <w:tr2bl w:val="nil"/>
                  </w:tcBorders>
                  <w:noWrap/>
                  <w:vAlign w:val="center"/>
                </w:tcPr>
                <w:p w14:paraId="6060C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2.0</w:t>
                  </w:r>
                </w:p>
              </w:tc>
              <w:tc>
                <w:tcPr>
                  <w:tcW w:w="600" w:type="dxa"/>
                  <w:tcBorders>
                    <w:tl2br w:val="nil"/>
                    <w:tr2bl w:val="nil"/>
                  </w:tcBorders>
                  <w:noWrap/>
                  <w:vAlign w:val="center"/>
                </w:tcPr>
                <w:p w14:paraId="5DBD8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c>
                <w:tcPr>
                  <w:tcW w:w="638" w:type="dxa"/>
                  <w:tcBorders>
                    <w:tl2br w:val="nil"/>
                    <w:tr2bl w:val="nil"/>
                  </w:tcBorders>
                  <w:noWrap/>
                  <w:vAlign w:val="center"/>
                </w:tcPr>
                <w:p w14:paraId="16B6A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2.0</w:t>
                  </w:r>
                </w:p>
              </w:tc>
              <w:tc>
                <w:tcPr>
                  <w:tcW w:w="434" w:type="dxa"/>
                  <w:tcBorders>
                    <w:tl2br w:val="nil"/>
                    <w:tr2bl w:val="nil"/>
                  </w:tcBorders>
                  <w:noWrap/>
                  <w:vAlign w:val="center"/>
                </w:tcPr>
                <w:p w14:paraId="65C1C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40</w:t>
                  </w:r>
                </w:p>
              </w:tc>
            </w:tr>
            <w:tr w14:paraId="0E63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514" w:type="dxa"/>
                  <w:gridSpan w:val="13"/>
                  <w:tcBorders>
                    <w:tl2br w:val="nil"/>
                    <w:tr2bl w:val="nil"/>
                  </w:tcBorders>
                  <w:noWrap/>
                  <w:tcMar>
                    <w:left w:w="0" w:type="dxa"/>
                    <w:right w:w="0" w:type="dxa"/>
                  </w:tcMar>
                  <w:vAlign w:val="center"/>
                </w:tcPr>
                <w:p w14:paraId="743C6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both"/>
                    <w:textAlignment w:val="auto"/>
                    <w:rPr>
                      <w:rFonts w:hint="default" w:cs="Times New Roman"/>
                      <w:b/>
                      <w:bCs/>
                      <w:color w:val="auto"/>
                      <w:sz w:val="21"/>
                      <w:szCs w:val="21"/>
                      <w:highlight w:val="none"/>
                      <w:lang w:val="en-US" w:eastAsia="zh-CN"/>
                    </w:rPr>
                  </w:pPr>
                  <w:r>
                    <w:rPr>
                      <w:rFonts w:hint="eastAsia" w:cs="Times New Roman"/>
                      <w:color w:val="auto"/>
                      <w:kern w:val="2"/>
                      <w:sz w:val="24"/>
                      <w:szCs w:val="24"/>
                      <w:highlight w:val="none"/>
                      <w:lang w:val="en-US" w:eastAsia="zh-CN" w:bidi="ar-SA"/>
                    </w:rPr>
                    <w:t>注：</w:t>
                  </w:r>
                  <w:r>
                    <w:rPr>
                      <w:rFonts w:hint="eastAsia" w:ascii="Times New Roman" w:hAnsi="Times New Roman" w:eastAsia="宋体" w:cs="Times New Roman"/>
                      <w:color w:val="auto"/>
                      <w:kern w:val="2"/>
                      <w:sz w:val="24"/>
                      <w:szCs w:val="24"/>
                      <w:highlight w:val="none"/>
                      <w:lang w:val="en-US" w:eastAsia="zh-CN" w:bidi="ar-SA"/>
                    </w:rPr>
                    <w:t>为预防和控制含重金废水对下游纳污河段的影响，根据有关专家和主管部门的建议，重金属离子参照废水直接排放标准执行，即按《电镀水污染物排放标准》（DB44/1597-2015）表2新建项目水污染物排放限值-非珠三角地区执行。</w:t>
                  </w:r>
                </w:p>
              </w:tc>
            </w:tr>
          </w:tbl>
          <w:p w14:paraId="4313CB64">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eastAsia="zh-CN"/>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园区污水处理厂水污染物排放限值（摘录）</w:t>
            </w:r>
            <w:r>
              <w:rPr>
                <w:rFonts w:hint="eastAsia" w:cs="Times New Roman"/>
                <w:b/>
                <w:bCs/>
                <w:color w:val="auto"/>
                <w:sz w:val="21"/>
                <w:szCs w:val="21"/>
                <w:highlight w:val="none"/>
                <w:lang w:val="en-US" w:eastAsia="zh-CN"/>
              </w:rPr>
              <w:t xml:space="preserve"> 单位：</w:t>
            </w:r>
            <w:r>
              <w:rPr>
                <w:rFonts w:hint="default" w:ascii="Times New Roman" w:hAnsi="Times New Roman" w:cs="Times New Roman"/>
                <w:b/>
                <w:bCs/>
                <w:color w:val="auto"/>
                <w:sz w:val="21"/>
                <w:szCs w:val="21"/>
                <w:highlight w:val="none"/>
              </w:rPr>
              <w:t>mg/L</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rPr>
              <w:t>pH为无量纲</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22"/>
              <w:gridCol w:w="557"/>
              <w:gridCol w:w="962"/>
              <w:gridCol w:w="785"/>
              <w:gridCol w:w="656"/>
              <w:gridCol w:w="557"/>
              <w:gridCol w:w="632"/>
              <w:gridCol w:w="632"/>
              <w:gridCol w:w="701"/>
              <w:gridCol w:w="512"/>
              <w:gridCol w:w="709"/>
            </w:tblGrid>
            <w:tr w14:paraId="74E2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70" w:hRule="atLeast"/>
                <w:jc w:val="center"/>
              </w:trPr>
              <w:tc>
                <w:tcPr>
                  <w:tcW w:w="974" w:type="pct"/>
                  <w:shd w:val="clear" w:color="auto" w:fill="auto"/>
                  <w:tcMar>
                    <w:top w:w="0" w:type="dxa"/>
                    <w:left w:w="0" w:type="dxa"/>
                    <w:bottom w:w="0" w:type="dxa"/>
                    <w:right w:w="0" w:type="dxa"/>
                  </w:tcMar>
                  <w:vAlign w:val="center"/>
                </w:tcPr>
                <w:p w14:paraId="66EC1A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执行标准</w:t>
                  </w:r>
                </w:p>
              </w:tc>
              <w:tc>
                <w:tcPr>
                  <w:tcW w:w="334" w:type="pct"/>
                  <w:shd w:val="clear" w:color="auto" w:fill="auto"/>
                  <w:tcMar>
                    <w:top w:w="0" w:type="dxa"/>
                    <w:left w:w="0" w:type="dxa"/>
                    <w:bottom w:w="0" w:type="dxa"/>
                    <w:right w:w="0" w:type="dxa"/>
                  </w:tcMar>
                  <w:vAlign w:val="center"/>
                </w:tcPr>
                <w:p w14:paraId="1A92D6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pH</w:t>
                  </w:r>
                </w:p>
              </w:tc>
              <w:tc>
                <w:tcPr>
                  <w:tcW w:w="577" w:type="pct"/>
                  <w:shd w:val="clear" w:color="auto" w:fill="auto"/>
                  <w:tcMar>
                    <w:top w:w="0" w:type="dxa"/>
                    <w:left w:w="0" w:type="dxa"/>
                    <w:bottom w:w="0" w:type="dxa"/>
                    <w:right w:w="0" w:type="dxa"/>
                  </w:tcMar>
                  <w:vAlign w:val="center"/>
                </w:tcPr>
                <w:p w14:paraId="7F78AA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COD</w:t>
                  </w:r>
                </w:p>
              </w:tc>
              <w:tc>
                <w:tcPr>
                  <w:tcW w:w="471" w:type="pct"/>
                  <w:shd w:val="clear" w:color="auto" w:fill="auto"/>
                  <w:tcMar>
                    <w:top w:w="0" w:type="dxa"/>
                    <w:left w:w="0" w:type="dxa"/>
                    <w:bottom w:w="0" w:type="dxa"/>
                    <w:right w:w="0" w:type="dxa"/>
                  </w:tcMar>
                  <w:vAlign w:val="center"/>
                </w:tcPr>
                <w:p w14:paraId="69BEA3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BOD</w:t>
                  </w:r>
                  <w:r>
                    <w:rPr>
                      <w:rFonts w:hint="default" w:ascii="Times New Roman" w:hAnsi="Times New Roman" w:eastAsia="宋体" w:cs="Times New Roman"/>
                      <w:b/>
                      <w:bCs/>
                      <w:i w:val="0"/>
                      <w:iCs w:val="0"/>
                      <w:color w:val="auto"/>
                      <w:kern w:val="0"/>
                      <w:sz w:val="21"/>
                      <w:szCs w:val="21"/>
                      <w:u w:val="none"/>
                      <w:vertAlign w:val="subscript"/>
                      <w:lang w:val="en-US" w:eastAsia="zh-CN" w:bidi="ar"/>
                    </w:rPr>
                    <w:t>5</w:t>
                  </w:r>
                </w:p>
              </w:tc>
              <w:tc>
                <w:tcPr>
                  <w:tcW w:w="393" w:type="pct"/>
                  <w:shd w:val="clear" w:color="auto" w:fill="auto"/>
                  <w:tcMar>
                    <w:top w:w="0" w:type="dxa"/>
                    <w:left w:w="0" w:type="dxa"/>
                    <w:bottom w:w="0" w:type="dxa"/>
                    <w:right w:w="0" w:type="dxa"/>
                  </w:tcMar>
                  <w:vAlign w:val="center"/>
                </w:tcPr>
                <w:p w14:paraId="167C71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SS</w:t>
                  </w:r>
                </w:p>
              </w:tc>
              <w:tc>
                <w:tcPr>
                  <w:tcW w:w="334" w:type="pct"/>
                  <w:shd w:val="clear" w:color="auto" w:fill="auto"/>
                  <w:tcMar>
                    <w:top w:w="0" w:type="dxa"/>
                    <w:left w:w="0" w:type="dxa"/>
                    <w:bottom w:w="0" w:type="dxa"/>
                    <w:right w:w="0" w:type="dxa"/>
                  </w:tcMar>
                  <w:vAlign w:val="center"/>
                </w:tcPr>
                <w:p w14:paraId="513E98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氨氮</w:t>
                  </w:r>
                </w:p>
              </w:tc>
              <w:tc>
                <w:tcPr>
                  <w:tcW w:w="379" w:type="pct"/>
                  <w:shd w:val="clear" w:color="auto" w:fill="auto"/>
                  <w:tcMar>
                    <w:top w:w="0" w:type="dxa"/>
                    <w:left w:w="0" w:type="dxa"/>
                    <w:bottom w:w="0" w:type="dxa"/>
                    <w:right w:w="0" w:type="dxa"/>
                  </w:tcMar>
                  <w:vAlign w:val="center"/>
                </w:tcPr>
                <w:p w14:paraId="0E64F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总氮</w:t>
                  </w:r>
                </w:p>
              </w:tc>
              <w:tc>
                <w:tcPr>
                  <w:tcW w:w="379" w:type="pct"/>
                  <w:shd w:val="clear" w:color="auto" w:fill="auto"/>
                  <w:tcMar>
                    <w:top w:w="0" w:type="dxa"/>
                    <w:left w:w="0" w:type="dxa"/>
                    <w:bottom w:w="0" w:type="dxa"/>
                    <w:right w:w="0" w:type="dxa"/>
                  </w:tcMar>
                  <w:vAlign w:val="center"/>
                </w:tcPr>
                <w:p w14:paraId="31D66C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TP</w:t>
                  </w:r>
                </w:p>
              </w:tc>
              <w:tc>
                <w:tcPr>
                  <w:tcW w:w="421" w:type="pct"/>
                  <w:shd w:val="clear" w:color="auto" w:fill="auto"/>
                  <w:tcMar>
                    <w:top w:w="0" w:type="dxa"/>
                    <w:left w:w="0" w:type="dxa"/>
                    <w:bottom w:w="0" w:type="dxa"/>
                    <w:right w:w="0" w:type="dxa"/>
                  </w:tcMar>
                  <w:vAlign w:val="center"/>
                </w:tcPr>
                <w:p w14:paraId="2A9016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石油类</w:t>
                  </w:r>
                </w:p>
              </w:tc>
              <w:tc>
                <w:tcPr>
                  <w:tcW w:w="307" w:type="pct"/>
                  <w:shd w:val="clear" w:color="auto" w:fill="auto"/>
                  <w:tcMar>
                    <w:top w:w="0" w:type="dxa"/>
                    <w:left w:w="0" w:type="dxa"/>
                    <w:bottom w:w="0" w:type="dxa"/>
                    <w:right w:w="0" w:type="dxa"/>
                  </w:tcMar>
                  <w:vAlign w:val="center"/>
                </w:tcPr>
                <w:p w14:paraId="059114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铜</w:t>
                  </w:r>
                </w:p>
              </w:tc>
              <w:tc>
                <w:tcPr>
                  <w:tcW w:w="425" w:type="pct"/>
                  <w:shd w:val="clear" w:color="auto" w:fill="auto"/>
                  <w:tcMar>
                    <w:top w:w="0" w:type="dxa"/>
                    <w:left w:w="0" w:type="dxa"/>
                    <w:bottom w:w="0" w:type="dxa"/>
                    <w:right w:w="0" w:type="dxa"/>
                  </w:tcMar>
                  <w:vAlign w:val="center"/>
                </w:tcPr>
                <w:p w14:paraId="44F0CE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锌</w:t>
                  </w:r>
                </w:p>
              </w:tc>
            </w:tr>
            <w:tr w14:paraId="2F4C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974" w:type="pct"/>
                  <w:shd w:val="clear" w:color="auto" w:fill="auto"/>
                  <w:tcMar>
                    <w:top w:w="0" w:type="dxa"/>
                    <w:left w:w="0" w:type="dxa"/>
                    <w:bottom w:w="0" w:type="dxa"/>
                    <w:right w:w="0" w:type="dxa"/>
                  </w:tcMar>
                  <w:vAlign w:val="center"/>
                </w:tcPr>
                <w:p w14:paraId="6003FC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GB18918-2002 </w:t>
                  </w:r>
                  <w:r>
                    <w:rPr>
                      <w:rFonts w:hint="eastAsia" w:ascii="Times New Roman" w:hAnsi="Times New Roman" w:eastAsia="宋体" w:cs="Times New Roman"/>
                      <w:i w:val="0"/>
                      <w:iCs w:val="0"/>
                      <w:color w:val="auto"/>
                      <w:kern w:val="0"/>
                      <w:sz w:val="21"/>
                      <w:szCs w:val="21"/>
                      <w:u w:val="none"/>
                      <w:lang w:val="en-US" w:eastAsia="zh-CN" w:bidi="ar"/>
                    </w:rPr>
                    <w:t>及其修改单</w:t>
                  </w:r>
                  <w:r>
                    <w:rPr>
                      <w:rFonts w:hint="eastAsia" w:ascii="宋体" w:hAnsi="宋体" w:eastAsia="宋体" w:cs="宋体"/>
                      <w:i w:val="0"/>
                      <w:iCs w:val="0"/>
                      <w:color w:val="auto"/>
                      <w:kern w:val="0"/>
                      <w:sz w:val="21"/>
                      <w:szCs w:val="21"/>
                      <w:u w:val="none"/>
                      <w:lang w:val="en-US" w:eastAsia="zh-CN" w:bidi="ar"/>
                    </w:rPr>
                    <w:t>一级</w:t>
                  </w:r>
                  <w:r>
                    <w:rPr>
                      <w:rFonts w:hint="default" w:ascii="Times New Roman" w:hAnsi="Times New Roman" w:eastAsia="宋体" w:cs="Times New Roman"/>
                      <w:i w:val="0"/>
                      <w:iCs w:val="0"/>
                      <w:color w:val="auto"/>
                      <w:kern w:val="0"/>
                      <w:sz w:val="21"/>
                      <w:szCs w:val="21"/>
                      <w:u w:val="none"/>
                      <w:lang w:val="en-US" w:eastAsia="zh-CN" w:bidi="ar"/>
                    </w:rPr>
                    <w:t xml:space="preserve"> A </w:t>
                  </w:r>
                  <w:r>
                    <w:rPr>
                      <w:rFonts w:hint="eastAsia" w:ascii="宋体" w:hAnsi="宋体" w:eastAsia="宋体" w:cs="宋体"/>
                      <w:i w:val="0"/>
                      <w:iCs w:val="0"/>
                      <w:color w:val="auto"/>
                      <w:kern w:val="0"/>
                      <w:sz w:val="21"/>
                      <w:szCs w:val="21"/>
                      <w:u w:val="none"/>
                      <w:lang w:val="en-US" w:eastAsia="zh-CN" w:bidi="ar"/>
                    </w:rPr>
                    <w:t>标准</w:t>
                  </w:r>
                </w:p>
              </w:tc>
              <w:tc>
                <w:tcPr>
                  <w:tcW w:w="334" w:type="pct"/>
                  <w:shd w:val="clear" w:color="auto" w:fill="auto"/>
                  <w:tcMar>
                    <w:top w:w="0" w:type="dxa"/>
                    <w:left w:w="0" w:type="dxa"/>
                    <w:bottom w:w="0" w:type="dxa"/>
                    <w:right w:w="0" w:type="dxa"/>
                  </w:tcMar>
                  <w:vAlign w:val="center"/>
                </w:tcPr>
                <w:p w14:paraId="19F483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199755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71" w:type="pct"/>
                  <w:shd w:val="clear" w:color="auto" w:fill="auto"/>
                  <w:tcMar>
                    <w:top w:w="0" w:type="dxa"/>
                    <w:left w:w="0" w:type="dxa"/>
                    <w:bottom w:w="0" w:type="dxa"/>
                    <w:right w:w="0" w:type="dxa"/>
                  </w:tcMar>
                  <w:vAlign w:val="center"/>
                </w:tcPr>
                <w:p w14:paraId="55C94D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93" w:type="pct"/>
                  <w:shd w:val="clear" w:color="auto" w:fill="auto"/>
                  <w:tcMar>
                    <w:top w:w="0" w:type="dxa"/>
                    <w:left w:w="0" w:type="dxa"/>
                    <w:bottom w:w="0" w:type="dxa"/>
                    <w:right w:w="0" w:type="dxa"/>
                  </w:tcMar>
                  <w:vAlign w:val="center"/>
                </w:tcPr>
                <w:p w14:paraId="32586B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34" w:type="pct"/>
                  <w:shd w:val="clear" w:color="auto" w:fill="auto"/>
                  <w:tcMar>
                    <w:top w:w="0" w:type="dxa"/>
                    <w:left w:w="0" w:type="dxa"/>
                    <w:bottom w:w="0" w:type="dxa"/>
                    <w:right w:w="0" w:type="dxa"/>
                  </w:tcMar>
                  <w:vAlign w:val="center"/>
                </w:tcPr>
                <w:p w14:paraId="5C950C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9" w:type="pct"/>
                  <w:shd w:val="clear" w:color="auto" w:fill="auto"/>
                  <w:tcMar>
                    <w:top w:w="0" w:type="dxa"/>
                    <w:left w:w="0" w:type="dxa"/>
                    <w:bottom w:w="0" w:type="dxa"/>
                    <w:right w:w="0" w:type="dxa"/>
                  </w:tcMar>
                  <w:vAlign w:val="center"/>
                </w:tcPr>
                <w:p w14:paraId="15FE91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79" w:type="pct"/>
                  <w:shd w:val="clear" w:color="auto" w:fill="auto"/>
                  <w:tcMar>
                    <w:top w:w="0" w:type="dxa"/>
                    <w:left w:w="0" w:type="dxa"/>
                    <w:bottom w:w="0" w:type="dxa"/>
                    <w:right w:w="0" w:type="dxa"/>
                  </w:tcMar>
                  <w:vAlign w:val="center"/>
                </w:tcPr>
                <w:p w14:paraId="35652D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0E5357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307" w:type="pct"/>
                  <w:shd w:val="clear" w:color="auto" w:fill="auto"/>
                  <w:tcMar>
                    <w:top w:w="0" w:type="dxa"/>
                    <w:left w:w="0" w:type="dxa"/>
                    <w:bottom w:w="0" w:type="dxa"/>
                    <w:right w:w="0" w:type="dxa"/>
                  </w:tcMar>
                  <w:vAlign w:val="center"/>
                </w:tcPr>
                <w:p w14:paraId="77D002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07AFB9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E49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0" w:hRule="atLeast"/>
                <w:jc w:val="center"/>
              </w:trPr>
              <w:tc>
                <w:tcPr>
                  <w:tcW w:w="974" w:type="pct"/>
                  <w:shd w:val="clear" w:color="auto" w:fill="auto"/>
                  <w:tcMar>
                    <w:top w:w="0" w:type="dxa"/>
                    <w:left w:w="0" w:type="dxa"/>
                    <w:bottom w:w="0" w:type="dxa"/>
                    <w:right w:w="0" w:type="dxa"/>
                  </w:tcMar>
                  <w:vAlign w:val="center"/>
                </w:tcPr>
                <w:p w14:paraId="777CE6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DB44/26-2001 </w:t>
                  </w:r>
                  <w:r>
                    <w:rPr>
                      <w:rFonts w:hint="eastAsia" w:ascii="宋体" w:hAnsi="宋体" w:eastAsia="宋体" w:cs="宋体"/>
                      <w:i w:val="0"/>
                      <w:iCs w:val="0"/>
                      <w:color w:val="auto"/>
                      <w:kern w:val="0"/>
                      <w:sz w:val="21"/>
                      <w:szCs w:val="21"/>
                      <w:u w:val="none"/>
                      <w:lang w:val="en-US" w:eastAsia="zh-CN" w:bidi="ar"/>
                    </w:rPr>
                    <w:t>第二时段一级标准</w:t>
                  </w:r>
                </w:p>
              </w:tc>
              <w:tc>
                <w:tcPr>
                  <w:tcW w:w="334" w:type="pct"/>
                  <w:shd w:val="clear" w:color="auto" w:fill="auto"/>
                  <w:tcMar>
                    <w:top w:w="0" w:type="dxa"/>
                    <w:left w:w="0" w:type="dxa"/>
                    <w:bottom w:w="0" w:type="dxa"/>
                    <w:right w:w="0" w:type="dxa"/>
                  </w:tcMar>
                  <w:vAlign w:val="center"/>
                </w:tcPr>
                <w:p w14:paraId="3F8F40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62DB62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71" w:type="pct"/>
                  <w:shd w:val="clear" w:color="auto" w:fill="auto"/>
                  <w:tcMar>
                    <w:top w:w="0" w:type="dxa"/>
                    <w:left w:w="0" w:type="dxa"/>
                    <w:bottom w:w="0" w:type="dxa"/>
                    <w:right w:w="0" w:type="dxa"/>
                  </w:tcMar>
                  <w:vAlign w:val="center"/>
                </w:tcPr>
                <w:p w14:paraId="100769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93" w:type="pct"/>
                  <w:shd w:val="clear" w:color="auto" w:fill="auto"/>
                  <w:tcMar>
                    <w:top w:w="0" w:type="dxa"/>
                    <w:left w:w="0" w:type="dxa"/>
                    <w:bottom w:w="0" w:type="dxa"/>
                    <w:right w:w="0" w:type="dxa"/>
                  </w:tcMar>
                  <w:vAlign w:val="center"/>
                </w:tcPr>
                <w:p w14:paraId="6A6F98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34" w:type="pct"/>
                  <w:shd w:val="clear" w:color="auto" w:fill="auto"/>
                  <w:tcMar>
                    <w:top w:w="0" w:type="dxa"/>
                    <w:left w:w="0" w:type="dxa"/>
                    <w:bottom w:w="0" w:type="dxa"/>
                    <w:right w:w="0" w:type="dxa"/>
                  </w:tcMar>
                  <w:vAlign w:val="center"/>
                </w:tcPr>
                <w:p w14:paraId="644668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79" w:type="pct"/>
                  <w:shd w:val="clear" w:color="auto" w:fill="auto"/>
                  <w:tcMar>
                    <w:top w:w="0" w:type="dxa"/>
                    <w:left w:w="0" w:type="dxa"/>
                    <w:bottom w:w="0" w:type="dxa"/>
                    <w:right w:w="0" w:type="dxa"/>
                  </w:tcMar>
                  <w:vAlign w:val="center"/>
                </w:tcPr>
                <w:p w14:paraId="3F0E08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79" w:type="pct"/>
                  <w:shd w:val="clear" w:color="auto" w:fill="auto"/>
                  <w:tcMar>
                    <w:top w:w="0" w:type="dxa"/>
                    <w:left w:w="0" w:type="dxa"/>
                    <w:bottom w:w="0" w:type="dxa"/>
                    <w:right w:w="0" w:type="dxa"/>
                  </w:tcMar>
                  <w:vAlign w:val="center"/>
                </w:tcPr>
                <w:p w14:paraId="09AFE5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65A1F6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07" w:type="pct"/>
                  <w:shd w:val="clear" w:color="auto" w:fill="auto"/>
                  <w:tcMar>
                    <w:top w:w="0" w:type="dxa"/>
                    <w:left w:w="0" w:type="dxa"/>
                    <w:bottom w:w="0" w:type="dxa"/>
                    <w:right w:w="0" w:type="dxa"/>
                  </w:tcMar>
                  <w:vAlign w:val="center"/>
                </w:tcPr>
                <w:p w14:paraId="2729C1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200FCE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r>
            <w:tr w14:paraId="4126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5" w:hRule="atLeast"/>
                <w:jc w:val="center"/>
              </w:trPr>
              <w:tc>
                <w:tcPr>
                  <w:tcW w:w="974" w:type="pct"/>
                  <w:shd w:val="clear" w:color="auto" w:fill="auto"/>
                  <w:tcMar>
                    <w:top w:w="0" w:type="dxa"/>
                    <w:left w:w="0" w:type="dxa"/>
                    <w:bottom w:w="0" w:type="dxa"/>
                    <w:right w:w="0" w:type="dxa"/>
                  </w:tcMar>
                  <w:vAlign w:val="center"/>
                </w:tcPr>
                <w:p w14:paraId="4DDAE2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污水厂执行（两标准较严者）</w:t>
                  </w:r>
                </w:p>
              </w:tc>
              <w:tc>
                <w:tcPr>
                  <w:tcW w:w="334" w:type="pct"/>
                  <w:shd w:val="clear" w:color="auto" w:fill="auto"/>
                  <w:tcMar>
                    <w:top w:w="0" w:type="dxa"/>
                    <w:left w:w="0" w:type="dxa"/>
                    <w:bottom w:w="0" w:type="dxa"/>
                    <w:right w:w="0" w:type="dxa"/>
                  </w:tcMar>
                  <w:vAlign w:val="center"/>
                </w:tcPr>
                <w:p w14:paraId="4CA48A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65E87E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71" w:type="pct"/>
                  <w:shd w:val="clear" w:color="auto" w:fill="auto"/>
                  <w:tcMar>
                    <w:top w:w="0" w:type="dxa"/>
                    <w:left w:w="0" w:type="dxa"/>
                    <w:bottom w:w="0" w:type="dxa"/>
                    <w:right w:w="0" w:type="dxa"/>
                  </w:tcMar>
                  <w:vAlign w:val="center"/>
                </w:tcPr>
                <w:p w14:paraId="3C4B67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93" w:type="pct"/>
                  <w:shd w:val="clear" w:color="auto" w:fill="auto"/>
                  <w:tcMar>
                    <w:top w:w="0" w:type="dxa"/>
                    <w:left w:w="0" w:type="dxa"/>
                    <w:bottom w:w="0" w:type="dxa"/>
                    <w:right w:w="0" w:type="dxa"/>
                  </w:tcMar>
                  <w:vAlign w:val="center"/>
                </w:tcPr>
                <w:p w14:paraId="18FF1C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34" w:type="pct"/>
                  <w:shd w:val="clear" w:color="auto" w:fill="auto"/>
                  <w:tcMar>
                    <w:top w:w="0" w:type="dxa"/>
                    <w:left w:w="0" w:type="dxa"/>
                    <w:bottom w:w="0" w:type="dxa"/>
                    <w:right w:w="0" w:type="dxa"/>
                  </w:tcMar>
                  <w:vAlign w:val="center"/>
                </w:tcPr>
                <w:p w14:paraId="2359F5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9" w:type="pct"/>
                  <w:shd w:val="clear" w:color="auto" w:fill="auto"/>
                  <w:tcMar>
                    <w:top w:w="0" w:type="dxa"/>
                    <w:left w:w="0" w:type="dxa"/>
                    <w:bottom w:w="0" w:type="dxa"/>
                    <w:right w:w="0" w:type="dxa"/>
                  </w:tcMar>
                  <w:vAlign w:val="center"/>
                </w:tcPr>
                <w:p w14:paraId="1AFCF9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79" w:type="pct"/>
                  <w:shd w:val="clear" w:color="auto" w:fill="auto"/>
                  <w:tcMar>
                    <w:top w:w="0" w:type="dxa"/>
                    <w:left w:w="0" w:type="dxa"/>
                    <w:bottom w:w="0" w:type="dxa"/>
                    <w:right w:w="0" w:type="dxa"/>
                  </w:tcMar>
                  <w:vAlign w:val="center"/>
                </w:tcPr>
                <w:p w14:paraId="2EEF9F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6ADFF4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307" w:type="pct"/>
                  <w:shd w:val="clear" w:color="auto" w:fill="auto"/>
                  <w:tcMar>
                    <w:top w:w="0" w:type="dxa"/>
                    <w:left w:w="0" w:type="dxa"/>
                    <w:bottom w:w="0" w:type="dxa"/>
                    <w:right w:w="0" w:type="dxa"/>
                  </w:tcMar>
                  <w:vAlign w:val="center"/>
                </w:tcPr>
                <w:p w14:paraId="569100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479C66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bl>
          <w:p w14:paraId="0769F190">
            <w:pPr>
              <w:spacing w:line="120" w:lineRule="auto"/>
              <w:rPr>
                <w:rFonts w:hint="default" w:ascii="Times New Roman" w:hAnsi="Times New Roman" w:cs="Times New Roman"/>
                <w:color w:val="auto"/>
                <w:sz w:val="20"/>
                <w:szCs w:val="20"/>
                <w:highlight w:val="none"/>
              </w:rPr>
            </w:pPr>
          </w:p>
          <w:p w14:paraId="751C30FC">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3、噪声排放标准</w:t>
            </w:r>
          </w:p>
          <w:p w14:paraId="5C26BD33">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营运期</w:t>
            </w:r>
            <w:r>
              <w:rPr>
                <w:rFonts w:hint="eastAsia" w:ascii="Times New Roman" w:hAnsi="Times New Roman" w:cs="Times New Roman"/>
                <w:color w:val="auto"/>
                <w:sz w:val="24"/>
                <w:highlight w:val="none"/>
                <w:lang w:val="en-US" w:eastAsia="zh-CN"/>
              </w:rPr>
              <w:t>项目</w:t>
            </w:r>
            <w:r>
              <w:rPr>
                <w:rFonts w:hint="eastAsia" w:cs="Times New Roman"/>
                <w:color w:val="auto"/>
                <w:sz w:val="24"/>
                <w:highlight w:val="none"/>
                <w:lang w:val="en-US" w:eastAsia="zh-CN"/>
              </w:rPr>
              <w:t>南</w:t>
            </w:r>
            <w:r>
              <w:rPr>
                <w:rFonts w:hint="eastAsia" w:ascii="Times New Roman" w:hAnsi="Times New Roman" w:cs="Times New Roman"/>
                <w:color w:val="auto"/>
                <w:sz w:val="24"/>
                <w:highlight w:val="none"/>
                <w:lang w:val="en-US" w:eastAsia="zh-CN"/>
              </w:rPr>
              <w:t>面</w:t>
            </w:r>
            <w:r>
              <w:rPr>
                <w:rFonts w:hint="default" w:ascii="Times New Roman" w:hAnsi="Times New Roman" w:cs="Times New Roman"/>
                <w:color w:val="auto"/>
                <w:sz w:val="24"/>
                <w:highlight w:val="none"/>
              </w:rPr>
              <w:t>厂界噪声执行《工业企业厂界环境噪声排放标准》（GB12348-2008）中的</w:t>
            </w:r>
            <w:r>
              <w:rPr>
                <w:rFonts w:hint="eastAsia" w:ascii="Times New Roman" w:hAnsi="Times New Roman" w:cs="Times New Roman"/>
                <w:color w:val="auto"/>
                <w:sz w:val="24"/>
                <w:highlight w:val="none"/>
                <w:lang w:val="en-US" w:eastAsia="zh-CN"/>
              </w:rPr>
              <w:t>4</w:t>
            </w:r>
            <w:r>
              <w:rPr>
                <w:rFonts w:hint="eastAsia" w:cs="Times New Roman"/>
                <w:color w:val="auto"/>
                <w:sz w:val="24"/>
                <w:highlight w:val="none"/>
                <w:lang w:val="en-US" w:eastAsia="zh-CN"/>
              </w:rPr>
              <w:t>a</w:t>
            </w:r>
            <w:r>
              <w:rPr>
                <w:rFonts w:hint="default" w:ascii="Times New Roman" w:hAnsi="Times New Roman" w:cs="Times New Roman"/>
                <w:color w:val="auto"/>
                <w:sz w:val="24"/>
                <w:highlight w:val="none"/>
              </w:rPr>
              <w:t>类标准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pacing w:val="-1"/>
                <w:sz w:val="24"/>
                <w:szCs w:val="24"/>
                <w:highlight w:val="none"/>
              </w:rPr>
              <w:t>即昼间</w:t>
            </w:r>
            <w:r>
              <w:rPr>
                <w:rFonts w:hint="default" w:ascii="Times New Roman" w:hAnsi="Times New Roman" w:eastAsia="Times New Roman" w:cs="Times New Roman"/>
                <w:color w:val="auto"/>
                <w:spacing w:val="-1"/>
                <w:sz w:val="24"/>
                <w:szCs w:val="24"/>
                <w:highlight w:val="none"/>
              </w:rPr>
              <w:t>≤</w:t>
            </w:r>
            <w:r>
              <w:rPr>
                <w:rFonts w:hint="eastAsia" w:ascii="Times New Roman" w:hAnsi="Times New Roman" w:eastAsia="宋体" w:cs="Times New Roman"/>
                <w:color w:val="auto"/>
                <w:spacing w:val="-1"/>
                <w:sz w:val="24"/>
                <w:szCs w:val="24"/>
                <w:highlight w:val="none"/>
                <w:lang w:val="en-US" w:eastAsia="zh-CN"/>
              </w:rPr>
              <w:t>7</w:t>
            </w:r>
            <w:r>
              <w:rPr>
                <w:rFonts w:hint="default" w:ascii="Times New Roman" w:hAnsi="Times New Roman" w:eastAsia="Times New Roman" w:cs="Times New Roman"/>
                <w:color w:val="auto"/>
                <w:spacing w:val="-1"/>
                <w:sz w:val="24"/>
                <w:szCs w:val="24"/>
                <w:highlight w:val="none"/>
              </w:rPr>
              <w:t>0dB</w:t>
            </w:r>
            <w:r>
              <w:rPr>
                <w:rFonts w:hint="default" w:ascii="Times New Roman" w:hAnsi="Times New Roman" w:cs="Times New Roman"/>
                <w:color w:val="auto"/>
                <w:spacing w:val="-1"/>
                <w:sz w:val="24"/>
                <w:szCs w:val="24"/>
                <w:highlight w:val="none"/>
              </w:rPr>
              <w:t>（</w:t>
            </w:r>
            <w:r>
              <w:rPr>
                <w:rFonts w:hint="default" w:ascii="Times New Roman" w:hAnsi="Times New Roman" w:eastAsia="Times New Roman" w:cs="Times New Roman"/>
                <w:color w:val="auto"/>
                <w:spacing w:val="-1"/>
                <w:sz w:val="24"/>
                <w:szCs w:val="24"/>
                <w:highlight w:val="none"/>
              </w:rPr>
              <w:t>A</w:t>
            </w:r>
            <w:r>
              <w:rPr>
                <w:rFonts w:hint="default" w:ascii="Times New Roman" w:hAnsi="Times New Roman" w:cs="Times New Roman"/>
                <w:color w:val="auto"/>
                <w:spacing w:val="9"/>
                <w:sz w:val="24"/>
                <w:szCs w:val="24"/>
                <w:highlight w:val="none"/>
              </w:rPr>
              <w:t>）</w:t>
            </w:r>
            <w:r>
              <w:rPr>
                <w:rFonts w:hint="eastAsia"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东</w:t>
            </w:r>
            <w:r>
              <w:rPr>
                <w:rFonts w:hint="eastAsia" w:ascii="Times New Roman" w:hAnsi="Times New Roman" w:cs="Times New Roman"/>
                <w:color w:val="auto"/>
                <w:spacing w:val="-1"/>
                <w:sz w:val="24"/>
                <w:szCs w:val="24"/>
                <w:highlight w:val="none"/>
                <w:lang w:val="en-US" w:eastAsia="zh-CN"/>
              </w:rPr>
              <w:t>、西、北</w:t>
            </w:r>
            <w:r>
              <w:rPr>
                <w:rFonts w:hint="eastAsia" w:ascii="Times New Roman" w:hAnsi="Times New Roman" w:cs="Times New Roman"/>
                <w:color w:val="auto"/>
                <w:sz w:val="24"/>
                <w:highlight w:val="none"/>
                <w:lang w:val="en-US" w:eastAsia="zh-CN"/>
              </w:rPr>
              <w:t>面</w:t>
            </w:r>
            <w:r>
              <w:rPr>
                <w:rFonts w:hint="default" w:ascii="Times New Roman" w:hAnsi="Times New Roman" w:cs="Times New Roman"/>
                <w:color w:val="auto"/>
                <w:sz w:val="24"/>
                <w:highlight w:val="none"/>
              </w:rPr>
              <w:t>厂界噪声执行《工业企业厂界环境噪声排放标准》（GB12348-2008）中的</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类标准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pacing w:val="-1"/>
                <w:sz w:val="24"/>
                <w:szCs w:val="24"/>
                <w:highlight w:val="none"/>
              </w:rPr>
              <w:t>即昼间</w:t>
            </w:r>
            <w:r>
              <w:rPr>
                <w:rFonts w:hint="default" w:ascii="Times New Roman" w:hAnsi="Times New Roman" w:eastAsia="Times New Roman" w:cs="Times New Roman"/>
                <w:color w:val="auto"/>
                <w:spacing w:val="-1"/>
                <w:sz w:val="24"/>
                <w:szCs w:val="24"/>
                <w:highlight w:val="none"/>
              </w:rPr>
              <w:t>≤6</w:t>
            </w:r>
            <w:r>
              <w:rPr>
                <w:rFonts w:hint="eastAsia" w:ascii="Times New Roman" w:hAnsi="Times New Roman" w:eastAsia="宋体" w:cs="Times New Roman"/>
                <w:color w:val="auto"/>
                <w:spacing w:val="-1"/>
                <w:sz w:val="24"/>
                <w:szCs w:val="24"/>
                <w:highlight w:val="none"/>
                <w:lang w:val="en-US" w:eastAsia="zh-CN"/>
              </w:rPr>
              <w:t>5</w:t>
            </w:r>
            <w:r>
              <w:rPr>
                <w:rFonts w:hint="default" w:ascii="Times New Roman" w:hAnsi="Times New Roman" w:eastAsia="Times New Roman" w:cs="Times New Roman"/>
                <w:color w:val="auto"/>
                <w:spacing w:val="-1"/>
                <w:sz w:val="24"/>
                <w:szCs w:val="24"/>
                <w:highlight w:val="none"/>
              </w:rPr>
              <w:t>dB</w:t>
            </w:r>
            <w:r>
              <w:rPr>
                <w:rFonts w:hint="default" w:ascii="Times New Roman" w:hAnsi="Times New Roman" w:cs="Times New Roman"/>
                <w:color w:val="auto"/>
                <w:spacing w:val="-1"/>
                <w:sz w:val="24"/>
                <w:szCs w:val="24"/>
                <w:highlight w:val="none"/>
              </w:rPr>
              <w:t>（</w:t>
            </w:r>
            <w:r>
              <w:rPr>
                <w:rFonts w:hint="default" w:ascii="Times New Roman" w:hAnsi="Times New Roman" w:eastAsia="Times New Roman" w:cs="Times New Roman"/>
                <w:color w:val="auto"/>
                <w:spacing w:val="-1"/>
                <w:sz w:val="24"/>
                <w:szCs w:val="24"/>
                <w:highlight w:val="none"/>
              </w:rPr>
              <w:t>A</w:t>
            </w:r>
            <w:r>
              <w:rPr>
                <w:rFonts w:hint="default" w:ascii="Times New Roman" w:hAnsi="Times New Roman" w:cs="Times New Roman"/>
                <w:color w:val="auto"/>
                <w:spacing w:val="9"/>
                <w:sz w:val="24"/>
                <w:szCs w:val="24"/>
                <w:highlight w:val="none"/>
              </w:rPr>
              <w:t>）</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本项目仅在昼间营运，夜间不营运。</w:t>
            </w:r>
          </w:p>
          <w:p w14:paraId="390EEE6F">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4、固体废物控制标准</w:t>
            </w:r>
          </w:p>
          <w:p w14:paraId="64CE4E8D">
            <w:pPr>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4"/>
                <w:szCs w:val="24"/>
                <w:highlight w:val="none"/>
                <w:lang w:eastAsia="zh-CN"/>
              </w:rPr>
              <w:t>一般工业固体废物在厂内采用库房或包装工具贮存，贮存过程应满足相应防渗漏、防雨淋、防扬尘等环境保护要求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项目危险废物</w:t>
            </w:r>
            <w:r>
              <w:rPr>
                <w:rFonts w:hint="default" w:ascii="Times New Roman" w:hAnsi="Times New Roman" w:eastAsia="宋体" w:cs="Times New Roman"/>
                <w:color w:val="auto"/>
                <w:sz w:val="24"/>
                <w:szCs w:val="24"/>
                <w:highlight w:val="none"/>
                <w:lang w:val="en-US" w:eastAsia="zh-CN"/>
              </w:rPr>
              <w:t>按照</w:t>
            </w:r>
            <w:r>
              <w:rPr>
                <w:rFonts w:hint="default" w:ascii="Times New Roman" w:hAnsi="Times New Roman" w:eastAsia="宋体" w:cs="Times New Roman"/>
                <w:color w:val="auto"/>
                <w:sz w:val="24"/>
                <w:szCs w:val="24"/>
                <w:highlight w:val="none"/>
                <w:lang w:eastAsia="zh-CN"/>
              </w:rPr>
              <w:t>《国家危险废物名录（202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年版）》</w:t>
            </w:r>
            <w:r>
              <w:rPr>
                <w:rFonts w:hint="default" w:ascii="Times New Roman" w:hAnsi="Times New Roman" w:eastAsia="宋体" w:cs="Times New Roman"/>
                <w:color w:val="auto"/>
                <w:sz w:val="24"/>
                <w:szCs w:val="24"/>
                <w:highlight w:val="none"/>
                <w:lang w:val="en-US" w:eastAsia="zh-CN"/>
              </w:rPr>
              <w:t>类别进行管理，危险废物贮存过程执行《危险废物贮存污染控制标准》（GB18597-2023）和《危险废物收集贮存运输技术规范》（HJ2025-2012）</w:t>
            </w:r>
            <w:r>
              <w:rPr>
                <w:rFonts w:hint="default" w:ascii="Times New Roman" w:hAnsi="Times New Roman" w:eastAsia="宋体" w:cs="Times New Roman"/>
                <w:color w:val="auto"/>
                <w:sz w:val="24"/>
                <w:szCs w:val="24"/>
                <w:highlight w:val="none"/>
                <w:lang w:eastAsia="zh-CN"/>
              </w:rPr>
              <w:t>。</w:t>
            </w:r>
          </w:p>
        </w:tc>
      </w:tr>
      <w:tr w14:paraId="1406A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278" w:type="pct"/>
            <w:noWrap w:val="0"/>
            <w:vAlign w:val="center"/>
          </w:tcPr>
          <w:p w14:paraId="477689AD">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总量</w:t>
            </w:r>
          </w:p>
          <w:p w14:paraId="29F184C0">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控制</w:t>
            </w:r>
          </w:p>
          <w:p w14:paraId="1206F142">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指标</w:t>
            </w:r>
          </w:p>
        </w:tc>
        <w:tc>
          <w:tcPr>
            <w:tcW w:w="4721" w:type="pct"/>
            <w:noWrap w:val="0"/>
            <w:vAlign w:val="center"/>
          </w:tcPr>
          <w:p w14:paraId="1118DF55">
            <w:pPr>
              <w:spacing w:line="120" w:lineRule="auto"/>
              <w:ind w:firstLine="480" w:firstLineChars="200"/>
              <w:rPr>
                <w:rFonts w:hint="default" w:ascii="Times New Roman" w:hAnsi="Times New Roman" w:cs="Times New Roman"/>
                <w:color w:val="auto"/>
                <w:sz w:val="24"/>
                <w:highlight w:val="none"/>
              </w:rPr>
            </w:pPr>
          </w:p>
          <w:p w14:paraId="13338572">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1、水污染物排放总量控制指标</w:t>
            </w:r>
          </w:p>
          <w:p w14:paraId="70BFF69E">
            <w:pPr>
              <w:widowControl w:val="0"/>
              <w:kinsoku/>
              <w:autoSpaceDE/>
              <w:autoSpaceDN/>
              <w:adjustRightInd/>
              <w:snapToGrid/>
              <w:spacing w:line="360" w:lineRule="auto"/>
              <w:ind w:firstLine="476"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1"/>
                <w:sz w:val="24"/>
                <w:szCs w:val="24"/>
                <w:highlight w:val="none"/>
              </w:rPr>
              <w:t>项目</w:t>
            </w:r>
            <w:r>
              <w:rPr>
                <w:rFonts w:hint="eastAsia" w:cs="Times New Roman"/>
                <w:color w:val="auto"/>
                <w:spacing w:val="-1"/>
                <w:sz w:val="24"/>
                <w:szCs w:val="24"/>
                <w:highlight w:val="none"/>
                <w:lang w:val="en-US" w:eastAsia="zh-CN"/>
              </w:rPr>
              <w:t>外排</w:t>
            </w:r>
            <w:r>
              <w:rPr>
                <w:rFonts w:hint="default" w:ascii="Times New Roman" w:hAnsi="Times New Roman" w:cs="Times New Roman"/>
                <w:color w:val="auto"/>
                <w:spacing w:val="-1"/>
                <w:sz w:val="24"/>
                <w:szCs w:val="24"/>
                <w:highlight w:val="none"/>
              </w:rPr>
              <w:t>生产废水排放量为</w:t>
            </w:r>
            <w:r>
              <w:rPr>
                <w:rFonts w:hint="eastAsia" w:cs="Times New Roman"/>
                <w:color w:val="auto"/>
                <w:spacing w:val="-1"/>
                <w:sz w:val="24"/>
                <w:szCs w:val="24"/>
                <w:highlight w:val="none"/>
                <w:lang w:val="en-US" w:eastAsia="zh-CN"/>
              </w:rPr>
              <w:t>10010.08</w:t>
            </w:r>
            <w:r>
              <w:rPr>
                <w:rFonts w:hint="default" w:ascii="Times New Roman" w:hAnsi="Times New Roman" w:cs="Times New Roman"/>
                <w:color w:val="auto"/>
                <w:spacing w:val="-1"/>
                <w:sz w:val="24"/>
                <w:szCs w:val="24"/>
                <w:highlight w:val="none"/>
              </w:rPr>
              <w:t>t/a，生活污水排放量为</w:t>
            </w:r>
            <w:r>
              <w:rPr>
                <w:rFonts w:hint="eastAsia" w:ascii="Times New Roman" w:hAnsi="Times New Roman" w:cs="Times New Roman"/>
                <w:color w:val="auto"/>
                <w:spacing w:val="-1"/>
                <w:sz w:val="24"/>
                <w:szCs w:val="24"/>
                <w:highlight w:val="none"/>
                <w:lang w:val="en-US" w:eastAsia="zh-CN"/>
              </w:rPr>
              <w:t>2070</w:t>
            </w:r>
            <w:r>
              <w:rPr>
                <w:rFonts w:hint="default" w:ascii="Times New Roman" w:hAnsi="Times New Roman" w:cs="Times New Roman"/>
                <w:color w:val="auto"/>
                <w:spacing w:val="-1"/>
                <w:sz w:val="24"/>
                <w:szCs w:val="24"/>
                <w:highlight w:val="none"/>
              </w:rPr>
              <w:t>t/a，</w:t>
            </w:r>
            <w:r>
              <w:rPr>
                <w:rFonts w:hint="default" w:ascii="Times New Roman" w:hAnsi="Times New Roman" w:cs="Times New Roman"/>
                <w:color w:val="auto"/>
                <w:spacing w:val="-1"/>
                <w:sz w:val="24"/>
                <w:szCs w:val="24"/>
                <w:highlight w:val="none"/>
                <w:lang w:val="en-US" w:eastAsia="zh-CN"/>
              </w:rPr>
              <w:t>综合废水合计为</w:t>
            </w:r>
            <w:r>
              <w:rPr>
                <w:rFonts w:hint="eastAsia" w:cs="Times New Roman"/>
                <w:color w:val="auto"/>
                <w:spacing w:val="-1"/>
                <w:sz w:val="24"/>
                <w:szCs w:val="24"/>
                <w:highlight w:val="none"/>
                <w:lang w:val="en-US" w:eastAsia="zh-CN"/>
              </w:rPr>
              <w:t>12080.08</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均经预处理后排入园区污水处理厂进行处理，因此，COD</w:t>
            </w:r>
            <w:r>
              <w:rPr>
                <w:rFonts w:hint="eastAsia" w:ascii="Times New Roman" w:hAnsi="Times New Roman" w:cs="Times New Roman"/>
                <w:color w:val="auto"/>
                <w:spacing w:val="-1"/>
                <w:sz w:val="24"/>
                <w:szCs w:val="24"/>
                <w:highlight w:val="none"/>
                <w:vertAlign w:val="subscript"/>
                <w:lang w:val="en-US" w:eastAsia="zh-CN"/>
              </w:rPr>
              <w:t>C</w:t>
            </w:r>
            <w:r>
              <w:rPr>
                <w:rFonts w:hint="default" w:ascii="Times New Roman" w:hAnsi="Times New Roman" w:cs="Times New Roman"/>
                <w:color w:val="auto"/>
                <w:spacing w:val="-1"/>
                <w:sz w:val="24"/>
                <w:szCs w:val="24"/>
                <w:highlight w:val="none"/>
                <w:vertAlign w:val="subscript"/>
              </w:rPr>
              <w:t>r</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1.499</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、NH</w:t>
            </w:r>
            <w:r>
              <w:rPr>
                <w:rFonts w:hint="default" w:ascii="Times New Roman" w:hAnsi="Times New Roman" w:cs="Times New Roman"/>
                <w:color w:val="auto"/>
                <w:spacing w:val="-1"/>
                <w:sz w:val="24"/>
                <w:szCs w:val="24"/>
                <w:highlight w:val="none"/>
                <w:vertAlign w:val="subscript"/>
                <w:lang w:val="en-US" w:eastAsia="zh-CN"/>
              </w:rPr>
              <w:t>3</w:t>
            </w:r>
            <w:r>
              <w:rPr>
                <w:rFonts w:hint="default" w:ascii="Times New Roman" w:hAnsi="Times New Roman" w:cs="Times New Roman"/>
                <w:color w:val="auto"/>
                <w:spacing w:val="-1"/>
                <w:sz w:val="24"/>
                <w:szCs w:val="24"/>
                <w:highlight w:val="none"/>
                <w:lang w:val="en-US" w:eastAsia="zh-CN"/>
              </w:rPr>
              <w:t>-</w:t>
            </w:r>
            <w:r>
              <w:rPr>
                <w:rFonts w:hint="default" w:ascii="Times New Roman" w:hAnsi="Times New Roman" w:cs="Times New Roman"/>
                <w:color w:val="auto"/>
                <w:spacing w:val="-1"/>
                <w:sz w:val="24"/>
                <w:szCs w:val="24"/>
                <w:highlight w:val="none"/>
              </w:rPr>
              <w:t>N</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0.188</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纳入园区污水处理厂的总量控制指标，不需再增加新的总量分配指标。</w:t>
            </w:r>
          </w:p>
          <w:p w14:paraId="223D27E1">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废气排放量控制指标</w:t>
            </w:r>
          </w:p>
          <w:p w14:paraId="6322073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生态环境部“十四五”主要污染物总量减排有关文件以及</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广东省人民政府关于印发广东省“三线一单”生态环境分区管控方案的通知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粤府〔2020〕71号</w:t>
            </w:r>
            <w:r>
              <w:rPr>
                <w:rFonts w:hint="default" w:ascii="Times New Roman" w:hAnsi="Times New Roman" w:cs="Times New Roman"/>
                <w:color w:val="auto"/>
                <w:sz w:val="24"/>
                <w:highlight w:val="none"/>
                <w:lang w:eastAsia="zh-CN"/>
              </w:rPr>
              <w:t>），重点污染物排放总量指标包括化学需氧量、氨氮、氮氧化物及挥发性有机物等</w:t>
            </w:r>
            <w:r>
              <w:rPr>
                <w:rFonts w:hint="default" w:ascii="Times New Roman" w:hAnsi="Times New Roman" w:cs="Times New Roman"/>
                <w:color w:val="auto"/>
                <w:sz w:val="24"/>
                <w:highlight w:val="none"/>
                <w:lang w:val="en-US" w:eastAsia="zh-CN"/>
              </w:rPr>
              <w:t>四项</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color w:val="auto"/>
                <w:kern w:val="0"/>
                <w:sz w:val="24"/>
                <w:szCs w:val="24"/>
                <w:highlight w:val="none"/>
                <w:lang w:val="en-US" w:eastAsia="zh-CN" w:bidi="ar"/>
              </w:rPr>
              <w:t>颗粒物</w:t>
            </w:r>
            <w:r>
              <w:rPr>
                <w:rFonts w:hint="eastAsia" w:ascii="Times New Roman" w:hAnsi="Times New Roman" w:eastAsia="宋体" w:cs="Times New Roman"/>
                <w:color w:val="auto"/>
                <w:kern w:val="0"/>
                <w:sz w:val="24"/>
                <w:szCs w:val="24"/>
                <w:highlight w:val="none"/>
                <w:lang w:val="en-US" w:eastAsia="zh-CN" w:bidi="ar"/>
              </w:rPr>
              <w:t>、SO</w:t>
            </w:r>
            <w:r>
              <w:rPr>
                <w:rFonts w:hint="eastAsia" w:ascii="Times New Roman" w:hAnsi="Times New Roman" w:eastAsia="宋体" w:cs="Times New Roman"/>
                <w:color w:val="auto"/>
                <w:kern w:val="0"/>
                <w:sz w:val="24"/>
                <w:szCs w:val="24"/>
                <w:highlight w:val="none"/>
                <w:vertAlign w:val="sub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无需设置大气污染物总量控制指标</w:t>
            </w:r>
            <w:r>
              <w:rPr>
                <w:rFonts w:hint="default" w:ascii="Times New Roman" w:hAnsi="Times New Roman" w:cs="Times New Roman"/>
                <w:color w:val="auto"/>
                <w:sz w:val="24"/>
                <w:highlight w:val="none"/>
              </w:rPr>
              <w:t>。</w:t>
            </w:r>
          </w:p>
          <w:p w14:paraId="0F78B823">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本项目建成后VOCs排放总量为</w:t>
            </w:r>
            <w:r>
              <w:rPr>
                <w:rFonts w:hint="eastAsia" w:cs="Times New Roman"/>
                <w:color w:val="auto"/>
                <w:sz w:val="24"/>
                <w:highlight w:val="none"/>
                <w:lang w:val="en-US" w:eastAsia="zh-CN"/>
              </w:rPr>
              <w:t>1.022</w:t>
            </w:r>
            <w:r>
              <w:rPr>
                <w:rFonts w:hint="eastAsia" w:ascii="Times New Roman" w:hAnsi="Times New Roman" w:cs="Times New Roman"/>
                <w:color w:val="auto"/>
                <w:sz w:val="24"/>
                <w:highlight w:val="none"/>
                <w:lang w:val="en-US" w:eastAsia="zh-CN"/>
              </w:rPr>
              <w:t>t/a（有组织排放量</w:t>
            </w:r>
            <w:r>
              <w:rPr>
                <w:rFonts w:hint="eastAsia" w:cs="Times New Roman"/>
                <w:color w:val="auto"/>
                <w:sz w:val="24"/>
                <w:highlight w:val="none"/>
                <w:lang w:val="en-US" w:eastAsia="zh-CN"/>
              </w:rPr>
              <w:t>0.670</w:t>
            </w:r>
            <w:r>
              <w:rPr>
                <w:rFonts w:hint="eastAsia" w:ascii="Times New Roman" w:hAnsi="Times New Roman" w:cs="Times New Roman"/>
                <w:color w:val="auto"/>
                <w:sz w:val="24"/>
                <w:highlight w:val="none"/>
                <w:lang w:val="en-US" w:eastAsia="zh-CN"/>
              </w:rPr>
              <w:t>t/a，无组织排放量0.</w:t>
            </w:r>
            <w:r>
              <w:rPr>
                <w:rFonts w:hint="eastAsia" w:cs="Times New Roman"/>
                <w:color w:val="auto"/>
                <w:sz w:val="24"/>
                <w:highlight w:val="none"/>
                <w:lang w:val="en-US" w:eastAsia="zh-CN"/>
              </w:rPr>
              <w:t>352t</w:t>
            </w:r>
            <w:r>
              <w:rPr>
                <w:rFonts w:hint="eastAsia" w:ascii="Times New Roman" w:hAnsi="Times New Roman" w:cs="Times New Roman"/>
                <w:color w:val="auto"/>
                <w:sz w:val="24"/>
                <w:highlight w:val="none"/>
                <w:lang w:val="en-US" w:eastAsia="zh-CN"/>
              </w:rPr>
              <w:t>/a），氮氧化物排放总量为0.</w:t>
            </w:r>
            <w:r>
              <w:rPr>
                <w:rFonts w:hint="eastAsia" w:cs="Times New Roman"/>
                <w:color w:val="auto"/>
                <w:sz w:val="24"/>
                <w:highlight w:val="none"/>
                <w:lang w:val="en-US" w:eastAsia="zh-CN"/>
              </w:rPr>
              <w:t>341</w:t>
            </w:r>
            <w:r>
              <w:rPr>
                <w:rFonts w:hint="eastAsia" w:ascii="Times New Roman" w:hAnsi="Times New Roman" w:cs="Times New Roman"/>
                <w:color w:val="auto"/>
                <w:sz w:val="24"/>
                <w:highlight w:val="none"/>
                <w:lang w:val="en-US" w:eastAsia="zh-CN"/>
              </w:rPr>
              <w:t>t/a。根据《广东省人民政府办公厅印发广东省关于进一步深化投融资体制改革若干举措的通知》（粤府办〔2025〕8号），VOCs、氮氧化物等量替代需向韶关市生态环境局乐昌分局申请分配</w:t>
            </w:r>
            <w:r>
              <w:rPr>
                <w:rFonts w:hint="eastAsia" w:cs="Times New Roman"/>
                <w:color w:val="auto"/>
                <w:sz w:val="24"/>
                <w:highlight w:val="none"/>
                <w:lang w:val="en-US" w:eastAsia="zh-CN"/>
              </w:rPr>
              <w:t>，根据总量申请结果（附件9），有机物总量指标替代来源由市级削减总量统筹安排。氮氧化物总量指标由县级削减总量统筹安排。</w:t>
            </w:r>
          </w:p>
          <w:p w14:paraId="3A3C78D3">
            <w:pPr>
              <w:pStyle w:val="2"/>
              <w:rPr>
                <w:rFonts w:hint="default"/>
                <w:color w:val="auto"/>
                <w:lang w:val="en-US" w:eastAsia="zh-CN"/>
              </w:rPr>
            </w:pPr>
          </w:p>
        </w:tc>
      </w:tr>
    </w:tbl>
    <w:p w14:paraId="13AE413F">
      <w:pPr>
        <w:pStyle w:val="45"/>
        <w:numPr>
          <w:ilvl w:val="0"/>
          <w:numId w:val="0"/>
        </w:numPr>
        <w:spacing w:line="240" w:lineRule="auto"/>
        <w:jc w:val="both"/>
        <w:outlineLvl w:val="9"/>
        <w:rPr>
          <w:rFonts w:hint="eastAsia" w:ascii="黑体" w:hAnsi="黑体" w:eastAsia="黑体"/>
          <w:snapToGrid w:val="0"/>
          <w:color w:val="auto"/>
          <w:sz w:val="30"/>
          <w:szCs w:val="30"/>
          <w:highlight w:val="none"/>
        </w:rPr>
      </w:pPr>
    </w:p>
    <w:p w14:paraId="6CB91C88">
      <w:pPr>
        <w:pStyle w:val="45"/>
        <w:jc w:val="center"/>
        <w:outlineLvl w:val="0"/>
        <w:rPr>
          <w:rFonts w:ascii="黑体" w:hAnsi="黑体" w:eastAsia="黑体"/>
          <w:snapToGrid w:val="0"/>
          <w:color w:val="auto"/>
          <w:sz w:val="30"/>
          <w:szCs w:val="30"/>
          <w:highlight w:val="none"/>
        </w:rPr>
      </w:pPr>
      <w:r>
        <w:rPr>
          <w:rFonts w:ascii="黑体" w:hAnsi="黑体" w:eastAsia="黑体"/>
          <w:snapToGrid w:val="0"/>
          <w:color w:val="auto"/>
          <w:sz w:val="36"/>
          <w:szCs w:val="36"/>
          <w:highlight w:val="none"/>
        </w:rPr>
        <w:br w:type="page"/>
      </w:r>
      <w:bookmarkStart w:id="17" w:name="_Toc25738"/>
      <w:bookmarkStart w:id="18" w:name="_Toc28571"/>
      <w:bookmarkStart w:id="19" w:name="_Toc31582"/>
      <w:bookmarkStart w:id="20" w:name="_Toc5205"/>
      <w:r>
        <w:rPr>
          <w:rFonts w:hint="eastAsia" w:ascii="黑体" w:hAnsi="黑体" w:eastAsia="黑体"/>
          <w:snapToGrid w:val="0"/>
          <w:color w:val="auto"/>
          <w:sz w:val="30"/>
          <w:szCs w:val="30"/>
          <w:highlight w:val="none"/>
        </w:rPr>
        <w:t>四、主要环境影响和保护措施</w:t>
      </w:r>
      <w:bookmarkEnd w:id="17"/>
      <w:bookmarkEnd w:id="18"/>
      <w:bookmarkEnd w:id="19"/>
      <w:bookmarkEnd w:id="20"/>
    </w:p>
    <w:tbl>
      <w:tblPr>
        <w:tblStyle w:val="48"/>
        <w:tblW w:w="91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616"/>
      </w:tblGrid>
      <w:tr w14:paraId="290B5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dxa"/>
            <w:noWrap w:val="0"/>
            <w:tcMar>
              <w:left w:w="28" w:type="dxa"/>
              <w:right w:w="28" w:type="dxa"/>
            </w:tcMar>
            <w:vAlign w:val="center"/>
          </w:tcPr>
          <w:p w14:paraId="03D0D305">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施工</w:t>
            </w:r>
          </w:p>
          <w:p w14:paraId="17ED710D">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期环</w:t>
            </w:r>
          </w:p>
          <w:p w14:paraId="42D62D36">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境保</w:t>
            </w:r>
          </w:p>
          <w:p w14:paraId="015E115C">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护措</w:t>
            </w:r>
          </w:p>
          <w:p w14:paraId="4BB92313">
            <w:pPr>
              <w:pStyle w:val="45"/>
              <w:adjustRightInd w:val="0"/>
              <w:snapToGrid w:val="0"/>
              <w:spacing w:before="0" w:beforeAutospacing="0" w:after="0" w:afterAutospacing="0"/>
              <w:jc w:val="center"/>
              <w:rPr>
                <w:rFonts w:hint="default" w:ascii="Times New Roman" w:hAnsi="Times New Roman" w:eastAsia="宋体" w:cs="Times New Roman"/>
                <w:bCs/>
                <w:color w:val="auto"/>
                <w:kern w:val="2"/>
                <w:szCs w:val="24"/>
                <w:highlight w:val="none"/>
              </w:rPr>
            </w:pPr>
            <w:r>
              <w:rPr>
                <w:rFonts w:hint="default" w:ascii="Times New Roman" w:hAnsi="Times New Roman" w:eastAsia="宋体" w:cs="Times New Roman"/>
                <w:color w:val="auto"/>
                <w:kern w:val="2"/>
                <w:szCs w:val="24"/>
                <w:highlight w:val="none"/>
              </w:rPr>
              <w:t>施</w:t>
            </w:r>
          </w:p>
        </w:tc>
        <w:tc>
          <w:tcPr>
            <w:tcW w:w="8616" w:type="dxa"/>
            <w:noWrap w:val="0"/>
            <w:vAlign w:val="center"/>
          </w:tcPr>
          <w:p w14:paraId="61776A57">
            <w:pPr>
              <w:pStyle w:val="136"/>
              <w:keepNext w:val="0"/>
              <w:keepLines w:val="0"/>
              <w:pageBreakBefore w:val="0"/>
              <w:widowControl w:val="0"/>
              <w:kinsoku/>
              <w:wordWrap/>
              <w:overflowPunct/>
              <w:topLinePunct w:val="0"/>
              <w:autoSpaceDE/>
              <w:autoSpaceDN/>
              <w:bidi w:val="0"/>
              <w:adjustRightInd/>
              <w:snapToGrid/>
              <w:spacing w:before="39" w:line="120" w:lineRule="exact"/>
              <w:ind w:left="113" w:right="108" w:firstLine="476"/>
              <w:textAlignment w:val="auto"/>
              <w:rPr>
                <w:rFonts w:hint="default" w:ascii="Times New Roman" w:hAnsi="Times New Roman" w:cs="Times New Roman"/>
                <w:color w:val="auto"/>
                <w:sz w:val="24"/>
                <w:szCs w:val="24"/>
                <w:highlight w:val="none"/>
              </w:rPr>
            </w:pPr>
          </w:p>
          <w:p w14:paraId="2EC80E07">
            <w:pPr>
              <w:spacing w:line="360" w:lineRule="auto"/>
              <w:ind w:firstLine="480" w:firstLineChars="200"/>
              <w:rPr>
                <w:rFonts w:hint="default" w:ascii="Times New Roman" w:hAnsi="Times New Roman" w:eastAsia="宋体" w:cs="Times New Roman"/>
                <w:color w:val="auto"/>
                <w:highlight w:val="none"/>
              </w:rPr>
            </w:pPr>
            <w:r>
              <w:rPr>
                <w:rFonts w:hint="eastAsia"/>
                <w:color w:val="auto"/>
                <w:sz w:val="24"/>
                <w:szCs w:val="24"/>
                <w:highlight w:val="none"/>
              </w:rPr>
              <w:t>本项目</w:t>
            </w:r>
            <w:r>
              <w:rPr>
                <w:rFonts w:hint="eastAsia"/>
                <w:color w:val="auto"/>
                <w:sz w:val="24"/>
                <w:szCs w:val="24"/>
                <w:highlight w:val="none"/>
                <w:lang w:eastAsia="zh-CN"/>
              </w:rPr>
              <w:t>位于</w:t>
            </w:r>
            <w:r>
              <w:rPr>
                <w:rFonts w:hint="eastAsia" w:cs="Times New Roman"/>
                <w:color w:val="auto"/>
                <w:sz w:val="24"/>
                <w:szCs w:val="24"/>
                <w:highlight w:val="none"/>
                <w:lang w:val="en-US" w:eastAsia="zh-CN"/>
              </w:rPr>
              <w:t>韶关市乐昌市乐昌产业转移工业园GL-02-02-01地块</w:t>
            </w:r>
            <w:r>
              <w:rPr>
                <w:rFonts w:hint="eastAsia"/>
                <w:color w:val="auto"/>
                <w:sz w:val="24"/>
                <w:szCs w:val="24"/>
                <w:highlight w:val="none"/>
              </w:rPr>
              <w:t>，</w:t>
            </w:r>
            <w:r>
              <w:rPr>
                <w:rFonts w:hint="eastAsia"/>
                <w:color w:val="auto"/>
                <w:sz w:val="24"/>
                <w:szCs w:val="24"/>
                <w:highlight w:val="none"/>
                <w:lang w:val="en-US" w:eastAsia="zh-CN"/>
              </w:rPr>
              <w:t>目前厂房已建设，施工期已过。</w:t>
            </w:r>
          </w:p>
        </w:tc>
      </w:tr>
    </w:tbl>
    <w:p w14:paraId="25EAF578">
      <w:pPr>
        <w:adjustRightInd w:val="0"/>
        <w:snapToGrid w:val="0"/>
        <w:spacing w:line="360" w:lineRule="auto"/>
        <w:rPr>
          <w:rFonts w:hint="eastAsia" w:ascii="宋体" w:cs="宋体"/>
          <w:b/>
          <w:color w:val="auto"/>
          <w:kern w:val="0"/>
          <w:sz w:val="28"/>
          <w:szCs w:val="28"/>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3064"/>
      </w:tblGrid>
      <w:tr w14:paraId="2DEA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5" w:hRule="atLeast"/>
        </w:trPr>
        <w:tc>
          <w:tcPr>
            <w:tcW w:w="630" w:type="dxa"/>
            <w:noWrap w:val="0"/>
            <w:vAlign w:val="top"/>
          </w:tcPr>
          <w:p w14:paraId="75234501">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运营</w:t>
            </w:r>
          </w:p>
          <w:p w14:paraId="14BED8C5">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期环</w:t>
            </w:r>
          </w:p>
          <w:p w14:paraId="4CF6938B">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境影</w:t>
            </w:r>
          </w:p>
          <w:p w14:paraId="7D0F6D8F">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响和</w:t>
            </w:r>
          </w:p>
          <w:p w14:paraId="07F642B8">
            <w:pPr>
              <w:adjustRightInd w:val="0"/>
              <w:snapToGrid w:val="0"/>
              <w:jc w:val="center"/>
              <w:rPr>
                <w:rFonts w:hint="eastAsia"/>
                <w:color w:val="auto"/>
                <w:highlight w:val="none"/>
                <w:vertAlign w:val="baseline"/>
              </w:rPr>
            </w:pPr>
            <w:r>
              <w:rPr>
                <w:rFonts w:hint="default" w:ascii="Times New Roman" w:hAnsi="Times New Roman" w:eastAsia="宋体" w:cs="Times New Roman"/>
                <w:bCs/>
                <w:color w:val="auto"/>
                <w:sz w:val="24"/>
                <w:highlight w:val="none"/>
              </w:rPr>
              <w:t>保护措施</w:t>
            </w:r>
          </w:p>
        </w:tc>
        <w:tc>
          <w:tcPr>
            <w:tcW w:w="13024" w:type="dxa"/>
            <w:noWrap w:val="0"/>
            <w:vAlign w:val="top"/>
          </w:tcPr>
          <w:p w14:paraId="475F12F8">
            <w:pPr>
              <w:spacing w:line="360" w:lineRule="auto"/>
              <w:ind w:firstLine="482" w:firstLineChars="200"/>
              <w:rPr>
                <w:rFonts w:hint="default" w:ascii="Times New Roman" w:hAnsi="Times New Roman" w:cs="Times New Roman"/>
                <w:b/>
                <w:color w:val="auto"/>
                <w:sz w:val="24"/>
                <w:szCs w:val="24"/>
                <w:highlight w:val="none"/>
                <w:lang w:val="en-US" w:eastAsia="zh-CN"/>
              </w:rPr>
            </w:pPr>
            <w:r>
              <w:rPr>
                <w:rFonts w:hint="eastAsia" w:cs="Times New Roman"/>
                <w:b/>
                <w:color w:val="auto"/>
                <w:sz w:val="24"/>
                <w:szCs w:val="24"/>
                <w:highlight w:val="none"/>
                <w:lang w:val="en-US" w:eastAsia="zh-CN"/>
              </w:rPr>
              <w:t>1、 废气</w:t>
            </w:r>
          </w:p>
          <w:p w14:paraId="41827A48">
            <w:pPr>
              <w:spacing w:line="360" w:lineRule="auto"/>
              <w:ind w:firstLine="482"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1</w:t>
            </w:r>
            <w:r>
              <w:rPr>
                <w:rFonts w:hint="eastAsia" w:cs="Times New Roman"/>
                <w:b/>
                <w:color w:val="auto"/>
                <w:sz w:val="24"/>
                <w:szCs w:val="24"/>
                <w:highlight w:val="none"/>
                <w:lang w:val="en-US" w:eastAsia="zh-CN"/>
              </w:rPr>
              <w:t>.</w:t>
            </w:r>
            <w:r>
              <w:rPr>
                <w:rFonts w:hint="eastAsia" w:ascii="Times New Roman" w:hAnsi="Times New Roman" w:cs="Times New Roman"/>
                <w:b/>
                <w:color w:val="auto"/>
                <w:sz w:val="24"/>
                <w:szCs w:val="24"/>
                <w:highlight w:val="none"/>
                <w:lang w:val="en-US" w:eastAsia="zh-CN"/>
              </w:rPr>
              <w:t>废气</w:t>
            </w:r>
            <w:r>
              <w:rPr>
                <w:rFonts w:hint="eastAsia" w:cs="Times New Roman"/>
                <w:b/>
                <w:color w:val="auto"/>
                <w:sz w:val="24"/>
                <w:szCs w:val="24"/>
                <w:highlight w:val="none"/>
                <w:lang w:val="en-US" w:eastAsia="zh-CN"/>
              </w:rPr>
              <w:t>排放情况</w:t>
            </w:r>
          </w:p>
          <w:p w14:paraId="13CD4D49">
            <w:pPr>
              <w:widowControl w:val="0"/>
              <w:kinsoku/>
              <w:autoSpaceDE/>
              <w:autoSpaceDN/>
              <w:adjustRightInd/>
              <w:snapToGrid/>
              <w:spacing w:line="360" w:lineRule="auto"/>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spacing w:val="-4"/>
                <w:kern w:val="2"/>
                <w:sz w:val="24"/>
                <w:szCs w:val="24"/>
                <w:highlight w:val="none"/>
                <w:lang w:eastAsia="zh-CN"/>
              </w:rPr>
              <w:t>本项目营运期产生的废气主要为钣金车间的</w:t>
            </w:r>
            <w:r>
              <w:rPr>
                <w:rFonts w:hint="default" w:ascii="Times New Roman" w:hAnsi="Times New Roman" w:eastAsia="宋体" w:cs="Times New Roman"/>
                <w:snapToGrid/>
                <w:color w:val="auto"/>
                <w:spacing w:val="-4"/>
                <w:kern w:val="2"/>
                <w:sz w:val="24"/>
                <w:szCs w:val="24"/>
                <w:highlight w:val="none"/>
                <w:lang w:val="en-US" w:eastAsia="zh-CN"/>
              </w:rPr>
              <w:t>机加工粉尘</w:t>
            </w:r>
            <w:r>
              <w:rPr>
                <w:rFonts w:hint="eastAsia" w:ascii="Times New Roman" w:hAnsi="Times New Roman" w:eastAsia="宋体" w:cs="Times New Roman"/>
                <w:snapToGrid/>
                <w:color w:val="auto"/>
                <w:spacing w:val="-4"/>
                <w:kern w:val="2"/>
                <w:sz w:val="24"/>
                <w:szCs w:val="24"/>
                <w:highlight w:val="none"/>
                <w:lang w:val="en-US" w:eastAsia="zh-CN"/>
              </w:rPr>
              <w:t>（含切割粉尘、</w:t>
            </w:r>
            <w:r>
              <w:rPr>
                <w:rFonts w:hint="default" w:ascii="Times New Roman" w:hAnsi="Times New Roman" w:eastAsia="宋体" w:cs="Times New Roman"/>
                <w:snapToGrid/>
                <w:color w:val="auto"/>
                <w:spacing w:val="-4"/>
                <w:kern w:val="2"/>
                <w:sz w:val="24"/>
                <w:szCs w:val="24"/>
                <w:highlight w:val="none"/>
                <w:lang w:eastAsia="zh-CN"/>
              </w:rPr>
              <w:t>打磨抛光粉尘</w:t>
            </w:r>
            <w:r>
              <w:rPr>
                <w:rFonts w:hint="eastAsia" w:ascii="Times New Roman" w:hAnsi="Times New Roman" w:eastAsia="宋体" w:cs="Times New Roman"/>
                <w:snapToGrid/>
                <w:color w:val="auto"/>
                <w:spacing w:val="-4"/>
                <w:kern w:val="2"/>
                <w:sz w:val="24"/>
                <w:szCs w:val="24"/>
                <w:highlight w:val="none"/>
                <w:lang w:val="en-US" w:eastAsia="zh-CN"/>
              </w:rPr>
              <w:t>）</w:t>
            </w:r>
            <w:r>
              <w:rPr>
                <w:rFonts w:hint="default" w:ascii="Times New Roman" w:hAnsi="Times New Roman" w:eastAsia="宋体" w:cs="Times New Roman"/>
                <w:snapToGrid/>
                <w:color w:val="auto"/>
                <w:spacing w:val="-4"/>
                <w:kern w:val="2"/>
                <w:sz w:val="24"/>
                <w:szCs w:val="24"/>
                <w:highlight w:val="none"/>
                <w:lang w:val="en-US" w:eastAsia="zh-CN"/>
              </w:rPr>
              <w:t>、</w:t>
            </w:r>
            <w:r>
              <w:rPr>
                <w:rFonts w:hint="default" w:ascii="Times New Roman" w:hAnsi="Times New Roman" w:eastAsia="宋体" w:cs="Times New Roman"/>
                <w:snapToGrid/>
                <w:color w:val="auto"/>
                <w:spacing w:val="-4"/>
                <w:kern w:val="2"/>
                <w:sz w:val="24"/>
                <w:szCs w:val="24"/>
                <w:highlight w:val="none"/>
                <w:lang w:eastAsia="zh-CN"/>
              </w:rPr>
              <w:t>焊接烟尘；</w:t>
            </w:r>
            <w:r>
              <w:rPr>
                <w:rFonts w:hint="eastAsia" w:cs="Times New Roman"/>
                <w:snapToGrid/>
                <w:color w:val="auto"/>
                <w:spacing w:val="-4"/>
                <w:kern w:val="2"/>
                <w:sz w:val="24"/>
                <w:szCs w:val="24"/>
                <w:highlight w:val="none"/>
                <w:lang w:val="en-US" w:eastAsia="zh-CN"/>
              </w:rPr>
              <w:t>喷涂车间产生的喷粉粉尘、喷漆废气和固化废气</w:t>
            </w:r>
            <w:r>
              <w:rPr>
                <w:rFonts w:hint="default" w:ascii="Times New Roman" w:hAnsi="Times New Roman" w:eastAsia="宋体" w:cs="Times New Roman"/>
                <w:snapToGrid/>
                <w:color w:val="auto"/>
                <w:spacing w:val="-4"/>
                <w:kern w:val="2"/>
                <w:sz w:val="24"/>
                <w:szCs w:val="24"/>
                <w:highlight w:val="none"/>
                <w:lang w:val="en-US" w:eastAsia="zh-CN"/>
              </w:rPr>
              <w:t>以及</w:t>
            </w:r>
            <w:r>
              <w:rPr>
                <w:rFonts w:ascii="Times New Roman" w:hAnsi="Times New Roman" w:eastAsia="宋体" w:cs="Times New Roman"/>
                <w:snapToGrid/>
                <w:color w:val="auto"/>
                <w:spacing w:val="-4"/>
                <w:kern w:val="2"/>
                <w:sz w:val="24"/>
                <w:szCs w:val="24"/>
                <w:highlight w:val="none"/>
                <w:lang w:eastAsia="zh-CN"/>
              </w:rPr>
              <w:t>厨房油烟废气。</w:t>
            </w:r>
          </w:p>
          <w:p w14:paraId="79BC77D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eastAsia" w:asci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表4-1</w:t>
            </w:r>
            <w:r>
              <w:rPr>
                <w:rFonts w:hint="eastAsia" w:ascii="Times New Roman" w:cs="Times New Roman"/>
                <w:b/>
                <w:bCs/>
                <w:color w:val="auto"/>
                <w:kern w:val="2"/>
                <w:sz w:val="21"/>
                <w:szCs w:val="21"/>
                <w:lang w:val="en-US" w:eastAsia="zh-CN" w:bidi="ar-SA"/>
              </w:rPr>
              <w:t xml:space="preserve"> </w:t>
            </w:r>
            <w:r>
              <w:rPr>
                <w:rFonts w:hint="eastAsia" w:ascii="Times New Roman" w:cs="Times New Roman"/>
                <w:b/>
                <w:bCs/>
                <w:color w:val="auto"/>
                <w:sz w:val="21"/>
                <w:szCs w:val="21"/>
                <w:highlight w:val="none"/>
              </w:rPr>
              <w:t>项目废气产排污节点、污染物及污染治理设施情况一览表</w:t>
            </w:r>
          </w:p>
          <w:tbl>
            <w:tblPr>
              <w:tblStyle w:val="49"/>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0"/>
              <w:gridCol w:w="2242"/>
              <w:gridCol w:w="1131"/>
              <w:gridCol w:w="1717"/>
              <w:gridCol w:w="914"/>
              <w:gridCol w:w="1165"/>
              <w:gridCol w:w="2234"/>
              <w:gridCol w:w="1116"/>
              <w:gridCol w:w="988"/>
              <w:gridCol w:w="845"/>
            </w:tblGrid>
            <w:tr w14:paraId="1D8D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vMerge w:val="restart"/>
                  <w:noWrap w:val="0"/>
                  <w:vAlign w:val="center"/>
                </w:tcPr>
                <w:p w14:paraId="482470F7">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序号</w:t>
                  </w:r>
                </w:p>
              </w:tc>
              <w:tc>
                <w:tcPr>
                  <w:tcW w:w="876" w:type="pct"/>
                  <w:vMerge w:val="restart"/>
                  <w:noWrap w:val="0"/>
                  <w:vAlign w:val="center"/>
                </w:tcPr>
                <w:p w14:paraId="71C8FE92">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位置</w:t>
                  </w:r>
                </w:p>
              </w:tc>
              <w:tc>
                <w:tcPr>
                  <w:tcW w:w="442" w:type="pct"/>
                  <w:vMerge w:val="restart"/>
                  <w:noWrap w:val="0"/>
                  <w:vAlign w:val="center"/>
                </w:tcPr>
                <w:p w14:paraId="2A56784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产污环节</w:t>
                  </w:r>
                </w:p>
              </w:tc>
              <w:tc>
                <w:tcPr>
                  <w:tcW w:w="671" w:type="pct"/>
                  <w:vMerge w:val="restart"/>
                  <w:noWrap w:val="0"/>
                  <w:vAlign w:val="center"/>
                </w:tcPr>
                <w:p w14:paraId="57E771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污染物种类</w:t>
                  </w:r>
                </w:p>
              </w:tc>
              <w:tc>
                <w:tcPr>
                  <w:tcW w:w="357" w:type="pct"/>
                  <w:vMerge w:val="restart"/>
                  <w:noWrap w:val="0"/>
                  <w:vAlign w:val="center"/>
                </w:tcPr>
                <w:p w14:paraId="524A2B18">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排放形式</w:t>
                  </w:r>
                </w:p>
              </w:tc>
              <w:tc>
                <w:tcPr>
                  <w:tcW w:w="2150" w:type="pct"/>
                  <w:gridSpan w:val="4"/>
                  <w:tcBorders>
                    <w:right w:val="single" w:color="000000" w:sz="4" w:space="0"/>
                  </w:tcBorders>
                  <w:noWrap w:val="0"/>
                  <w:vAlign w:val="center"/>
                </w:tcPr>
                <w:p w14:paraId="37BDF34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w:t>
                  </w:r>
                </w:p>
              </w:tc>
              <w:tc>
                <w:tcPr>
                  <w:tcW w:w="330" w:type="pct"/>
                  <w:vMerge w:val="restart"/>
                  <w:noWrap w:val="0"/>
                  <w:vAlign w:val="center"/>
                </w:tcPr>
                <w:p w14:paraId="73EB8BD6">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有组织排放编号</w:t>
                  </w:r>
                </w:p>
              </w:tc>
            </w:tr>
            <w:tr w14:paraId="6FE5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vMerge w:val="continue"/>
                  <w:noWrap w:val="0"/>
                  <w:vAlign w:val="center"/>
                </w:tcPr>
                <w:p w14:paraId="4AEC933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876" w:type="pct"/>
                  <w:vMerge w:val="continue"/>
                  <w:noWrap w:val="0"/>
                  <w:vAlign w:val="center"/>
                </w:tcPr>
                <w:p w14:paraId="1EF6869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442" w:type="pct"/>
                  <w:vMerge w:val="continue"/>
                  <w:noWrap w:val="0"/>
                  <w:vAlign w:val="center"/>
                </w:tcPr>
                <w:p w14:paraId="18ACFE3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671" w:type="pct"/>
                  <w:vMerge w:val="continue"/>
                  <w:noWrap w:val="0"/>
                  <w:vAlign w:val="center"/>
                </w:tcPr>
                <w:p w14:paraId="6FE729E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357" w:type="pct"/>
                  <w:vMerge w:val="continue"/>
                  <w:noWrap w:val="0"/>
                  <w:vAlign w:val="center"/>
                </w:tcPr>
                <w:p w14:paraId="557B986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455" w:type="pct"/>
                  <w:noWrap w:val="0"/>
                  <w:vAlign w:val="center"/>
                </w:tcPr>
                <w:p w14:paraId="3E55F19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污染防治设施编号</w:t>
                  </w:r>
                </w:p>
              </w:tc>
              <w:tc>
                <w:tcPr>
                  <w:tcW w:w="873" w:type="pct"/>
                  <w:noWrap w:val="0"/>
                  <w:vAlign w:val="center"/>
                </w:tcPr>
                <w:p w14:paraId="35F7DA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污染防治设施名称</w:t>
                  </w:r>
                </w:p>
              </w:tc>
              <w:tc>
                <w:tcPr>
                  <w:tcW w:w="436" w:type="pct"/>
                  <w:noWrap w:val="0"/>
                  <w:vAlign w:val="center"/>
                </w:tcPr>
                <w:p w14:paraId="5FEBCB51">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污染防治设施工艺</w:t>
                  </w:r>
                </w:p>
              </w:tc>
              <w:tc>
                <w:tcPr>
                  <w:tcW w:w="385" w:type="pct"/>
                  <w:tcBorders>
                    <w:right w:val="single" w:color="000000" w:sz="4" w:space="0"/>
                  </w:tcBorders>
                  <w:noWrap w:val="0"/>
                  <w:vAlign w:val="center"/>
                </w:tcPr>
                <w:p w14:paraId="32FBA05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是否为可行性技术</w:t>
                  </w:r>
                </w:p>
              </w:tc>
              <w:tc>
                <w:tcPr>
                  <w:tcW w:w="330" w:type="pct"/>
                  <w:vMerge w:val="continue"/>
                  <w:noWrap w:val="0"/>
                  <w:vAlign w:val="center"/>
                </w:tcPr>
                <w:p w14:paraId="4B28255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r>
            <w:tr w14:paraId="544A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61C6E1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876" w:type="pct"/>
                  <w:noWrap w:val="0"/>
                  <w:vAlign w:val="center"/>
                </w:tcPr>
                <w:p w14:paraId="5F735C0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激光切割生产线</w:t>
                  </w:r>
                  <w:r>
                    <w:rPr>
                      <w:rFonts w:hint="eastAsia" w:ascii="Times New Roman" w:hAnsi="Times New Roman" w:eastAsia="宋体" w:cs="Times New Roman"/>
                      <w:i w:val="0"/>
                      <w:color w:val="auto"/>
                      <w:kern w:val="0"/>
                      <w:sz w:val="21"/>
                      <w:szCs w:val="21"/>
                      <w:highlight w:val="none"/>
                      <w:u w:val="none"/>
                      <w:lang w:val="en-US" w:eastAsia="zh-CN" w:bidi="ar"/>
                    </w:rPr>
                    <w:t>、数控切割机</w:t>
                  </w:r>
                </w:p>
              </w:tc>
              <w:tc>
                <w:tcPr>
                  <w:tcW w:w="442" w:type="pct"/>
                  <w:noWrap w:val="0"/>
                  <w:vAlign w:val="center"/>
                </w:tcPr>
                <w:p w14:paraId="665ABF86">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钣金成型（切割）</w:t>
                  </w:r>
                </w:p>
              </w:tc>
              <w:tc>
                <w:tcPr>
                  <w:tcW w:w="671" w:type="pct"/>
                  <w:noWrap w:val="0"/>
                  <w:vAlign w:val="center"/>
                </w:tcPr>
                <w:p w14:paraId="7D2D71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57" w:type="pct"/>
                  <w:noWrap w:val="0"/>
                  <w:vAlign w:val="center"/>
                </w:tcPr>
                <w:p w14:paraId="19D17DC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455" w:type="pct"/>
                  <w:noWrap w:val="0"/>
                  <w:vAlign w:val="center"/>
                </w:tcPr>
                <w:p w14:paraId="4D27344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873" w:type="pct"/>
                  <w:noWrap w:val="0"/>
                  <w:vAlign w:val="center"/>
                </w:tcPr>
                <w:p w14:paraId="7DC7F47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436" w:type="pct"/>
                  <w:noWrap w:val="0"/>
                  <w:vAlign w:val="center"/>
                </w:tcPr>
                <w:p w14:paraId="1023D2B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85" w:type="pct"/>
                  <w:noWrap w:val="0"/>
                  <w:vAlign w:val="center"/>
                </w:tcPr>
                <w:p w14:paraId="21CE8A4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30" w:type="pct"/>
                  <w:noWrap w:val="0"/>
                  <w:vAlign w:val="center"/>
                </w:tcPr>
                <w:p w14:paraId="666E5FA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0D03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4D1B538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w:t>
                  </w:r>
                </w:p>
              </w:tc>
              <w:tc>
                <w:tcPr>
                  <w:tcW w:w="876" w:type="pct"/>
                  <w:noWrap w:val="0"/>
                  <w:vAlign w:val="center"/>
                </w:tcPr>
                <w:p w14:paraId="103149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高速激光焊机、进口氩弧焊机、多功能焊机</w:t>
                  </w:r>
                </w:p>
              </w:tc>
              <w:tc>
                <w:tcPr>
                  <w:tcW w:w="442" w:type="pct"/>
                  <w:noWrap w:val="0"/>
                  <w:vAlign w:val="center"/>
                </w:tcPr>
                <w:p w14:paraId="5C42DB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钣金成型（焊接）</w:t>
                  </w:r>
                </w:p>
              </w:tc>
              <w:tc>
                <w:tcPr>
                  <w:tcW w:w="671" w:type="pct"/>
                  <w:noWrap w:val="0"/>
                  <w:vAlign w:val="center"/>
                </w:tcPr>
                <w:p w14:paraId="6615D88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57" w:type="pct"/>
                  <w:noWrap w:val="0"/>
                  <w:vAlign w:val="center"/>
                </w:tcPr>
                <w:p w14:paraId="2A939EC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455" w:type="pct"/>
                  <w:noWrap w:val="0"/>
                  <w:vAlign w:val="center"/>
                </w:tcPr>
                <w:p w14:paraId="37E7149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873" w:type="pct"/>
                  <w:noWrap w:val="0"/>
                  <w:vAlign w:val="center"/>
                </w:tcPr>
                <w:p w14:paraId="64B8569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移动式焊烟净化器</w:t>
                  </w:r>
                </w:p>
              </w:tc>
              <w:tc>
                <w:tcPr>
                  <w:tcW w:w="436" w:type="pct"/>
                  <w:noWrap w:val="0"/>
                  <w:vAlign w:val="center"/>
                </w:tcPr>
                <w:p w14:paraId="6BCB7D7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滤筒除尘</w:t>
                  </w:r>
                </w:p>
              </w:tc>
              <w:tc>
                <w:tcPr>
                  <w:tcW w:w="385" w:type="pct"/>
                  <w:noWrap w:val="0"/>
                  <w:vAlign w:val="center"/>
                </w:tcPr>
                <w:p w14:paraId="16CA3AF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30" w:type="pct"/>
                  <w:noWrap w:val="0"/>
                  <w:vAlign w:val="center"/>
                </w:tcPr>
                <w:p w14:paraId="7406FA0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3A48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4FC7137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3</w:t>
                  </w:r>
                </w:p>
              </w:tc>
              <w:tc>
                <w:tcPr>
                  <w:tcW w:w="876" w:type="pct"/>
                  <w:noWrap w:val="0"/>
                  <w:vAlign w:val="center"/>
                </w:tcPr>
                <w:p w14:paraId="0D6C36D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手磨机</w:t>
                  </w:r>
                </w:p>
              </w:tc>
              <w:tc>
                <w:tcPr>
                  <w:tcW w:w="442" w:type="pct"/>
                  <w:noWrap w:val="0"/>
                  <w:vAlign w:val="center"/>
                </w:tcPr>
                <w:p w14:paraId="175BC2F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抛光打磨</w:t>
                  </w:r>
                </w:p>
              </w:tc>
              <w:tc>
                <w:tcPr>
                  <w:tcW w:w="671" w:type="pct"/>
                  <w:noWrap w:val="0"/>
                  <w:vAlign w:val="center"/>
                </w:tcPr>
                <w:p w14:paraId="23D3D54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颗粒物</w:t>
                  </w:r>
                </w:p>
              </w:tc>
              <w:tc>
                <w:tcPr>
                  <w:tcW w:w="357" w:type="pct"/>
                  <w:noWrap w:val="0"/>
                  <w:vAlign w:val="center"/>
                </w:tcPr>
                <w:p w14:paraId="650DDC3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无</w:t>
                  </w:r>
                  <w:r>
                    <w:rPr>
                      <w:rFonts w:hint="default" w:ascii="Times New Roman" w:hAnsi="Times New Roman" w:cs="Times New Roman"/>
                      <w:color w:val="auto"/>
                      <w:sz w:val="21"/>
                      <w:szCs w:val="21"/>
                      <w:highlight w:val="none"/>
                    </w:rPr>
                    <w:t>组织</w:t>
                  </w:r>
                </w:p>
              </w:tc>
              <w:tc>
                <w:tcPr>
                  <w:tcW w:w="455" w:type="pct"/>
                  <w:noWrap w:val="0"/>
                  <w:vAlign w:val="center"/>
                </w:tcPr>
                <w:p w14:paraId="1A7D345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873" w:type="pct"/>
                  <w:noWrap w:val="0"/>
                  <w:vAlign w:val="center"/>
                </w:tcPr>
                <w:p w14:paraId="0AC4CA2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436" w:type="pct"/>
                  <w:noWrap w:val="0"/>
                  <w:vAlign w:val="center"/>
                </w:tcPr>
                <w:p w14:paraId="0F2CD4E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385" w:type="pct"/>
                  <w:noWrap w:val="0"/>
                  <w:vAlign w:val="center"/>
                </w:tcPr>
                <w:p w14:paraId="31AD86B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330" w:type="pct"/>
                  <w:noWrap w:val="0"/>
                  <w:vAlign w:val="center"/>
                </w:tcPr>
                <w:p w14:paraId="6B76C47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0098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33776A4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876" w:type="pct"/>
                  <w:noWrap w:val="0"/>
                  <w:vAlign w:val="center"/>
                </w:tcPr>
                <w:p w14:paraId="65039E5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喷粉粉尘</w:t>
                  </w:r>
                </w:p>
              </w:tc>
              <w:tc>
                <w:tcPr>
                  <w:tcW w:w="442" w:type="pct"/>
                  <w:noWrap w:val="0"/>
                  <w:vAlign w:val="center"/>
                </w:tcPr>
                <w:p w14:paraId="428635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喷粉</w:t>
                  </w:r>
                </w:p>
              </w:tc>
              <w:tc>
                <w:tcPr>
                  <w:tcW w:w="671" w:type="pct"/>
                  <w:shd w:val="clear" w:color="auto" w:fill="auto"/>
                  <w:noWrap w:val="0"/>
                  <w:vAlign w:val="center"/>
                </w:tcPr>
                <w:p w14:paraId="18F7A15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颗粒物</w:t>
                  </w:r>
                </w:p>
              </w:tc>
              <w:tc>
                <w:tcPr>
                  <w:tcW w:w="357" w:type="pct"/>
                  <w:shd w:val="clear" w:color="auto" w:fill="auto"/>
                  <w:noWrap w:val="0"/>
                  <w:vAlign w:val="center"/>
                </w:tcPr>
                <w:p w14:paraId="74B4FA7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无组织</w:t>
                  </w:r>
                </w:p>
              </w:tc>
              <w:tc>
                <w:tcPr>
                  <w:tcW w:w="455" w:type="pct"/>
                  <w:noWrap w:val="0"/>
                  <w:vAlign w:val="center"/>
                </w:tcPr>
                <w:p w14:paraId="6868157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TA001</w:t>
                  </w:r>
                </w:p>
              </w:tc>
              <w:tc>
                <w:tcPr>
                  <w:tcW w:w="873" w:type="pct"/>
                  <w:noWrap w:val="0"/>
                  <w:vAlign w:val="center"/>
                </w:tcPr>
                <w:p w14:paraId="7D872DE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color w:val="auto"/>
                      <w:sz w:val="21"/>
                      <w:szCs w:val="21"/>
                    </w:rPr>
                    <w:t>大旋风+滤芯式二级回收系统</w:t>
                  </w:r>
                </w:p>
              </w:tc>
              <w:tc>
                <w:tcPr>
                  <w:tcW w:w="436" w:type="pct"/>
                  <w:noWrap w:val="0"/>
                  <w:vAlign w:val="center"/>
                </w:tcPr>
                <w:p w14:paraId="298B82E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c>
                <w:tcPr>
                  <w:tcW w:w="385" w:type="pct"/>
                  <w:noWrap w:val="0"/>
                  <w:vAlign w:val="center"/>
                </w:tcPr>
                <w:p w14:paraId="577776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c>
                <w:tcPr>
                  <w:tcW w:w="330" w:type="pct"/>
                  <w:noWrap w:val="0"/>
                  <w:vAlign w:val="center"/>
                </w:tcPr>
                <w:p w14:paraId="0FF25A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r>
            <w:tr w14:paraId="1188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687A9ED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876" w:type="pct"/>
                  <w:shd w:val="clear" w:color="auto" w:fill="auto"/>
                  <w:noWrap w:val="0"/>
                  <w:vAlign w:val="center"/>
                </w:tcPr>
                <w:p w14:paraId="4D2DC93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喷漆</w:t>
                  </w:r>
                  <w:r>
                    <w:rPr>
                      <w:rFonts w:hint="eastAsia" w:cs="Times New Roman"/>
                      <w:color w:val="auto"/>
                      <w:sz w:val="21"/>
                      <w:szCs w:val="21"/>
                      <w:highlight w:val="none"/>
                      <w:lang w:val="en-US" w:eastAsia="zh-CN"/>
                    </w:rPr>
                    <w:t>线</w:t>
                  </w:r>
                </w:p>
              </w:tc>
              <w:tc>
                <w:tcPr>
                  <w:tcW w:w="442" w:type="pct"/>
                  <w:shd w:val="clear" w:color="auto" w:fill="auto"/>
                  <w:noWrap w:val="0"/>
                  <w:vAlign w:val="center"/>
                </w:tcPr>
                <w:p w14:paraId="0BA335F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喷漆</w:t>
                  </w:r>
                </w:p>
              </w:tc>
              <w:tc>
                <w:tcPr>
                  <w:tcW w:w="671" w:type="pct"/>
                  <w:shd w:val="clear" w:color="auto" w:fill="auto"/>
                  <w:noWrap w:val="0"/>
                  <w:vAlign w:val="center"/>
                </w:tcPr>
                <w:p w14:paraId="5A04CCE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颗粒物、非甲烷总烃、苯系物、臭气浓度</w:t>
                  </w:r>
                </w:p>
              </w:tc>
              <w:tc>
                <w:tcPr>
                  <w:tcW w:w="357" w:type="pct"/>
                  <w:shd w:val="clear" w:color="auto" w:fill="auto"/>
                  <w:noWrap w:val="0"/>
                  <w:vAlign w:val="center"/>
                </w:tcPr>
                <w:p w14:paraId="1E7E131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有组织</w:t>
                  </w:r>
                </w:p>
              </w:tc>
              <w:tc>
                <w:tcPr>
                  <w:tcW w:w="455" w:type="pct"/>
                  <w:shd w:val="clear" w:color="auto" w:fill="auto"/>
                  <w:noWrap w:val="0"/>
                  <w:vAlign w:val="center"/>
                </w:tcPr>
                <w:p w14:paraId="5C7420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2</w:t>
                  </w:r>
                </w:p>
              </w:tc>
              <w:tc>
                <w:tcPr>
                  <w:tcW w:w="873" w:type="pct"/>
                  <w:shd w:val="clear" w:color="auto" w:fill="auto"/>
                  <w:noWrap w:val="0"/>
                  <w:vAlign w:val="center"/>
                </w:tcPr>
                <w:p w14:paraId="0D1121B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p>
              </w:tc>
              <w:tc>
                <w:tcPr>
                  <w:tcW w:w="436" w:type="pct"/>
                  <w:shd w:val="clear" w:color="auto" w:fill="auto"/>
                  <w:noWrap w:val="0"/>
                  <w:vAlign w:val="center"/>
                </w:tcPr>
                <w:p w14:paraId="3467F5C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p>
              </w:tc>
              <w:tc>
                <w:tcPr>
                  <w:tcW w:w="385" w:type="pct"/>
                  <w:shd w:val="clear" w:color="auto" w:fill="auto"/>
                  <w:noWrap w:val="0"/>
                  <w:vAlign w:val="center"/>
                </w:tcPr>
                <w:p w14:paraId="329A2F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是</w:t>
                  </w:r>
                </w:p>
              </w:tc>
              <w:tc>
                <w:tcPr>
                  <w:tcW w:w="330" w:type="pct"/>
                  <w:shd w:val="clear" w:color="auto" w:fill="auto"/>
                  <w:noWrap w:val="0"/>
                  <w:vAlign w:val="center"/>
                </w:tcPr>
                <w:p w14:paraId="34B39C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DA001</w:t>
                  </w:r>
                </w:p>
              </w:tc>
            </w:tr>
            <w:tr w14:paraId="626A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4B6D7B9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w:t>
                  </w:r>
                </w:p>
              </w:tc>
              <w:tc>
                <w:tcPr>
                  <w:tcW w:w="876" w:type="pct"/>
                  <w:shd w:val="clear" w:color="auto" w:fill="auto"/>
                  <w:noWrap w:val="0"/>
                  <w:vAlign w:val="center"/>
                </w:tcPr>
                <w:p w14:paraId="7526F3C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固化炉</w:t>
                  </w:r>
                </w:p>
              </w:tc>
              <w:tc>
                <w:tcPr>
                  <w:tcW w:w="442" w:type="pct"/>
                  <w:shd w:val="clear" w:color="auto" w:fill="auto"/>
                  <w:noWrap w:val="0"/>
                  <w:vAlign w:val="center"/>
                </w:tcPr>
                <w:p w14:paraId="305730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固化</w:t>
                  </w:r>
                </w:p>
              </w:tc>
              <w:tc>
                <w:tcPr>
                  <w:tcW w:w="671" w:type="pct"/>
                  <w:shd w:val="clear" w:color="auto" w:fill="auto"/>
                  <w:noWrap w:val="0"/>
                  <w:vAlign w:val="center"/>
                </w:tcPr>
                <w:p w14:paraId="21365C9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lang w:val="en-US" w:eastAsia="zh-CN"/>
                    </w:rPr>
                    <w:t>非甲烷总烃、臭气浓度、</w:t>
                  </w:r>
                  <w:r>
                    <w:rPr>
                      <w:rFonts w:hint="default" w:ascii="Times New Roman" w:hAnsi="Times New Roman" w:eastAsia="宋体" w:cs="Times New Roman"/>
                      <w:b w:val="0"/>
                      <w:bCs w:val="0"/>
                      <w:color w:val="auto"/>
                      <w:sz w:val="21"/>
                      <w:szCs w:val="21"/>
                      <w:highlight w:val="none"/>
                      <w:lang w:val="en-US" w:eastAsia="zh-CN"/>
                    </w:rPr>
                    <w:t>颗粒物、</w:t>
                  </w:r>
                  <w:r>
                    <w:rPr>
                      <w:rFonts w:hint="default" w:ascii="Times New Roman" w:hAnsi="Times New Roman" w:eastAsia="宋体" w:cs="Times New Roman"/>
                      <w:b w:val="0"/>
                      <w:bCs w:val="0"/>
                      <w:color w:val="auto"/>
                      <w:sz w:val="21"/>
                      <w:szCs w:val="21"/>
                      <w:highlight w:val="none"/>
                    </w:rPr>
                    <w:t>SO</w:t>
                  </w:r>
                  <w:r>
                    <w:rPr>
                      <w:rFonts w:hint="default" w:ascii="Times New Roman" w:hAnsi="Times New Roman" w:eastAsia="宋体" w:cs="Times New Roman"/>
                      <w:b w:val="0"/>
                      <w:bCs w:val="0"/>
                      <w:color w:val="auto"/>
                      <w:sz w:val="21"/>
                      <w:szCs w:val="21"/>
                      <w:highlight w:val="none"/>
                      <w:vertAlign w:val="subscript"/>
                    </w:rPr>
                    <w:t>2</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NO</w:t>
                  </w:r>
                  <w:r>
                    <w:rPr>
                      <w:rFonts w:hint="default" w:ascii="Times New Roman" w:hAnsi="Times New Roman" w:eastAsia="宋体" w:cs="Times New Roman"/>
                      <w:b w:val="0"/>
                      <w:bCs w:val="0"/>
                      <w:color w:val="auto"/>
                      <w:sz w:val="21"/>
                      <w:szCs w:val="21"/>
                      <w:highlight w:val="none"/>
                      <w:vertAlign w:val="subscript"/>
                    </w:rPr>
                    <w:t>X</w:t>
                  </w:r>
                  <w:r>
                    <w:rPr>
                      <w:rFonts w:hint="eastAsia" w:cs="Times New Roman"/>
                      <w:b w:val="0"/>
                      <w:bCs w:val="0"/>
                      <w:color w:val="auto"/>
                      <w:sz w:val="21"/>
                      <w:szCs w:val="21"/>
                      <w:highlight w:val="none"/>
                      <w:vertAlign w:val="baseline"/>
                      <w:lang w:eastAsia="zh-CN"/>
                    </w:rPr>
                    <w:t>、</w:t>
                  </w:r>
                  <w:r>
                    <w:rPr>
                      <w:rFonts w:hint="eastAsia" w:cs="Times New Roman"/>
                      <w:b w:val="0"/>
                      <w:bCs w:val="0"/>
                      <w:color w:val="auto"/>
                      <w:sz w:val="21"/>
                      <w:szCs w:val="21"/>
                      <w:highlight w:val="none"/>
                      <w:vertAlign w:val="baseline"/>
                      <w:lang w:val="en-US" w:eastAsia="zh-CN"/>
                    </w:rPr>
                    <w:t>烟气黑度</w:t>
                  </w:r>
                </w:p>
              </w:tc>
              <w:tc>
                <w:tcPr>
                  <w:tcW w:w="357" w:type="pct"/>
                  <w:shd w:val="clear" w:color="auto" w:fill="auto"/>
                  <w:noWrap w:val="0"/>
                  <w:vAlign w:val="center"/>
                </w:tcPr>
                <w:p w14:paraId="135B0EB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有组织</w:t>
                  </w:r>
                </w:p>
              </w:tc>
              <w:tc>
                <w:tcPr>
                  <w:tcW w:w="455" w:type="pct"/>
                  <w:shd w:val="clear" w:color="auto" w:fill="auto"/>
                  <w:noWrap w:val="0"/>
                  <w:vAlign w:val="center"/>
                </w:tcPr>
                <w:p w14:paraId="455EAC2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3</w:t>
                  </w:r>
                </w:p>
              </w:tc>
              <w:tc>
                <w:tcPr>
                  <w:tcW w:w="873" w:type="pct"/>
                  <w:shd w:val="clear" w:color="auto" w:fill="auto"/>
                  <w:noWrap w:val="0"/>
                  <w:vAlign w:val="center"/>
                </w:tcPr>
                <w:p w14:paraId="5A3E4CE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kern w:val="0"/>
                      <w:sz w:val="21"/>
                      <w:szCs w:val="21"/>
                      <w:lang w:val="en-US" w:eastAsia="zh-CN" w:bidi="ar"/>
                    </w:rPr>
                    <w:t>二级活性炭吸附</w:t>
                  </w:r>
                </w:p>
              </w:tc>
              <w:tc>
                <w:tcPr>
                  <w:tcW w:w="436" w:type="pct"/>
                  <w:shd w:val="clear" w:color="auto" w:fill="auto"/>
                  <w:noWrap w:val="0"/>
                  <w:vAlign w:val="center"/>
                </w:tcPr>
                <w:p w14:paraId="2C7C1E3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kern w:val="0"/>
                      <w:sz w:val="21"/>
                      <w:szCs w:val="21"/>
                      <w:lang w:val="en-US" w:eastAsia="zh-CN" w:bidi="ar"/>
                    </w:rPr>
                    <w:t>二级活性炭吸附</w:t>
                  </w:r>
                </w:p>
              </w:tc>
              <w:tc>
                <w:tcPr>
                  <w:tcW w:w="385" w:type="pct"/>
                  <w:shd w:val="clear" w:color="auto" w:fill="auto"/>
                  <w:noWrap w:val="0"/>
                  <w:vAlign w:val="center"/>
                </w:tcPr>
                <w:p w14:paraId="0D6A799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是</w:t>
                  </w:r>
                </w:p>
              </w:tc>
              <w:tc>
                <w:tcPr>
                  <w:tcW w:w="330" w:type="pct"/>
                  <w:shd w:val="clear" w:color="auto" w:fill="auto"/>
                  <w:noWrap w:val="0"/>
                  <w:vAlign w:val="center"/>
                </w:tcPr>
                <w:p w14:paraId="2F35750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DA002</w:t>
                  </w:r>
                </w:p>
              </w:tc>
            </w:tr>
            <w:tr w14:paraId="33F0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4158F5F9">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7</w:t>
                  </w:r>
                </w:p>
              </w:tc>
              <w:tc>
                <w:tcPr>
                  <w:tcW w:w="876" w:type="pct"/>
                  <w:shd w:val="clear" w:color="auto" w:fill="auto"/>
                  <w:noWrap w:val="0"/>
                  <w:vAlign w:val="center"/>
                </w:tcPr>
                <w:p w14:paraId="10793FAD">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食堂</w:t>
                  </w:r>
                </w:p>
              </w:tc>
              <w:tc>
                <w:tcPr>
                  <w:tcW w:w="442" w:type="pct"/>
                  <w:shd w:val="clear" w:color="auto" w:fill="auto"/>
                  <w:noWrap w:val="0"/>
                  <w:vAlign w:val="center"/>
                </w:tcPr>
                <w:p w14:paraId="1C87A603">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烹饪</w:t>
                  </w:r>
                </w:p>
              </w:tc>
              <w:tc>
                <w:tcPr>
                  <w:tcW w:w="671" w:type="pct"/>
                  <w:shd w:val="clear" w:color="auto" w:fill="auto"/>
                  <w:noWrap w:val="0"/>
                  <w:vAlign w:val="center"/>
                </w:tcPr>
                <w:p w14:paraId="02F262D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厨房油烟</w:t>
                  </w:r>
                </w:p>
              </w:tc>
              <w:tc>
                <w:tcPr>
                  <w:tcW w:w="357" w:type="pct"/>
                  <w:shd w:val="clear" w:color="auto" w:fill="auto"/>
                  <w:noWrap w:val="0"/>
                  <w:vAlign w:val="center"/>
                </w:tcPr>
                <w:p w14:paraId="75CBCAA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有组织</w:t>
                  </w:r>
                </w:p>
              </w:tc>
              <w:tc>
                <w:tcPr>
                  <w:tcW w:w="455" w:type="pct"/>
                  <w:shd w:val="clear" w:color="auto" w:fill="auto"/>
                  <w:noWrap w:val="0"/>
                  <w:vAlign w:val="center"/>
                </w:tcPr>
                <w:p w14:paraId="6E013D74">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4</w:t>
                  </w:r>
                </w:p>
              </w:tc>
              <w:tc>
                <w:tcPr>
                  <w:tcW w:w="1309" w:type="pct"/>
                  <w:gridSpan w:val="2"/>
                  <w:shd w:val="clear" w:color="auto" w:fill="auto"/>
                  <w:noWrap w:val="0"/>
                  <w:vAlign w:val="center"/>
                </w:tcPr>
                <w:p w14:paraId="6CC3B8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eastAsia="zh-CN"/>
                    </w:rPr>
                    <w:t>高效静电油烟净化器</w:t>
                  </w:r>
                </w:p>
              </w:tc>
              <w:tc>
                <w:tcPr>
                  <w:tcW w:w="385" w:type="pct"/>
                  <w:shd w:val="clear" w:color="auto" w:fill="auto"/>
                  <w:noWrap w:val="0"/>
                  <w:vAlign w:val="center"/>
                </w:tcPr>
                <w:p w14:paraId="4061D50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是</w:t>
                  </w:r>
                </w:p>
              </w:tc>
              <w:tc>
                <w:tcPr>
                  <w:tcW w:w="330" w:type="pct"/>
                  <w:shd w:val="clear" w:color="auto" w:fill="auto"/>
                  <w:noWrap w:val="0"/>
                  <w:vAlign w:val="center"/>
                </w:tcPr>
                <w:p w14:paraId="27B6306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DA004</w:t>
                  </w:r>
                </w:p>
              </w:tc>
            </w:tr>
            <w:tr w14:paraId="15D7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0B2A5B4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876" w:type="pct"/>
                  <w:shd w:val="clear" w:color="auto" w:fill="auto"/>
                  <w:noWrap w:val="0"/>
                  <w:vAlign w:val="center"/>
                </w:tcPr>
                <w:p w14:paraId="1C4B1C1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w:t>
                  </w:r>
                </w:p>
              </w:tc>
              <w:tc>
                <w:tcPr>
                  <w:tcW w:w="442" w:type="pct"/>
                  <w:shd w:val="clear" w:color="auto" w:fill="auto"/>
                  <w:noWrap w:val="0"/>
                  <w:vAlign w:val="center"/>
                </w:tcPr>
                <w:p w14:paraId="0723E6E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脱脂、无铬钝化、烘干</w:t>
                  </w:r>
                </w:p>
              </w:tc>
              <w:tc>
                <w:tcPr>
                  <w:tcW w:w="671" w:type="pct"/>
                  <w:shd w:val="clear" w:color="auto" w:fill="auto"/>
                  <w:noWrap w:val="0"/>
                  <w:vAlign w:val="center"/>
                </w:tcPr>
                <w:p w14:paraId="4A263C3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r>
                    <w:rPr>
                      <w:rFonts w:hint="default" w:ascii="Times New Roman" w:hAnsi="Times New Roman" w:eastAsia="宋体" w:cs="Times New Roman"/>
                      <w:b w:val="0"/>
                      <w:bCs w:val="0"/>
                      <w:color w:val="auto"/>
                      <w:sz w:val="21"/>
                      <w:szCs w:val="21"/>
                      <w:highlight w:val="none"/>
                      <w:lang w:val="en-US" w:eastAsia="zh-CN"/>
                    </w:rPr>
                    <w:t>颗粒物、</w:t>
                  </w:r>
                  <w:r>
                    <w:rPr>
                      <w:rFonts w:hint="default" w:ascii="Times New Roman" w:hAnsi="Times New Roman" w:eastAsia="宋体" w:cs="Times New Roman"/>
                      <w:b w:val="0"/>
                      <w:bCs w:val="0"/>
                      <w:color w:val="auto"/>
                      <w:sz w:val="21"/>
                      <w:szCs w:val="21"/>
                      <w:highlight w:val="none"/>
                    </w:rPr>
                    <w:t>SO</w:t>
                  </w:r>
                  <w:r>
                    <w:rPr>
                      <w:rFonts w:hint="default" w:ascii="Times New Roman" w:hAnsi="Times New Roman" w:eastAsia="宋体" w:cs="Times New Roman"/>
                      <w:b w:val="0"/>
                      <w:bCs w:val="0"/>
                      <w:color w:val="auto"/>
                      <w:sz w:val="21"/>
                      <w:szCs w:val="21"/>
                      <w:highlight w:val="none"/>
                      <w:vertAlign w:val="subscript"/>
                    </w:rPr>
                    <w:t>2</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NO</w:t>
                  </w:r>
                  <w:r>
                    <w:rPr>
                      <w:rFonts w:hint="default" w:ascii="Times New Roman" w:hAnsi="Times New Roman" w:eastAsia="宋体" w:cs="Times New Roman"/>
                      <w:b w:val="0"/>
                      <w:bCs w:val="0"/>
                      <w:color w:val="auto"/>
                      <w:sz w:val="21"/>
                      <w:szCs w:val="21"/>
                      <w:highlight w:val="none"/>
                      <w:vertAlign w:val="subscript"/>
                    </w:rPr>
                    <w:t>X</w:t>
                  </w:r>
                  <w:r>
                    <w:rPr>
                      <w:rFonts w:hint="eastAsia" w:cs="Times New Roman"/>
                      <w:b w:val="0"/>
                      <w:bCs w:val="0"/>
                      <w:color w:val="auto"/>
                      <w:sz w:val="21"/>
                      <w:szCs w:val="21"/>
                      <w:highlight w:val="none"/>
                      <w:vertAlign w:val="baseline"/>
                      <w:lang w:eastAsia="zh-CN"/>
                    </w:rPr>
                    <w:t>、</w:t>
                  </w:r>
                  <w:r>
                    <w:rPr>
                      <w:rFonts w:hint="eastAsia" w:cs="Times New Roman"/>
                      <w:b w:val="0"/>
                      <w:bCs w:val="0"/>
                      <w:color w:val="auto"/>
                      <w:sz w:val="21"/>
                      <w:szCs w:val="21"/>
                      <w:highlight w:val="none"/>
                      <w:vertAlign w:val="baseline"/>
                      <w:lang w:val="en-US" w:eastAsia="zh-CN"/>
                    </w:rPr>
                    <w:t>烟气黑度</w:t>
                  </w:r>
                </w:p>
              </w:tc>
              <w:tc>
                <w:tcPr>
                  <w:tcW w:w="357" w:type="pct"/>
                  <w:shd w:val="clear" w:color="auto" w:fill="auto"/>
                  <w:noWrap w:val="0"/>
                  <w:vAlign w:val="center"/>
                </w:tcPr>
                <w:p w14:paraId="3764C88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有组织</w:t>
                  </w:r>
                </w:p>
              </w:tc>
              <w:tc>
                <w:tcPr>
                  <w:tcW w:w="455" w:type="pct"/>
                  <w:shd w:val="clear" w:color="auto" w:fill="auto"/>
                  <w:noWrap w:val="0"/>
                  <w:vAlign w:val="center"/>
                </w:tcPr>
                <w:p w14:paraId="4C5B46B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TA005</w:t>
                  </w:r>
                </w:p>
              </w:tc>
              <w:tc>
                <w:tcPr>
                  <w:tcW w:w="873" w:type="pct"/>
                  <w:shd w:val="clear" w:color="auto" w:fill="auto"/>
                  <w:noWrap w:val="0"/>
                  <w:vAlign w:val="center"/>
                </w:tcPr>
                <w:p w14:paraId="4A7F2A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碱液喷淋</w:t>
                  </w:r>
                </w:p>
              </w:tc>
              <w:tc>
                <w:tcPr>
                  <w:tcW w:w="436" w:type="pct"/>
                  <w:shd w:val="clear" w:color="auto" w:fill="auto"/>
                  <w:noWrap w:val="0"/>
                  <w:vAlign w:val="center"/>
                </w:tcPr>
                <w:p w14:paraId="26F27BC7">
                  <w:pPr>
                    <w:keepNext w:val="0"/>
                    <w:keepLines w:val="0"/>
                    <w:suppressLineNumbers w:val="0"/>
                    <w:spacing w:before="0" w:beforeAutospacing="0" w:after="0" w:afterAutospacing="0" w:line="240" w:lineRule="auto"/>
                    <w:ind w:left="0" w:leftChars="0" w:right="0" w:rightChars="0"/>
                    <w:jc w:val="center"/>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碱液喷淋</w:t>
                  </w:r>
                </w:p>
              </w:tc>
              <w:tc>
                <w:tcPr>
                  <w:tcW w:w="385" w:type="pct"/>
                  <w:shd w:val="clear" w:color="auto" w:fill="auto"/>
                  <w:noWrap w:val="0"/>
                  <w:vAlign w:val="center"/>
                </w:tcPr>
                <w:p w14:paraId="1351CF8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30" w:type="pct"/>
                  <w:shd w:val="clear" w:color="auto" w:fill="auto"/>
                  <w:noWrap w:val="0"/>
                  <w:vAlign w:val="center"/>
                </w:tcPr>
                <w:p w14:paraId="141478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DA003</w:t>
                  </w:r>
                </w:p>
              </w:tc>
            </w:tr>
          </w:tbl>
          <w:p w14:paraId="1C9D543B">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2A6384C2">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color w:val="auto"/>
                <w:sz w:val="24"/>
                <w:szCs w:val="24"/>
                <w:highlight w:val="none"/>
              </w:rPr>
            </w:pPr>
            <w:r>
              <w:rPr>
                <w:rFonts w:hint="default" w:ascii="Times New Roman" w:hAnsi="Times New Roman" w:eastAsia="宋体....." w:cs="Times New Roman"/>
                <w:b/>
                <w:color w:val="auto"/>
                <w:kern w:val="2"/>
                <w:sz w:val="21"/>
                <w:szCs w:val="21"/>
                <w:lang w:val="en-US" w:eastAsia="zh-CN" w:bidi="ar-SA"/>
              </w:rPr>
              <w:t>表4-2</w:t>
            </w:r>
            <w:r>
              <w:rPr>
                <w:rFonts w:hint="eastAsia" w:ascii="Times New Roman" w:cs="Times New Roman"/>
                <w:b/>
                <w:color w:val="auto"/>
                <w:kern w:val="2"/>
                <w:sz w:val="21"/>
                <w:szCs w:val="21"/>
                <w:lang w:val="en-US" w:eastAsia="zh-CN" w:bidi="ar-SA"/>
              </w:rPr>
              <w:t xml:space="preserve">  </w:t>
            </w:r>
            <w:r>
              <w:rPr>
                <w:rFonts w:hint="default" w:ascii="Times New Roman" w:hAnsi="Times New Roman" w:eastAsia="宋体" w:cs="Times New Roman"/>
                <w:b/>
                <w:bCs/>
                <w:color w:val="auto"/>
                <w:sz w:val="21"/>
                <w:szCs w:val="21"/>
                <w:highlight w:val="none"/>
                <w:lang w:val="en-US" w:eastAsia="zh-CN"/>
              </w:rPr>
              <w:t>本项目</w:t>
            </w:r>
            <w:r>
              <w:rPr>
                <w:rFonts w:hint="eastAsia" w:ascii="Times New Roman" w:hAnsi="Times New Roman" w:eastAsia="宋体" w:cs="Times New Roman"/>
                <w:b/>
                <w:bCs/>
                <w:color w:val="auto"/>
                <w:sz w:val="21"/>
                <w:szCs w:val="21"/>
                <w:highlight w:val="none"/>
                <w:lang w:val="en-US" w:eastAsia="zh-CN"/>
              </w:rPr>
              <w:t>废气产排</w:t>
            </w:r>
            <w:r>
              <w:rPr>
                <w:rFonts w:hint="default" w:ascii="Times New Roman" w:hAnsi="Times New Roman" w:eastAsia="宋体" w:cs="Times New Roman"/>
                <w:b/>
                <w:bCs/>
                <w:color w:val="auto"/>
                <w:sz w:val="21"/>
                <w:szCs w:val="21"/>
                <w:highlight w:val="none"/>
                <w:lang w:val="en-US" w:eastAsia="zh-CN"/>
              </w:rPr>
              <w:t>情况</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lang w:val="en-US" w:eastAsia="zh-CN"/>
              </w:rPr>
              <w:t>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012"/>
              <w:gridCol w:w="873"/>
              <w:gridCol w:w="1074"/>
              <w:gridCol w:w="1102"/>
              <w:gridCol w:w="904"/>
              <w:gridCol w:w="1109"/>
              <w:gridCol w:w="735"/>
              <w:gridCol w:w="670"/>
              <w:gridCol w:w="873"/>
              <w:gridCol w:w="1109"/>
              <w:gridCol w:w="1225"/>
              <w:gridCol w:w="878"/>
            </w:tblGrid>
            <w:tr w14:paraId="7178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D14C121">
                  <w:pPr>
                    <w:pStyle w:val="109"/>
                    <w:bidi w:val="0"/>
                    <w:rPr>
                      <w:rFonts w:hint="default" w:ascii="Times New Roman" w:hAnsi="Times New Roman" w:cs="Times New Roman"/>
                      <w:b/>
                      <w:color w:val="auto"/>
                      <w:sz w:val="21"/>
                      <w:szCs w:val="21"/>
                      <w:highlight w:val="none"/>
                    </w:rPr>
                  </w:pPr>
                  <w:r>
                    <w:rPr>
                      <w:rFonts w:hint="default" w:ascii="Times New Roman" w:hAnsi="Times New Roman" w:eastAsia="宋体" w:cs="Times New Roman"/>
                      <w:b/>
                      <w:bCs/>
                      <w:snapToGrid/>
                      <w:color w:val="auto"/>
                      <w:kern w:val="2"/>
                      <w:sz w:val="21"/>
                      <w:szCs w:val="21"/>
                      <w:highlight w:val="none"/>
                      <w:lang w:eastAsia="zh-CN"/>
                    </w:rPr>
                    <w:t>污染源</w:t>
                  </w:r>
                </w:p>
              </w:tc>
              <w:tc>
                <w:tcPr>
                  <w:tcW w:w="394" w:type="pct"/>
                  <w:vMerge w:val="restart"/>
                  <w:tcBorders>
                    <w:tl2br w:val="nil"/>
                    <w:tr2bl w:val="nil"/>
                  </w:tcBorders>
                  <w:noWrap w:val="0"/>
                  <w:tcMar>
                    <w:top w:w="0" w:type="dxa"/>
                    <w:left w:w="0" w:type="dxa"/>
                    <w:bottom w:w="0" w:type="dxa"/>
                    <w:right w:w="0" w:type="dxa"/>
                  </w:tcMar>
                  <w:vAlign w:val="center"/>
                </w:tcPr>
                <w:p w14:paraId="0D9B910E">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污染物种类</w:t>
                  </w:r>
                </w:p>
              </w:tc>
              <w:tc>
                <w:tcPr>
                  <w:tcW w:w="1187" w:type="pct"/>
                  <w:gridSpan w:val="3"/>
                  <w:tcBorders>
                    <w:tl2br w:val="nil"/>
                    <w:tr2bl w:val="nil"/>
                  </w:tcBorders>
                  <w:noWrap w:val="0"/>
                  <w:tcMar>
                    <w:top w:w="0" w:type="dxa"/>
                    <w:left w:w="0" w:type="dxa"/>
                    <w:bottom w:w="0" w:type="dxa"/>
                    <w:right w:w="0" w:type="dxa"/>
                  </w:tcMar>
                  <w:vAlign w:val="center"/>
                </w:tcPr>
                <w:p w14:paraId="7F804AFA">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污染物产生情况</w:t>
                  </w:r>
                </w:p>
              </w:tc>
              <w:tc>
                <w:tcPr>
                  <w:tcW w:w="352" w:type="pct"/>
                  <w:vMerge w:val="restart"/>
                  <w:tcBorders>
                    <w:tl2br w:val="nil"/>
                    <w:tr2bl w:val="nil"/>
                  </w:tcBorders>
                  <w:noWrap w:val="0"/>
                  <w:tcMar>
                    <w:top w:w="0" w:type="dxa"/>
                    <w:left w:w="0" w:type="dxa"/>
                    <w:bottom w:w="0" w:type="dxa"/>
                    <w:right w:w="0" w:type="dxa"/>
                  </w:tcMar>
                  <w:vAlign w:val="center"/>
                </w:tcPr>
                <w:p w14:paraId="019C2B7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排放形式</w:t>
                  </w:r>
                </w:p>
              </w:tc>
              <w:tc>
                <w:tcPr>
                  <w:tcW w:w="979" w:type="pct"/>
                  <w:gridSpan w:val="3"/>
                  <w:tcBorders>
                    <w:tl2br w:val="nil"/>
                    <w:tr2bl w:val="nil"/>
                  </w:tcBorders>
                  <w:noWrap w:val="0"/>
                  <w:tcMar>
                    <w:top w:w="0" w:type="dxa"/>
                    <w:left w:w="0" w:type="dxa"/>
                    <w:bottom w:w="0" w:type="dxa"/>
                    <w:right w:w="0" w:type="dxa"/>
                  </w:tcMar>
                  <w:vAlign w:val="center"/>
                </w:tcPr>
                <w:p w14:paraId="4C8CDC07">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治理设施情况</w:t>
                  </w:r>
                </w:p>
              </w:tc>
              <w:tc>
                <w:tcPr>
                  <w:tcW w:w="1249" w:type="pct"/>
                  <w:gridSpan w:val="3"/>
                  <w:tcBorders>
                    <w:tl2br w:val="nil"/>
                    <w:tr2bl w:val="nil"/>
                  </w:tcBorders>
                  <w:noWrap w:val="0"/>
                  <w:tcMar>
                    <w:top w:w="0" w:type="dxa"/>
                    <w:left w:w="0" w:type="dxa"/>
                    <w:bottom w:w="0" w:type="dxa"/>
                    <w:right w:w="0" w:type="dxa"/>
                  </w:tcMar>
                  <w:vAlign w:val="center"/>
                </w:tcPr>
                <w:p w14:paraId="2BE1B6C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污染物排放情况</w:t>
                  </w:r>
                </w:p>
              </w:tc>
              <w:tc>
                <w:tcPr>
                  <w:tcW w:w="342" w:type="pct"/>
                  <w:vMerge w:val="restart"/>
                  <w:tcBorders>
                    <w:tl2br w:val="nil"/>
                    <w:tr2bl w:val="nil"/>
                  </w:tcBorders>
                  <w:noWrap w:val="0"/>
                  <w:tcMar>
                    <w:top w:w="0" w:type="dxa"/>
                    <w:left w:w="0" w:type="dxa"/>
                    <w:bottom w:w="0" w:type="dxa"/>
                    <w:right w:w="0" w:type="dxa"/>
                  </w:tcMar>
                  <w:vAlign w:val="center"/>
                </w:tcPr>
                <w:p w14:paraId="6968F95B">
                  <w:pPr>
                    <w:jc w:val="center"/>
                    <w:rPr>
                      <w:rFonts w:hint="default" w:ascii="Times New Roman" w:hAnsi="Times New Roman" w:cs="Times New Roman"/>
                      <w:b/>
                      <w:color w:val="auto"/>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排放时间（h）</w:t>
                  </w:r>
                </w:p>
              </w:tc>
            </w:tr>
            <w:tr w14:paraId="2C64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7243084">
                  <w:pPr>
                    <w:jc w:val="center"/>
                    <w:rPr>
                      <w:rFonts w:hint="default" w:ascii="Times New Roman" w:hAnsi="Times New Roman" w:cs="Times New Roman"/>
                      <w:b/>
                      <w:color w:val="auto"/>
                      <w:sz w:val="21"/>
                      <w:szCs w:val="21"/>
                      <w:highlight w:val="none"/>
                    </w:rPr>
                  </w:pPr>
                </w:p>
              </w:tc>
              <w:tc>
                <w:tcPr>
                  <w:tcW w:w="394" w:type="pct"/>
                  <w:vMerge w:val="continue"/>
                  <w:tcBorders>
                    <w:tl2br w:val="nil"/>
                    <w:tr2bl w:val="nil"/>
                  </w:tcBorders>
                  <w:noWrap w:val="0"/>
                  <w:tcMar>
                    <w:top w:w="0" w:type="dxa"/>
                    <w:left w:w="0" w:type="dxa"/>
                    <w:bottom w:w="0" w:type="dxa"/>
                    <w:right w:w="0" w:type="dxa"/>
                  </w:tcMar>
                  <w:vAlign w:val="center"/>
                </w:tcPr>
                <w:p w14:paraId="0CE8BC7A">
                  <w:pPr>
                    <w:jc w:val="center"/>
                    <w:rPr>
                      <w:rFonts w:hint="default" w:ascii="Times New Roman" w:hAnsi="Times New Roman" w:cs="Times New Roman"/>
                      <w:b/>
                      <w:color w:val="auto"/>
                      <w:sz w:val="21"/>
                      <w:szCs w:val="21"/>
                      <w:highlight w:val="none"/>
                    </w:rPr>
                  </w:pPr>
                </w:p>
              </w:tc>
              <w:tc>
                <w:tcPr>
                  <w:tcW w:w="340" w:type="pct"/>
                  <w:tcBorders>
                    <w:tl2br w:val="nil"/>
                    <w:tr2bl w:val="nil"/>
                  </w:tcBorders>
                  <w:noWrap w:val="0"/>
                  <w:tcMar>
                    <w:top w:w="0" w:type="dxa"/>
                    <w:left w:w="0" w:type="dxa"/>
                    <w:bottom w:w="0" w:type="dxa"/>
                    <w:right w:w="0" w:type="dxa"/>
                  </w:tcMar>
                  <w:vAlign w:val="center"/>
                </w:tcPr>
                <w:p w14:paraId="3D972156">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产生量（t/a）</w:t>
                  </w:r>
                </w:p>
              </w:tc>
              <w:tc>
                <w:tcPr>
                  <w:tcW w:w="418" w:type="pct"/>
                  <w:tcBorders>
                    <w:tl2br w:val="nil"/>
                    <w:tr2bl w:val="nil"/>
                  </w:tcBorders>
                  <w:noWrap w:val="0"/>
                  <w:tcMar>
                    <w:top w:w="0" w:type="dxa"/>
                    <w:left w:w="0" w:type="dxa"/>
                    <w:bottom w:w="0" w:type="dxa"/>
                    <w:right w:w="0" w:type="dxa"/>
                  </w:tcMar>
                  <w:vAlign w:val="center"/>
                </w:tcPr>
                <w:p w14:paraId="6C52B9C5">
                  <w:pPr>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产生速率</w:t>
                  </w:r>
                  <w:r>
                    <w:rPr>
                      <w:rFonts w:hint="default" w:ascii="Times New Roman" w:hAnsi="Times New Roman" w:cs="Times New Roman"/>
                      <w:b/>
                      <w:color w:val="auto"/>
                      <w:sz w:val="21"/>
                      <w:szCs w:val="21"/>
                      <w:highlight w:val="none"/>
                      <w:lang w:eastAsia="zh-CN"/>
                    </w:rPr>
                    <w:t>（</w:t>
                  </w:r>
                  <w:r>
                    <w:rPr>
                      <w:rFonts w:hint="default" w:ascii="Times New Roman" w:hAnsi="Times New Roman" w:cs="Times New Roman"/>
                      <w:b/>
                      <w:color w:val="auto"/>
                      <w:sz w:val="21"/>
                      <w:szCs w:val="21"/>
                      <w:highlight w:val="none"/>
                    </w:rPr>
                    <w:t>kg/h</w:t>
                  </w:r>
                  <w:r>
                    <w:rPr>
                      <w:rFonts w:hint="default" w:ascii="Times New Roman" w:hAnsi="Times New Roman" w:cs="Times New Roman"/>
                      <w:b/>
                      <w:color w:val="auto"/>
                      <w:sz w:val="21"/>
                      <w:szCs w:val="21"/>
                      <w:highlight w:val="none"/>
                      <w:lang w:eastAsia="zh-CN"/>
                    </w:rPr>
                    <w:t>）</w:t>
                  </w:r>
                </w:p>
              </w:tc>
              <w:tc>
                <w:tcPr>
                  <w:tcW w:w="429" w:type="pct"/>
                  <w:tcBorders>
                    <w:tl2br w:val="nil"/>
                    <w:tr2bl w:val="nil"/>
                  </w:tcBorders>
                  <w:noWrap w:val="0"/>
                  <w:tcMar>
                    <w:top w:w="0" w:type="dxa"/>
                    <w:left w:w="0" w:type="dxa"/>
                    <w:bottom w:w="0" w:type="dxa"/>
                    <w:right w:w="0" w:type="dxa"/>
                  </w:tcMar>
                  <w:vAlign w:val="center"/>
                </w:tcPr>
                <w:p w14:paraId="6E012946">
                  <w:pPr>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rPr>
                    <w:t>产生浓度</w:t>
                  </w:r>
                  <w:r>
                    <w:rPr>
                      <w:rFonts w:hint="default" w:ascii="Times New Roman" w:hAnsi="Times New Roman" w:cs="Times New Roman"/>
                      <w:b/>
                      <w:color w:val="auto"/>
                      <w:sz w:val="21"/>
                      <w:szCs w:val="21"/>
                      <w:highlight w:val="none"/>
                      <w:lang w:val="en-US" w:eastAsia="zh-CN"/>
                    </w:rPr>
                    <w:t>(</w:t>
                  </w: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color w:val="auto"/>
                      <w:sz w:val="21"/>
                      <w:szCs w:val="21"/>
                      <w:highlight w:val="none"/>
                      <w:lang w:val="en-US" w:eastAsia="zh-CN"/>
                    </w:rPr>
                    <w:t>)</w:t>
                  </w:r>
                </w:p>
              </w:tc>
              <w:tc>
                <w:tcPr>
                  <w:tcW w:w="352" w:type="pct"/>
                  <w:vMerge w:val="continue"/>
                  <w:tcBorders>
                    <w:tl2br w:val="nil"/>
                    <w:tr2bl w:val="nil"/>
                  </w:tcBorders>
                  <w:noWrap w:val="0"/>
                  <w:tcMar>
                    <w:top w:w="0" w:type="dxa"/>
                    <w:left w:w="0" w:type="dxa"/>
                    <w:bottom w:w="0" w:type="dxa"/>
                    <w:right w:w="0" w:type="dxa"/>
                  </w:tcMar>
                  <w:vAlign w:val="center"/>
                </w:tcPr>
                <w:p w14:paraId="756A6C5F">
                  <w:pPr>
                    <w:jc w:val="center"/>
                    <w:rPr>
                      <w:rFonts w:hint="default" w:ascii="Times New Roman" w:hAnsi="Times New Roman" w:cs="Times New Roman"/>
                      <w:b/>
                      <w:color w:val="auto"/>
                      <w:sz w:val="21"/>
                      <w:szCs w:val="21"/>
                      <w:highlight w:val="none"/>
                    </w:rPr>
                  </w:pPr>
                </w:p>
              </w:tc>
              <w:tc>
                <w:tcPr>
                  <w:tcW w:w="432" w:type="pct"/>
                  <w:tcBorders>
                    <w:tl2br w:val="nil"/>
                    <w:tr2bl w:val="nil"/>
                  </w:tcBorders>
                  <w:noWrap w:val="0"/>
                  <w:tcMar>
                    <w:top w:w="0" w:type="dxa"/>
                    <w:left w:w="0" w:type="dxa"/>
                    <w:bottom w:w="0" w:type="dxa"/>
                    <w:right w:w="0" w:type="dxa"/>
                  </w:tcMar>
                  <w:vAlign w:val="center"/>
                </w:tcPr>
                <w:p w14:paraId="20146916">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处理能力（m</w:t>
                  </w:r>
                  <w:r>
                    <w:rPr>
                      <w:rFonts w:hint="default" w:ascii="Times New Roman" w:hAnsi="Times New Roman" w:cs="Times New Roman"/>
                      <w:b/>
                      <w:color w:val="auto"/>
                      <w:sz w:val="21"/>
                      <w:szCs w:val="21"/>
                      <w:highlight w:val="none"/>
                      <w:vertAlign w:val="superscript"/>
                    </w:rPr>
                    <w:t>3</w:t>
                  </w:r>
                  <w:r>
                    <w:rPr>
                      <w:rFonts w:hint="default" w:ascii="Times New Roman" w:hAnsi="Times New Roman" w:cs="Times New Roman"/>
                      <w:b/>
                      <w:color w:val="auto"/>
                      <w:sz w:val="21"/>
                      <w:szCs w:val="21"/>
                      <w:highlight w:val="none"/>
                    </w:rPr>
                    <w:t>/h）</w:t>
                  </w:r>
                </w:p>
              </w:tc>
              <w:tc>
                <w:tcPr>
                  <w:tcW w:w="286" w:type="pct"/>
                  <w:tcBorders>
                    <w:tl2br w:val="nil"/>
                    <w:tr2bl w:val="nil"/>
                  </w:tcBorders>
                  <w:noWrap w:val="0"/>
                  <w:tcMar>
                    <w:top w:w="0" w:type="dxa"/>
                    <w:left w:w="0" w:type="dxa"/>
                    <w:bottom w:w="0" w:type="dxa"/>
                    <w:right w:w="0" w:type="dxa"/>
                  </w:tcMar>
                  <w:vAlign w:val="center"/>
                </w:tcPr>
                <w:p w14:paraId="0133C370">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收集效率</w:t>
                  </w:r>
                </w:p>
              </w:tc>
              <w:tc>
                <w:tcPr>
                  <w:tcW w:w="261" w:type="pct"/>
                  <w:tcBorders>
                    <w:tl2br w:val="nil"/>
                    <w:tr2bl w:val="nil"/>
                  </w:tcBorders>
                  <w:noWrap w:val="0"/>
                  <w:tcMar>
                    <w:top w:w="0" w:type="dxa"/>
                    <w:left w:w="0" w:type="dxa"/>
                    <w:bottom w:w="0" w:type="dxa"/>
                    <w:right w:w="0" w:type="dxa"/>
                  </w:tcMar>
                  <w:vAlign w:val="center"/>
                </w:tcPr>
                <w:p w14:paraId="6197F78E">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去除率</w:t>
                  </w:r>
                </w:p>
              </w:tc>
              <w:tc>
                <w:tcPr>
                  <w:tcW w:w="340" w:type="pct"/>
                  <w:tcBorders>
                    <w:tl2br w:val="nil"/>
                    <w:tr2bl w:val="nil"/>
                  </w:tcBorders>
                  <w:noWrap w:val="0"/>
                  <w:tcMar>
                    <w:top w:w="0" w:type="dxa"/>
                    <w:left w:w="0" w:type="dxa"/>
                    <w:bottom w:w="0" w:type="dxa"/>
                    <w:right w:w="0" w:type="dxa"/>
                  </w:tcMar>
                  <w:vAlign w:val="center"/>
                </w:tcPr>
                <w:p w14:paraId="0A5C5465">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排放量（t/a）</w:t>
                  </w:r>
                </w:p>
              </w:tc>
              <w:tc>
                <w:tcPr>
                  <w:tcW w:w="432" w:type="pct"/>
                  <w:tcBorders>
                    <w:tl2br w:val="nil"/>
                    <w:tr2bl w:val="nil"/>
                  </w:tcBorders>
                  <w:noWrap w:val="0"/>
                  <w:tcMar>
                    <w:top w:w="0" w:type="dxa"/>
                    <w:left w:w="0" w:type="dxa"/>
                    <w:bottom w:w="0" w:type="dxa"/>
                    <w:right w:w="0" w:type="dxa"/>
                  </w:tcMar>
                  <w:vAlign w:val="center"/>
                </w:tcPr>
                <w:p w14:paraId="0E6ABA62">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排放速率（kg/h）</w:t>
                  </w:r>
                </w:p>
              </w:tc>
              <w:tc>
                <w:tcPr>
                  <w:tcW w:w="477" w:type="pct"/>
                  <w:tcBorders>
                    <w:tl2br w:val="nil"/>
                    <w:tr2bl w:val="nil"/>
                  </w:tcBorders>
                  <w:noWrap w:val="0"/>
                  <w:tcMar>
                    <w:top w:w="0" w:type="dxa"/>
                    <w:left w:w="0" w:type="dxa"/>
                    <w:bottom w:w="0" w:type="dxa"/>
                    <w:right w:w="0" w:type="dxa"/>
                  </w:tcMar>
                  <w:vAlign w:val="center"/>
                </w:tcPr>
                <w:p w14:paraId="3021BA4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排放浓度</w:t>
                  </w:r>
                </w:p>
                <w:p w14:paraId="1B7B842A">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w:t>
                  </w: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color w:val="auto"/>
                      <w:sz w:val="21"/>
                      <w:szCs w:val="21"/>
                      <w:highlight w:val="none"/>
                    </w:rPr>
                    <w:t>）</w:t>
                  </w:r>
                </w:p>
              </w:tc>
              <w:tc>
                <w:tcPr>
                  <w:tcW w:w="342" w:type="pct"/>
                  <w:vMerge w:val="continue"/>
                  <w:tcBorders>
                    <w:tl2br w:val="nil"/>
                    <w:tr2bl w:val="nil"/>
                  </w:tcBorders>
                  <w:noWrap w:val="0"/>
                  <w:tcMar>
                    <w:top w:w="0" w:type="dxa"/>
                    <w:left w:w="0" w:type="dxa"/>
                    <w:bottom w:w="0" w:type="dxa"/>
                    <w:right w:w="0" w:type="dxa"/>
                  </w:tcMar>
                  <w:vAlign w:val="center"/>
                </w:tcPr>
                <w:p w14:paraId="74BBB9E4">
                  <w:pPr>
                    <w:jc w:val="center"/>
                    <w:rPr>
                      <w:rFonts w:hint="default" w:ascii="Times New Roman" w:hAnsi="Times New Roman" w:cs="Times New Roman"/>
                      <w:b/>
                      <w:color w:val="auto"/>
                      <w:sz w:val="21"/>
                      <w:szCs w:val="21"/>
                      <w:highlight w:val="none"/>
                    </w:rPr>
                  </w:pPr>
                </w:p>
              </w:tc>
            </w:tr>
            <w:tr w14:paraId="74B7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4C2C9876">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切割粉尘</w:t>
                  </w:r>
                </w:p>
              </w:tc>
              <w:tc>
                <w:tcPr>
                  <w:tcW w:w="394" w:type="pct"/>
                  <w:tcBorders>
                    <w:tl2br w:val="nil"/>
                    <w:tr2bl w:val="nil"/>
                  </w:tcBorders>
                  <w:noWrap w:val="0"/>
                  <w:tcMar>
                    <w:top w:w="0" w:type="dxa"/>
                    <w:left w:w="0" w:type="dxa"/>
                    <w:bottom w:w="0" w:type="dxa"/>
                    <w:right w:w="0" w:type="dxa"/>
                  </w:tcMar>
                  <w:vAlign w:val="center"/>
                </w:tcPr>
                <w:p w14:paraId="739E924E">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108EA9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0.358 </w:t>
                  </w:r>
                </w:p>
              </w:tc>
              <w:tc>
                <w:tcPr>
                  <w:tcW w:w="418" w:type="pct"/>
                  <w:tcBorders>
                    <w:tl2br w:val="nil"/>
                    <w:tr2bl w:val="nil"/>
                  </w:tcBorders>
                  <w:noWrap w:val="0"/>
                  <w:tcMar>
                    <w:top w:w="0" w:type="dxa"/>
                    <w:left w:w="0" w:type="dxa"/>
                    <w:bottom w:w="0" w:type="dxa"/>
                    <w:right w:w="0" w:type="dxa"/>
                  </w:tcMar>
                  <w:vAlign w:val="center"/>
                </w:tcPr>
                <w:p w14:paraId="730E22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0.186 </w:t>
                  </w:r>
                </w:p>
              </w:tc>
              <w:tc>
                <w:tcPr>
                  <w:tcW w:w="429" w:type="pct"/>
                  <w:tcBorders>
                    <w:tl2br w:val="nil"/>
                    <w:tr2bl w:val="nil"/>
                  </w:tcBorders>
                  <w:noWrap w:val="0"/>
                  <w:tcMar>
                    <w:top w:w="0" w:type="dxa"/>
                    <w:left w:w="0" w:type="dxa"/>
                    <w:bottom w:w="0" w:type="dxa"/>
                    <w:right w:w="0" w:type="dxa"/>
                  </w:tcMar>
                  <w:vAlign w:val="center"/>
                </w:tcPr>
                <w:p w14:paraId="13D1AB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1976D1D1">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34DC7382">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704DC479">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352BAC29">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4DD9E2F1">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0.358 </w:t>
                  </w:r>
                </w:p>
              </w:tc>
              <w:tc>
                <w:tcPr>
                  <w:tcW w:w="432" w:type="pct"/>
                  <w:tcBorders>
                    <w:tl2br w:val="nil"/>
                    <w:tr2bl w:val="nil"/>
                  </w:tcBorders>
                  <w:noWrap w:val="0"/>
                  <w:tcMar>
                    <w:top w:w="0" w:type="dxa"/>
                    <w:left w:w="0" w:type="dxa"/>
                    <w:bottom w:w="0" w:type="dxa"/>
                    <w:right w:w="0" w:type="dxa"/>
                  </w:tcMar>
                  <w:vAlign w:val="center"/>
                </w:tcPr>
                <w:p w14:paraId="7F8C81D7">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0.186 </w:t>
                  </w:r>
                </w:p>
              </w:tc>
              <w:tc>
                <w:tcPr>
                  <w:tcW w:w="477" w:type="pct"/>
                  <w:tcBorders>
                    <w:tl2br w:val="nil"/>
                    <w:tr2bl w:val="nil"/>
                  </w:tcBorders>
                  <w:noWrap w:val="0"/>
                  <w:tcMar>
                    <w:top w:w="0" w:type="dxa"/>
                    <w:left w:w="0" w:type="dxa"/>
                    <w:bottom w:w="0" w:type="dxa"/>
                    <w:right w:w="0" w:type="dxa"/>
                  </w:tcMar>
                  <w:vAlign w:val="center"/>
                </w:tcPr>
                <w:p w14:paraId="60E4B525">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342" w:type="pct"/>
                  <w:vMerge w:val="restart"/>
                  <w:tcBorders>
                    <w:tl2br w:val="nil"/>
                    <w:tr2bl w:val="nil"/>
                  </w:tcBorders>
                  <w:noWrap w:val="0"/>
                  <w:tcMar>
                    <w:top w:w="0" w:type="dxa"/>
                    <w:left w:w="0" w:type="dxa"/>
                    <w:bottom w:w="0" w:type="dxa"/>
                    <w:right w:w="0" w:type="dxa"/>
                  </w:tcMar>
                  <w:vAlign w:val="center"/>
                </w:tcPr>
                <w:p w14:paraId="4F0E3A61">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rPr>
                    <w:t>1928</w:t>
                  </w:r>
                </w:p>
              </w:tc>
            </w:tr>
            <w:tr w14:paraId="544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5FC07981">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焊接烟尘</w:t>
                  </w:r>
                </w:p>
              </w:tc>
              <w:tc>
                <w:tcPr>
                  <w:tcW w:w="394" w:type="pct"/>
                  <w:tcBorders>
                    <w:tl2br w:val="nil"/>
                    <w:tr2bl w:val="nil"/>
                  </w:tcBorders>
                  <w:noWrap w:val="0"/>
                  <w:tcMar>
                    <w:top w:w="0" w:type="dxa"/>
                    <w:left w:w="0" w:type="dxa"/>
                    <w:bottom w:w="0" w:type="dxa"/>
                    <w:right w:w="0" w:type="dxa"/>
                  </w:tcMar>
                  <w:vAlign w:val="center"/>
                </w:tcPr>
                <w:p w14:paraId="24085B4D">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6F8277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418" w:type="pct"/>
                  <w:tcBorders>
                    <w:tl2br w:val="nil"/>
                    <w:tr2bl w:val="nil"/>
                  </w:tcBorders>
                  <w:noWrap w:val="0"/>
                  <w:tcMar>
                    <w:top w:w="0" w:type="dxa"/>
                    <w:left w:w="0" w:type="dxa"/>
                    <w:bottom w:w="0" w:type="dxa"/>
                    <w:right w:w="0" w:type="dxa"/>
                  </w:tcMar>
                  <w:vAlign w:val="center"/>
                </w:tcPr>
                <w:p w14:paraId="175A36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c>
                <w:tcPr>
                  <w:tcW w:w="429" w:type="pct"/>
                  <w:tcBorders>
                    <w:tl2br w:val="nil"/>
                    <w:tr2bl w:val="nil"/>
                  </w:tcBorders>
                  <w:noWrap w:val="0"/>
                  <w:tcMar>
                    <w:top w:w="0" w:type="dxa"/>
                    <w:left w:w="0" w:type="dxa"/>
                    <w:bottom w:w="0" w:type="dxa"/>
                    <w:right w:w="0" w:type="dxa"/>
                  </w:tcMar>
                  <w:vAlign w:val="center"/>
                </w:tcPr>
                <w:p w14:paraId="09035B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7388B23D">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无</w:t>
                  </w:r>
                  <w:r>
                    <w:rPr>
                      <w:rFonts w:hint="default" w:ascii="Times New Roman" w:hAnsi="Times New Roman" w:eastAsia="宋体" w:cs="Times New Roman"/>
                      <w:i w:val="0"/>
                      <w:iCs w:val="0"/>
                      <w:color w:val="auto"/>
                      <w:kern w:val="0"/>
                      <w:sz w:val="21"/>
                      <w:szCs w:val="21"/>
                      <w:highlight w:val="none"/>
                      <w:u w:val="none"/>
                      <w:lang w:val="en-US" w:eastAsia="zh-CN" w:bidi="ar"/>
                    </w:rPr>
                    <w:t>组织</w:t>
                  </w:r>
                </w:p>
              </w:tc>
              <w:tc>
                <w:tcPr>
                  <w:tcW w:w="432" w:type="pct"/>
                  <w:tcBorders>
                    <w:tl2br w:val="nil"/>
                    <w:tr2bl w:val="nil"/>
                  </w:tcBorders>
                  <w:noWrap w:val="0"/>
                  <w:tcMar>
                    <w:top w:w="0" w:type="dxa"/>
                    <w:left w:w="0" w:type="dxa"/>
                    <w:bottom w:w="0" w:type="dxa"/>
                    <w:right w:w="0" w:type="dxa"/>
                  </w:tcMar>
                  <w:vAlign w:val="center"/>
                </w:tcPr>
                <w:p w14:paraId="327A1F34">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06D63C07">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1C110A15">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C05DCFB">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432" w:type="pct"/>
                  <w:tcBorders>
                    <w:tl2br w:val="nil"/>
                    <w:tr2bl w:val="nil"/>
                  </w:tcBorders>
                  <w:noWrap w:val="0"/>
                  <w:tcMar>
                    <w:top w:w="0" w:type="dxa"/>
                    <w:left w:w="0" w:type="dxa"/>
                    <w:bottom w:w="0" w:type="dxa"/>
                    <w:right w:w="0" w:type="dxa"/>
                  </w:tcMar>
                  <w:vAlign w:val="center"/>
                </w:tcPr>
                <w:p w14:paraId="0D1D958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c>
                <w:tcPr>
                  <w:tcW w:w="477" w:type="pct"/>
                  <w:tcBorders>
                    <w:tl2br w:val="nil"/>
                    <w:tr2bl w:val="nil"/>
                  </w:tcBorders>
                  <w:noWrap w:val="0"/>
                  <w:tcMar>
                    <w:top w:w="0" w:type="dxa"/>
                    <w:left w:w="0" w:type="dxa"/>
                    <w:bottom w:w="0" w:type="dxa"/>
                    <w:right w:w="0" w:type="dxa"/>
                  </w:tcMar>
                  <w:vAlign w:val="center"/>
                </w:tcPr>
                <w:p w14:paraId="63FCED75">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392F0ACC">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p>
              </w:tc>
            </w:tr>
            <w:tr w14:paraId="6F6D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15E5C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抛光打磨粉尘</w:t>
                  </w:r>
                </w:p>
              </w:tc>
              <w:tc>
                <w:tcPr>
                  <w:tcW w:w="394" w:type="pct"/>
                  <w:tcBorders>
                    <w:tl2br w:val="nil"/>
                    <w:tr2bl w:val="nil"/>
                  </w:tcBorders>
                  <w:noWrap w:val="0"/>
                  <w:tcMar>
                    <w:top w:w="0" w:type="dxa"/>
                    <w:left w:w="0" w:type="dxa"/>
                    <w:bottom w:w="0" w:type="dxa"/>
                    <w:right w:w="0" w:type="dxa"/>
                  </w:tcMar>
                  <w:vAlign w:val="center"/>
                </w:tcPr>
                <w:p w14:paraId="4545C0CB">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0D20A7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0.468 </w:t>
                  </w:r>
                </w:p>
              </w:tc>
              <w:tc>
                <w:tcPr>
                  <w:tcW w:w="418" w:type="pct"/>
                  <w:tcBorders>
                    <w:tl2br w:val="nil"/>
                    <w:tr2bl w:val="nil"/>
                  </w:tcBorders>
                  <w:noWrap w:val="0"/>
                  <w:tcMar>
                    <w:top w:w="0" w:type="dxa"/>
                    <w:left w:w="0" w:type="dxa"/>
                    <w:bottom w:w="0" w:type="dxa"/>
                    <w:right w:w="0" w:type="dxa"/>
                  </w:tcMar>
                  <w:vAlign w:val="center"/>
                </w:tcPr>
                <w:p w14:paraId="0715A1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429" w:type="pct"/>
                  <w:tcBorders>
                    <w:tl2br w:val="nil"/>
                    <w:tr2bl w:val="nil"/>
                  </w:tcBorders>
                  <w:noWrap w:val="0"/>
                  <w:tcMar>
                    <w:top w:w="0" w:type="dxa"/>
                    <w:left w:w="0" w:type="dxa"/>
                    <w:bottom w:w="0" w:type="dxa"/>
                    <w:right w:w="0" w:type="dxa"/>
                  </w:tcMar>
                  <w:vAlign w:val="center"/>
                </w:tcPr>
                <w:p w14:paraId="4801613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0C86F8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218126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2E3D50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5E1A18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15CD6A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0.468 </w:t>
                  </w:r>
                </w:p>
              </w:tc>
              <w:tc>
                <w:tcPr>
                  <w:tcW w:w="432" w:type="pct"/>
                  <w:tcBorders>
                    <w:tl2br w:val="nil"/>
                    <w:tr2bl w:val="nil"/>
                  </w:tcBorders>
                  <w:noWrap w:val="0"/>
                  <w:tcMar>
                    <w:top w:w="0" w:type="dxa"/>
                    <w:left w:w="0" w:type="dxa"/>
                    <w:bottom w:w="0" w:type="dxa"/>
                    <w:right w:w="0" w:type="dxa"/>
                  </w:tcMar>
                  <w:vAlign w:val="center"/>
                </w:tcPr>
                <w:p w14:paraId="04C782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477" w:type="pct"/>
                  <w:tcBorders>
                    <w:tl2br w:val="nil"/>
                    <w:tr2bl w:val="nil"/>
                  </w:tcBorders>
                  <w:noWrap w:val="0"/>
                  <w:tcMar>
                    <w:top w:w="0" w:type="dxa"/>
                    <w:left w:w="0" w:type="dxa"/>
                    <w:bottom w:w="0" w:type="dxa"/>
                    <w:right w:w="0" w:type="dxa"/>
                  </w:tcMar>
                  <w:vAlign w:val="center"/>
                </w:tcPr>
                <w:p w14:paraId="52F6CB73">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20EBB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BE0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33A41611">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喷粉粉尘</w:t>
                  </w:r>
                </w:p>
              </w:tc>
              <w:tc>
                <w:tcPr>
                  <w:tcW w:w="394" w:type="pct"/>
                  <w:tcBorders>
                    <w:tl2br w:val="nil"/>
                    <w:tr2bl w:val="nil"/>
                  </w:tcBorders>
                  <w:noWrap w:val="0"/>
                  <w:tcMar>
                    <w:top w:w="0" w:type="dxa"/>
                    <w:left w:w="0" w:type="dxa"/>
                    <w:bottom w:w="0" w:type="dxa"/>
                    <w:right w:w="0" w:type="dxa"/>
                  </w:tcMar>
                  <w:vAlign w:val="center"/>
                </w:tcPr>
                <w:p w14:paraId="7124BA43">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41F7A8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 </w:t>
                  </w:r>
                </w:p>
              </w:tc>
              <w:tc>
                <w:tcPr>
                  <w:tcW w:w="1074" w:type="dxa"/>
                  <w:tcBorders>
                    <w:tl2br w:val="nil"/>
                    <w:tr2bl w:val="nil"/>
                  </w:tcBorders>
                  <w:noWrap w:val="0"/>
                  <w:tcMar>
                    <w:top w:w="0" w:type="dxa"/>
                    <w:left w:w="0" w:type="dxa"/>
                    <w:bottom w:w="0" w:type="dxa"/>
                    <w:right w:w="0" w:type="dxa"/>
                  </w:tcMar>
                  <w:vAlign w:val="center"/>
                </w:tcPr>
                <w:p w14:paraId="59BE7E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0.652 </w:t>
                  </w:r>
                </w:p>
              </w:tc>
              <w:tc>
                <w:tcPr>
                  <w:tcW w:w="1102" w:type="dxa"/>
                  <w:tcBorders>
                    <w:tl2br w:val="nil"/>
                    <w:tr2bl w:val="nil"/>
                  </w:tcBorders>
                  <w:noWrap w:val="0"/>
                  <w:tcMar>
                    <w:top w:w="0" w:type="dxa"/>
                    <w:left w:w="0" w:type="dxa"/>
                    <w:bottom w:w="0" w:type="dxa"/>
                    <w:right w:w="0" w:type="dxa"/>
                  </w:tcMar>
                  <w:vAlign w:val="center"/>
                </w:tcPr>
                <w:p w14:paraId="520F0A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436B19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2DEBC0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01820C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6828AB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60BECA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 </w:t>
                  </w:r>
                </w:p>
              </w:tc>
              <w:tc>
                <w:tcPr>
                  <w:tcW w:w="1109" w:type="dxa"/>
                  <w:tcBorders>
                    <w:tl2br w:val="nil"/>
                    <w:tr2bl w:val="nil"/>
                  </w:tcBorders>
                  <w:noWrap w:val="0"/>
                  <w:tcMar>
                    <w:top w:w="0" w:type="dxa"/>
                    <w:left w:w="0" w:type="dxa"/>
                    <w:bottom w:w="0" w:type="dxa"/>
                    <w:right w:w="0" w:type="dxa"/>
                  </w:tcMar>
                  <w:vAlign w:val="center"/>
                </w:tcPr>
                <w:p w14:paraId="34B1D4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0.652 </w:t>
                  </w:r>
                </w:p>
              </w:tc>
              <w:tc>
                <w:tcPr>
                  <w:tcW w:w="1225" w:type="dxa"/>
                  <w:tcBorders>
                    <w:tl2br w:val="nil"/>
                    <w:tr2bl w:val="nil"/>
                  </w:tcBorders>
                  <w:noWrap w:val="0"/>
                  <w:tcMar>
                    <w:top w:w="0" w:type="dxa"/>
                    <w:left w:w="0" w:type="dxa"/>
                    <w:bottom w:w="0" w:type="dxa"/>
                    <w:right w:w="0" w:type="dxa"/>
                  </w:tcMar>
                  <w:vAlign w:val="center"/>
                </w:tcPr>
                <w:p w14:paraId="3DAB68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tcBorders>
                    <w:tl2br w:val="nil"/>
                    <w:tr2bl w:val="nil"/>
                  </w:tcBorders>
                  <w:noWrap w:val="0"/>
                  <w:tcMar>
                    <w:top w:w="0" w:type="dxa"/>
                    <w:left w:w="0" w:type="dxa"/>
                    <w:bottom w:w="0" w:type="dxa"/>
                    <w:right w:w="0" w:type="dxa"/>
                  </w:tcMar>
                  <w:vAlign w:val="center"/>
                </w:tcPr>
                <w:p w14:paraId="6AF5FE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1928</w:t>
                  </w:r>
                </w:p>
              </w:tc>
            </w:tr>
            <w:tr w14:paraId="0C1A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75DF65E3">
                  <w:pPr>
                    <w:pStyle w:val="109"/>
                    <w:bidi w:val="0"/>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喷漆废气（DA001）</w:t>
                  </w:r>
                </w:p>
              </w:tc>
              <w:tc>
                <w:tcPr>
                  <w:tcW w:w="394" w:type="pct"/>
                  <w:tcBorders>
                    <w:tl2br w:val="nil"/>
                    <w:tr2bl w:val="nil"/>
                  </w:tcBorders>
                  <w:noWrap w:val="0"/>
                  <w:tcMar>
                    <w:top w:w="0" w:type="dxa"/>
                    <w:left w:w="0" w:type="dxa"/>
                    <w:bottom w:w="0" w:type="dxa"/>
                    <w:right w:w="0" w:type="dxa"/>
                  </w:tcMar>
                  <w:vAlign w:val="center"/>
                </w:tcPr>
                <w:p w14:paraId="59A3B808">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0F5150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2.275 </w:t>
                  </w:r>
                </w:p>
              </w:tc>
              <w:tc>
                <w:tcPr>
                  <w:tcW w:w="1074" w:type="dxa"/>
                  <w:tcBorders>
                    <w:tl2br w:val="nil"/>
                    <w:tr2bl w:val="nil"/>
                  </w:tcBorders>
                  <w:noWrap w:val="0"/>
                  <w:tcMar>
                    <w:top w:w="0" w:type="dxa"/>
                    <w:left w:w="0" w:type="dxa"/>
                    <w:bottom w:w="0" w:type="dxa"/>
                    <w:right w:w="0" w:type="dxa"/>
                  </w:tcMar>
                  <w:vAlign w:val="center"/>
                </w:tcPr>
                <w:p w14:paraId="2899E1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1102" w:type="dxa"/>
                  <w:tcBorders>
                    <w:tl2br w:val="nil"/>
                    <w:tr2bl w:val="nil"/>
                  </w:tcBorders>
                  <w:noWrap w:val="0"/>
                  <w:tcMar>
                    <w:top w:w="0" w:type="dxa"/>
                    <w:left w:w="0" w:type="dxa"/>
                    <w:bottom w:w="0" w:type="dxa"/>
                    <w:right w:w="0" w:type="dxa"/>
                  </w:tcMar>
                  <w:vAlign w:val="center"/>
                </w:tcPr>
                <w:p w14:paraId="34B726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352" w:type="pct"/>
                  <w:vMerge w:val="restart"/>
                  <w:tcBorders>
                    <w:tl2br w:val="nil"/>
                    <w:tr2bl w:val="nil"/>
                  </w:tcBorders>
                  <w:noWrap w:val="0"/>
                  <w:tcMar>
                    <w:top w:w="0" w:type="dxa"/>
                    <w:left w:w="0" w:type="dxa"/>
                    <w:bottom w:w="0" w:type="dxa"/>
                    <w:right w:w="0" w:type="dxa"/>
                  </w:tcMar>
                  <w:vAlign w:val="center"/>
                </w:tcPr>
                <w:p w14:paraId="4C8EC3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有组织</w:t>
                  </w:r>
                </w:p>
              </w:tc>
              <w:tc>
                <w:tcPr>
                  <w:tcW w:w="432" w:type="pct"/>
                  <w:vMerge w:val="restart"/>
                  <w:tcBorders>
                    <w:tl2br w:val="nil"/>
                    <w:tr2bl w:val="nil"/>
                  </w:tcBorders>
                  <w:noWrap w:val="0"/>
                  <w:tcMar>
                    <w:top w:w="0" w:type="dxa"/>
                    <w:left w:w="0" w:type="dxa"/>
                    <w:bottom w:w="0" w:type="dxa"/>
                    <w:right w:w="0" w:type="dxa"/>
                  </w:tcMar>
                  <w:vAlign w:val="center"/>
                </w:tcPr>
                <w:p w14:paraId="7768D8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181200</w:t>
                  </w:r>
                </w:p>
              </w:tc>
              <w:tc>
                <w:tcPr>
                  <w:tcW w:w="286" w:type="pct"/>
                  <w:tcBorders>
                    <w:tl2br w:val="nil"/>
                    <w:tr2bl w:val="nil"/>
                  </w:tcBorders>
                  <w:shd w:val="clear" w:color="auto" w:fill="auto"/>
                  <w:noWrap w:val="0"/>
                  <w:tcMar>
                    <w:top w:w="0" w:type="dxa"/>
                    <w:left w:w="0" w:type="dxa"/>
                    <w:bottom w:w="0" w:type="dxa"/>
                    <w:right w:w="0" w:type="dxa"/>
                  </w:tcMar>
                  <w:vAlign w:val="center"/>
                </w:tcPr>
                <w:p w14:paraId="7D7B52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D2679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99%</w:t>
                  </w:r>
                </w:p>
              </w:tc>
              <w:tc>
                <w:tcPr>
                  <w:tcW w:w="873" w:type="dxa"/>
                  <w:tcBorders>
                    <w:tl2br w:val="nil"/>
                    <w:tr2bl w:val="nil"/>
                  </w:tcBorders>
                  <w:noWrap w:val="0"/>
                  <w:tcMar>
                    <w:top w:w="0" w:type="dxa"/>
                    <w:left w:w="0" w:type="dxa"/>
                    <w:bottom w:w="0" w:type="dxa"/>
                    <w:right w:w="0" w:type="dxa"/>
                  </w:tcMar>
                  <w:vAlign w:val="center"/>
                </w:tcPr>
                <w:p w14:paraId="6B6642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c>
                <w:tcPr>
                  <w:tcW w:w="1109" w:type="dxa"/>
                  <w:tcBorders>
                    <w:tl2br w:val="nil"/>
                    <w:tr2bl w:val="nil"/>
                  </w:tcBorders>
                  <w:noWrap w:val="0"/>
                  <w:tcMar>
                    <w:top w:w="0" w:type="dxa"/>
                    <w:left w:w="0" w:type="dxa"/>
                    <w:bottom w:w="0" w:type="dxa"/>
                    <w:right w:w="0" w:type="dxa"/>
                  </w:tcMar>
                  <w:vAlign w:val="center"/>
                </w:tcPr>
                <w:p w14:paraId="0479A5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1225" w:type="dxa"/>
                  <w:tcBorders>
                    <w:tl2br w:val="nil"/>
                    <w:tr2bl w:val="nil"/>
                  </w:tcBorders>
                  <w:noWrap w:val="0"/>
                  <w:tcMar>
                    <w:top w:w="0" w:type="dxa"/>
                    <w:left w:w="0" w:type="dxa"/>
                    <w:bottom w:w="0" w:type="dxa"/>
                    <w:right w:w="0" w:type="dxa"/>
                  </w:tcMar>
                  <w:vAlign w:val="center"/>
                </w:tcPr>
                <w:p w14:paraId="591FD7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342" w:type="pct"/>
                  <w:vMerge w:val="restart"/>
                  <w:tcBorders>
                    <w:tl2br w:val="nil"/>
                    <w:tr2bl w:val="nil"/>
                  </w:tcBorders>
                  <w:noWrap w:val="0"/>
                  <w:tcMar>
                    <w:top w:w="0" w:type="dxa"/>
                    <w:left w:w="0" w:type="dxa"/>
                    <w:bottom w:w="0" w:type="dxa"/>
                    <w:right w:w="0" w:type="dxa"/>
                  </w:tcMar>
                  <w:vAlign w:val="center"/>
                </w:tcPr>
                <w:p w14:paraId="450A70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1928</w:t>
                  </w:r>
                </w:p>
              </w:tc>
            </w:tr>
            <w:tr w14:paraId="5EEA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E947B38">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05786F54">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436EA5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3.012 </w:t>
                  </w:r>
                </w:p>
              </w:tc>
              <w:tc>
                <w:tcPr>
                  <w:tcW w:w="1074" w:type="dxa"/>
                  <w:tcBorders>
                    <w:tl2br w:val="nil"/>
                    <w:tr2bl w:val="nil"/>
                  </w:tcBorders>
                  <w:noWrap w:val="0"/>
                  <w:tcMar>
                    <w:top w:w="0" w:type="dxa"/>
                    <w:left w:w="0" w:type="dxa"/>
                    <w:bottom w:w="0" w:type="dxa"/>
                    <w:right w:w="0" w:type="dxa"/>
                  </w:tcMar>
                  <w:vAlign w:val="center"/>
                </w:tcPr>
                <w:p w14:paraId="747371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1.562 </w:t>
                  </w:r>
                </w:p>
              </w:tc>
              <w:tc>
                <w:tcPr>
                  <w:tcW w:w="1102" w:type="dxa"/>
                  <w:tcBorders>
                    <w:tl2br w:val="nil"/>
                    <w:tr2bl w:val="nil"/>
                  </w:tcBorders>
                  <w:noWrap w:val="0"/>
                  <w:tcMar>
                    <w:top w:w="0" w:type="dxa"/>
                    <w:left w:w="0" w:type="dxa"/>
                    <w:bottom w:w="0" w:type="dxa"/>
                    <w:right w:w="0" w:type="dxa"/>
                  </w:tcMar>
                  <w:vAlign w:val="center"/>
                </w:tcPr>
                <w:p w14:paraId="33E233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8.6 </w:t>
                  </w:r>
                </w:p>
              </w:tc>
              <w:tc>
                <w:tcPr>
                  <w:tcW w:w="352" w:type="pct"/>
                  <w:vMerge w:val="continue"/>
                  <w:tcBorders>
                    <w:tl2br w:val="nil"/>
                    <w:tr2bl w:val="nil"/>
                  </w:tcBorders>
                  <w:noWrap w:val="0"/>
                  <w:tcMar>
                    <w:top w:w="0" w:type="dxa"/>
                    <w:left w:w="0" w:type="dxa"/>
                    <w:bottom w:w="0" w:type="dxa"/>
                    <w:right w:w="0" w:type="dxa"/>
                  </w:tcMar>
                  <w:vAlign w:val="center"/>
                </w:tcPr>
                <w:p w14:paraId="25BD3C6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B6BC96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1BF075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571F92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0E56E3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0.602 </w:t>
                  </w:r>
                </w:p>
              </w:tc>
              <w:tc>
                <w:tcPr>
                  <w:tcW w:w="1109" w:type="dxa"/>
                  <w:tcBorders>
                    <w:tl2br w:val="nil"/>
                    <w:tr2bl w:val="nil"/>
                  </w:tcBorders>
                  <w:noWrap w:val="0"/>
                  <w:tcMar>
                    <w:top w:w="0" w:type="dxa"/>
                    <w:left w:w="0" w:type="dxa"/>
                    <w:bottom w:w="0" w:type="dxa"/>
                    <w:right w:w="0" w:type="dxa"/>
                  </w:tcMar>
                  <w:vAlign w:val="center"/>
                </w:tcPr>
                <w:p w14:paraId="1F0553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0.312 </w:t>
                  </w:r>
                </w:p>
              </w:tc>
              <w:tc>
                <w:tcPr>
                  <w:tcW w:w="1225" w:type="dxa"/>
                  <w:tcBorders>
                    <w:tl2br w:val="nil"/>
                    <w:tr2bl w:val="nil"/>
                  </w:tcBorders>
                  <w:noWrap w:val="0"/>
                  <w:tcMar>
                    <w:top w:w="0" w:type="dxa"/>
                    <w:left w:w="0" w:type="dxa"/>
                    <w:bottom w:w="0" w:type="dxa"/>
                    <w:right w:w="0" w:type="dxa"/>
                  </w:tcMar>
                  <w:vAlign w:val="center"/>
                </w:tcPr>
                <w:p w14:paraId="1C0486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 </w:t>
                  </w:r>
                </w:p>
              </w:tc>
              <w:tc>
                <w:tcPr>
                  <w:tcW w:w="342" w:type="pct"/>
                  <w:vMerge w:val="continue"/>
                  <w:tcBorders>
                    <w:tl2br w:val="nil"/>
                    <w:tr2bl w:val="nil"/>
                  </w:tcBorders>
                  <w:noWrap w:val="0"/>
                  <w:tcMar>
                    <w:top w:w="0" w:type="dxa"/>
                    <w:left w:w="0" w:type="dxa"/>
                    <w:bottom w:w="0" w:type="dxa"/>
                    <w:right w:w="0" w:type="dxa"/>
                  </w:tcMar>
                  <w:vAlign w:val="center"/>
                </w:tcPr>
                <w:p w14:paraId="7E956A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CBF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4BBF791">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7112A8E5">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6F52D1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074" w:type="dxa"/>
                  <w:tcBorders>
                    <w:tl2br w:val="nil"/>
                    <w:tr2bl w:val="nil"/>
                  </w:tcBorders>
                  <w:noWrap w:val="0"/>
                  <w:tcMar>
                    <w:top w:w="0" w:type="dxa"/>
                    <w:left w:w="0" w:type="dxa"/>
                    <w:bottom w:w="0" w:type="dxa"/>
                    <w:right w:w="0" w:type="dxa"/>
                  </w:tcMar>
                  <w:vAlign w:val="center"/>
                </w:tcPr>
                <w:p w14:paraId="15A1F7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0.777 </w:t>
                  </w:r>
                </w:p>
              </w:tc>
              <w:tc>
                <w:tcPr>
                  <w:tcW w:w="1102" w:type="dxa"/>
                  <w:tcBorders>
                    <w:tl2br w:val="nil"/>
                    <w:tr2bl w:val="nil"/>
                  </w:tcBorders>
                  <w:noWrap w:val="0"/>
                  <w:tcMar>
                    <w:top w:w="0" w:type="dxa"/>
                    <w:left w:w="0" w:type="dxa"/>
                    <w:bottom w:w="0" w:type="dxa"/>
                    <w:right w:w="0" w:type="dxa"/>
                  </w:tcMar>
                  <w:vAlign w:val="center"/>
                </w:tcPr>
                <w:p w14:paraId="67FE8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4.3 </w:t>
                  </w:r>
                </w:p>
              </w:tc>
              <w:tc>
                <w:tcPr>
                  <w:tcW w:w="352" w:type="pct"/>
                  <w:vMerge w:val="continue"/>
                  <w:tcBorders>
                    <w:tl2br w:val="nil"/>
                    <w:tr2bl w:val="nil"/>
                  </w:tcBorders>
                  <w:noWrap w:val="0"/>
                  <w:tcMar>
                    <w:top w:w="0" w:type="dxa"/>
                    <w:left w:w="0" w:type="dxa"/>
                    <w:bottom w:w="0" w:type="dxa"/>
                    <w:right w:w="0" w:type="dxa"/>
                  </w:tcMar>
                  <w:vAlign w:val="center"/>
                </w:tcPr>
                <w:p w14:paraId="70F8AF8E">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806232A">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575312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4A007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5FEFE4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0.300 </w:t>
                  </w:r>
                </w:p>
              </w:tc>
              <w:tc>
                <w:tcPr>
                  <w:tcW w:w="1109" w:type="dxa"/>
                  <w:tcBorders>
                    <w:tl2br w:val="nil"/>
                    <w:tr2bl w:val="nil"/>
                  </w:tcBorders>
                  <w:noWrap w:val="0"/>
                  <w:tcMar>
                    <w:top w:w="0" w:type="dxa"/>
                    <w:left w:w="0" w:type="dxa"/>
                    <w:bottom w:w="0" w:type="dxa"/>
                    <w:right w:w="0" w:type="dxa"/>
                  </w:tcMar>
                  <w:vAlign w:val="center"/>
                </w:tcPr>
                <w:p w14:paraId="09CABF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0.155 </w:t>
                  </w:r>
                </w:p>
              </w:tc>
              <w:tc>
                <w:tcPr>
                  <w:tcW w:w="1225" w:type="dxa"/>
                  <w:tcBorders>
                    <w:tl2br w:val="nil"/>
                    <w:tr2bl w:val="nil"/>
                  </w:tcBorders>
                  <w:noWrap w:val="0"/>
                  <w:tcMar>
                    <w:top w:w="0" w:type="dxa"/>
                    <w:left w:w="0" w:type="dxa"/>
                    <w:bottom w:w="0" w:type="dxa"/>
                    <w:right w:w="0" w:type="dxa"/>
                  </w:tcMar>
                  <w:vAlign w:val="center"/>
                </w:tcPr>
                <w:p w14:paraId="693168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342" w:type="pct"/>
                  <w:vMerge w:val="continue"/>
                  <w:tcBorders>
                    <w:tl2br w:val="nil"/>
                    <w:tr2bl w:val="nil"/>
                  </w:tcBorders>
                  <w:noWrap w:val="0"/>
                  <w:tcMar>
                    <w:top w:w="0" w:type="dxa"/>
                    <w:left w:w="0" w:type="dxa"/>
                    <w:bottom w:w="0" w:type="dxa"/>
                    <w:right w:w="0" w:type="dxa"/>
                  </w:tcMar>
                  <w:vAlign w:val="center"/>
                </w:tcPr>
                <w:p w14:paraId="5D0F8D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9B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852B50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09D87456">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500249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7AA52C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701D2C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546FCF4F">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1AC16480">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4CA3E1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691096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3C020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noWrap w:val="0"/>
                  <w:tcMar>
                    <w:top w:w="0" w:type="dxa"/>
                    <w:left w:w="0" w:type="dxa"/>
                    <w:bottom w:w="0" w:type="dxa"/>
                    <w:right w:w="0" w:type="dxa"/>
                  </w:tcMar>
                  <w:vAlign w:val="center"/>
                </w:tcPr>
                <w:p w14:paraId="68B8A1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noWrap w:val="0"/>
                  <w:tcMar>
                    <w:top w:w="0" w:type="dxa"/>
                    <w:left w:w="0" w:type="dxa"/>
                    <w:bottom w:w="0" w:type="dxa"/>
                    <w:right w:w="0" w:type="dxa"/>
                  </w:tcMar>
                  <w:vAlign w:val="center"/>
                </w:tcPr>
                <w:p w14:paraId="3A717A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E80E4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05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0184B22">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B292EDB">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70AA6D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1074" w:type="dxa"/>
                  <w:tcBorders>
                    <w:tl2br w:val="nil"/>
                    <w:tr2bl w:val="nil"/>
                  </w:tcBorders>
                  <w:noWrap w:val="0"/>
                  <w:tcMar>
                    <w:top w:w="0" w:type="dxa"/>
                    <w:left w:w="0" w:type="dxa"/>
                    <w:bottom w:w="0" w:type="dxa"/>
                    <w:right w:w="0" w:type="dxa"/>
                  </w:tcMar>
                  <w:vAlign w:val="center"/>
                </w:tcPr>
                <w:p w14:paraId="0A83A8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102" w:type="dxa"/>
                  <w:tcBorders>
                    <w:tl2br w:val="nil"/>
                    <w:tr2bl w:val="nil"/>
                  </w:tcBorders>
                  <w:noWrap w:val="0"/>
                  <w:tcMar>
                    <w:top w:w="0" w:type="dxa"/>
                    <w:left w:w="0" w:type="dxa"/>
                    <w:bottom w:w="0" w:type="dxa"/>
                    <w:right w:w="0" w:type="dxa"/>
                  </w:tcMar>
                  <w:vAlign w:val="center"/>
                </w:tcPr>
                <w:p w14:paraId="5FE7BE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restart"/>
                  <w:tcBorders>
                    <w:tl2br w:val="nil"/>
                    <w:tr2bl w:val="nil"/>
                  </w:tcBorders>
                  <w:noWrap w:val="0"/>
                  <w:tcMar>
                    <w:top w:w="0" w:type="dxa"/>
                    <w:left w:w="0" w:type="dxa"/>
                    <w:bottom w:w="0" w:type="dxa"/>
                    <w:right w:w="0" w:type="dxa"/>
                  </w:tcMar>
                  <w:vAlign w:val="center"/>
                </w:tcPr>
                <w:p w14:paraId="410D46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50C9A6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38D31D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2FD699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1B83F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1109" w:type="dxa"/>
                  <w:tcBorders>
                    <w:tl2br w:val="nil"/>
                    <w:tr2bl w:val="nil"/>
                  </w:tcBorders>
                  <w:noWrap w:val="0"/>
                  <w:tcMar>
                    <w:top w:w="0" w:type="dxa"/>
                    <w:left w:w="0" w:type="dxa"/>
                    <w:bottom w:w="0" w:type="dxa"/>
                    <w:right w:w="0" w:type="dxa"/>
                  </w:tcMar>
                  <w:vAlign w:val="center"/>
                </w:tcPr>
                <w:p w14:paraId="38769F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225" w:type="dxa"/>
                  <w:tcBorders>
                    <w:tl2br w:val="nil"/>
                    <w:tr2bl w:val="nil"/>
                  </w:tcBorders>
                  <w:noWrap w:val="0"/>
                  <w:tcMar>
                    <w:top w:w="0" w:type="dxa"/>
                    <w:left w:w="0" w:type="dxa"/>
                    <w:bottom w:w="0" w:type="dxa"/>
                    <w:right w:w="0" w:type="dxa"/>
                  </w:tcMar>
                  <w:vAlign w:val="center"/>
                </w:tcPr>
                <w:p w14:paraId="210E36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44198E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224E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537CA8F">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30832A3A">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0F3A24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0.335 </w:t>
                  </w:r>
                </w:p>
              </w:tc>
              <w:tc>
                <w:tcPr>
                  <w:tcW w:w="1074" w:type="dxa"/>
                  <w:tcBorders>
                    <w:tl2br w:val="nil"/>
                    <w:tr2bl w:val="nil"/>
                  </w:tcBorders>
                  <w:noWrap w:val="0"/>
                  <w:tcMar>
                    <w:top w:w="0" w:type="dxa"/>
                    <w:left w:w="0" w:type="dxa"/>
                    <w:bottom w:w="0" w:type="dxa"/>
                    <w:right w:w="0" w:type="dxa"/>
                  </w:tcMar>
                  <w:vAlign w:val="center"/>
                </w:tcPr>
                <w:p w14:paraId="122E12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0.174 </w:t>
                  </w:r>
                </w:p>
              </w:tc>
              <w:tc>
                <w:tcPr>
                  <w:tcW w:w="1102" w:type="dxa"/>
                  <w:tcBorders>
                    <w:tl2br w:val="nil"/>
                    <w:tr2bl w:val="nil"/>
                  </w:tcBorders>
                  <w:noWrap w:val="0"/>
                  <w:tcMar>
                    <w:top w:w="0" w:type="dxa"/>
                    <w:left w:w="0" w:type="dxa"/>
                    <w:bottom w:w="0" w:type="dxa"/>
                    <w:right w:w="0" w:type="dxa"/>
                  </w:tcMar>
                  <w:vAlign w:val="center"/>
                </w:tcPr>
                <w:p w14:paraId="225DC4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5D528056">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32A0E4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3BC333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65E734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9B0CB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0.335 </w:t>
                  </w:r>
                </w:p>
              </w:tc>
              <w:tc>
                <w:tcPr>
                  <w:tcW w:w="1109" w:type="dxa"/>
                  <w:tcBorders>
                    <w:tl2br w:val="nil"/>
                    <w:tr2bl w:val="nil"/>
                  </w:tcBorders>
                  <w:noWrap w:val="0"/>
                  <w:tcMar>
                    <w:top w:w="0" w:type="dxa"/>
                    <w:left w:w="0" w:type="dxa"/>
                    <w:bottom w:w="0" w:type="dxa"/>
                    <w:right w:w="0" w:type="dxa"/>
                  </w:tcMar>
                  <w:vAlign w:val="center"/>
                </w:tcPr>
                <w:p w14:paraId="6564FD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0.174 </w:t>
                  </w:r>
                </w:p>
              </w:tc>
              <w:tc>
                <w:tcPr>
                  <w:tcW w:w="1225" w:type="dxa"/>
                  <w:tcBorders>
                    <w:tl2br w:val="nil"/>
                    <w:tr2bl w:val="nil"/>
                  </w:tcBorders>
                  <w:noWrap w:val="0"/>
                  <w:tcMar>
                    <w:top w:w="0" w:type="dxa"/>
                    <w:left w:w="0" w:type="dxa"/>
                    <w:bottom w:w="0" w:type="dxa"/>
                    <w:right w:w="0" w:type="dxa"/>
                  </w:tcMar>
                  <w:vAlign w:val="center"/>
                </w:tcPr>
                <w:p w14:paraId="1DD234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3023E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D28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1C40DB">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4710AA1">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6755AB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0.167 </w:t>
                  </w:r>
                </w:p>
              </w:tc>
              <w:tc>
                <w:tcPr>
                  <w:tcW w:w="1074" w:type="dxa"/>
                  <w:tcBorders>
                    <w:tl2br w:val="nil"/>
                    <w:tr2bl w:val="nil"/>
                  </w:tcBorders>
                  <w:noWrap w:val="0"/>
                  <w:tcMar>
                    <w:top w:w="0" w:type="dxa"/>
                    <w:left w:w="0" w:type="dxa"/>
                    <w:bottom w:w="0" w:type="dxa"/>
                    <w:right w:w="0" w:type="dxa"/>
                  </w:tcMar>
                  <w:vAlign w:val="center"/>
                </w:tcPr>
                <w:p w14:paraId="4C503E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0.086 </w:t>
                  </w:r>
                </w:p>
              </w:tc>
              <w:tc>
                <w:tcPr>
                  <w:tcW w:w="1102" w:type="dxa"/>
                  <w:tcBorders>
                    <w:tl2br w:val="nil"/>
                    <w:tr2bl w:val="nil"/>
                  </w:tcBorders>
                  <w:noWrap w:val="0"/>
                  <w:tcMar>
                    <w:top w:w="0" w:type="dxa"/>
                    <w:left w:w="0" w:type="dxa"/>
                    <w:bottom w:w="0" w:type="dxa"/>
                    <w:right w:w="0" w:type="dxa"/>
                  </w:tcMar>
                  <w:vAlign w:val="center"/>
                </w:tcPr>
                <w:p w14:paraId="7B5035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6056F0D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47BBA1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68FAF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429EB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E6980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0.167 </w:t>
                  </w:r>
                </w:p>
              </w:tc>
              <w:tc>
                <w:tcPr>
                  <w:tcW w:w="1109" w:type="dxa"/>
                  <w:tcBorders>
                    <w:tl2br w:val="nil"/>
                    <w:tr2bl w:val="nil"/>
                  </w:tcBorders>
                  <w:noWrap w:val="0"/>
                  <w:tcMar>
                    <w:top w:w="0" w:type="dxa"/>
                    <w:left w:w="0" w:type="dxa"/>
                    <w:bottom w:w="0" w:type="dxa"/>
                    <w:right w:w="0" w:type="dxa"/>
                  </w:tcMar>
                  <w:vAlign w:val="center"/>
                </w:tcPr>
                <w:p w14:paraId="03A69A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0.086 </w:t>
                  </w:r>
                </w:p>
              </w:tc>
              <w:tc>
                <w:tcPr>
                  <w:tcW w:w="1225" w:type="dxa"/>
                  <w:tcBorders>
                    <w:tl2br w:val="nil"/>
                    <w:tr2bl w:val="nil"/>
                  </w:tcBorders>
                  <w:noWrap w:val="0"/>
                  <w:tcMar>
                    <w:top w:w="0" w:type="dxa"/>
                    <w:left w:w="0" w:type="dxa"/>
                    <w:bottom w:w="0" w:type="dxa"/>
                    <w:right w:w="0" w:type="dxa"/>
                  </w:tcMar>
                  <w:vAlign w:val="center"/>
                </w:tcPr>
                <w:p w14:paraId="526717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34E51D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399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D81BC97">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714C8CF">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47224E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7ECF88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36201B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3DA40ECC">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65DF3F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55DCD2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EA780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65DCAF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noWrap w:val="0"/>
                  <w:tcMar>
                    <w:top w:w="0" w:type="dxa"/>
                    <w:left w:w="0" w:type="dxa"/>
                    <w:bottom w:w="0" w:type="dxa"/>
                    <w:right w:w="0" w:type="dxa"/>
                  </w:tcMar>
                  <w:vAlign w:val="center"/>
                </w:tcPr>
                <w:p w14:paraId="314CB9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noWrap w:val="0"/>
                  <w:tcMar>
                    <w:top w:w="0" w:type="dxa"/>
                    <w:left w:w="0" w:type="dxa"/>
                    <w:bottom w:w="0" w:type="dxa"/>
                    <w:right w:w="0" w:type="dxa"/>
                  </w:tcMar>
                  <w:vAlign w:val="center"/>
                </w:tcPr>
                <w:p w14:paraId="3A0E5D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78AE48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B25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5DAA45DE">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固化废气（DA002）</w:t>
                  </w:r>
                </w:p>
              </w:tc>
              <w:tc>
                <w:tcPr>
                  <w:tcW w:w="394" w:type="pct"/>
                  <w:tcBorders>
                    <w:tl2br w:val="nil"/>
                    <w:tr2bl w:val="nil"/>
                  </w:tcBorders>
                  <w:noWrap w:val="0"/>
                  <w:tcMar>
                    <w:top w:w="0" w:type="dxa"/>
                    <w:left w:w="0" w:type="dxa"/>
                    <w:bottom w:w="0" w:type="dxa"/>
                    <w:right w:w="0" w:type="dxa"/>
                  </w:tcMar>
                  <w:vAlign w:val="center"/>
                </w:tcPr>
                <w:p w14:paraId="5C522D96">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4ADEB8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0.338 </w:t>
                  </w:r>
                </w:p>
              </w:tc>
              <w:tc>
                <w:tcPr>
                  <w:tcW w:w="1074" w:type="dxa"/>
                  <w:tcBorders>
                    <w:tl2br w:val="nil"/>
                    <w:tr2bl w:val="nil"/>
                  </w:tcBorders>
                  <w:noWrap w:val="0"/>
                  <w:tcMar>
                    <w:top w:w="0" w:type="dxa"/>
                    <w:left w:w="0" w:type="dxa"/>
                    <w:bottom w:w="0" w:type="dxa"/>
                    <w:right w:w="0" w:type="dxa"/>
                  </w:tcMar>
                  <w:vAlign w:val="center"/>
                </w:tcPr>
                <w:p w14:paraId="3A1E14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0.175 </w:t>
                  </w:r>
                </w:p>
              </w:tc>
              <w:tc>
                <w:tcPr>
                  <w:tcW w:w="1102" w:type="dxa"/>
                  <w:tcBorders>
                    <w:tl2br w:val="nil"/>
                    <w:tr2bl w:val="nil"/>
                  </w:tcBorders>
                  <w:noWrap w:val="0"/>
                  <w:tcMar>
                    <w:top w:w="0" w:type="dxa"/>
                    <w:left w:w="0" w:type="dxa"/>
                    <w:bottom w:w="0" w:type="dxa"/>
                    <w:right w:w="0" w:type="dxa"/>
                  </w:tcMar>
                  <w:vAlign w:val="center"/>
                </w:tcPr>
                <w:p w14:paraId="24CA1A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 </w:t>
                  </w:r>
                </w:p>
              </w:tc>
              <w:tc>
                <w:tcPr>
                  <w:tcW w:w="352" w:type="pct"/>
                  <w:vMerge w:val="restart"/>
                  <w:tcBorders>
                    <w:tl2br w:val="nil"/>
                    <w:tr2bl w:val="nil"/>
                  </w:tcBorders>
                  <w:noWrap w:val="0"/>
                  <w:tcMar>
                    <w:top w:w="0" w:type="dxa"/>
                    <w:left w:w="0" w:type="dxa"/>
                    <w:bottom w:w="0" w:type="dxa"/>
                    <w:right w:w="0" w:type="dxa"/>
                  </w:tcMar>
                  <w:vAlign w:val="center"/>
                </w:tcPr>
                <w:p w14:paraId="533212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有组织</w:t>
                  </w:r>
                </w:p>
              </w:tc>
              <w:tc>
                <w:tcPr>
                  <w:tcW w:w="432" w:type="pct"/>
                  <w:vMerge w:val="restart"/>
                  <w:tcBorders>
                    <w:tl2br w:val="nil"/>
                    <w:tr2bl w:val="nil"/>
                  </w:tcBorders>
                  <w:noWrap w:val="0"/>
                  <w:tcMar>
                    <w:top w:w="0" w:type="dxa"/>
                    <w:left w:w="0" w:type="dxa"/>
                    <w:bottom w:w="0" w:type="dxa"/>
                    <w:right w:w="0" w:type="dxa"/>
                  </w:tcMar>
                  <w:vAlign w:val="center"/>
                </w:tcPr>
                <w:p w14:paraId="217896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40000</w:t>
                  </w:r>
                </w:p>
              </w:tc>
              <w:tc>
                <w:tcPr>
                  <w:tcW w:w="286" w:type="pct"/>
                  <w:tcBorders>
                    <w:tl2br w:val="nil"/>
                    <w:tr2bl w:val="nil"/>
                  </w:tcBorders>
                  <w:noWrap w:val="0"/>
                  <w:tcMar>
                    <w:top w:w="0" w:type="dxa"/>
                    <w:left w:w="0" w:type="dxa"/>
                    <w:bottom w:w="0" w:type="dxa"/>
                    <w:right w:w="0" w:type="dxa"/>
                  </w:tcMar>
                  <w:vAlign w:val="center"/>
                </w:tcPr>
                <w:p w14:paraId="7DBCFD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261" w:type="pct"/>
                  <w:tcBorders>
                    <w:tl2br w:val="nil"/>
                    <w:tr2bl w:val="nil"/>
                  </w:tcBorders>
                  <w:noWrap w:val="0"/>
                  <w:tcMar>
                    <w:top w:w="0" w:type="dxa"/>
                    <w:left w:w="0" w:type="dxa"/>
                    <w:bottom w:w="0" w:type="dxa"/>
                    <w:right w:w="0" w:type="dxa"/>
                  </w:tcMar>
                  <w:vAlign w:val="center"/>
                </w:tcPr>
                <w:p w14:paraId="68D566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32E807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0.068 </w:t>
                  </w:r>
                </w:p>
              </w:tc>
              <w:tc>
                <w:tcPr>
                  <w:tcW w:w="1109" w:type="dxa"/>
                  <w:tcBorders>
                    <w:tl2br w:val="nil"/>
                    <w:tr2bl w:val="nil"/>
                  </w:tcBorders>
                  <w:noWrap w:val="0"/>
                  <w:tcMar>
                    <w:top w:w="0" w:type="dxa"/>
                    <w:left w:w="0" w:type="dxa"/>
                    <w:bottom w:w="0" w:type="dxa"/>
                    <w:right w:w="0" w:type="dxa"/>
                  </w:tcMar>
                  <w:vAlign w:val="center"/>
                </w:tcPr>
                <w:p w14:paraId="37228B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0.035 </w:t>
                  </w:r>
                </w:p>
              </w:tc>
              <w:tc>
                <w:tcPr>
                  <w:tcW w:w="1225" w:type="dxa"/>
                  <w:tcBorders>
                    <w:tl2br w:val="nil"/>
                    <w:tr2bl w:val="nil"/>
                  </w:tcBorders>
                  <w:noWrap w:val="0"/>
                  <w:tcMar>
                    <w:top w:w="0" w:type="dxa"/>
                    <w:left w:w="0" w:type="dxa"/>
                    <w:bottom w:w="0" w:type="dxa"/>
                    <w:right w:w="0" w:type="dxa"/>
                  </w:tcMar>
                  <w:vAlign w:val="center"/>
                </w:tcPr>
                <w:p w14:paraId="1DDE12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0.876 </w:t>
                  </w:r>
                </w:p>
              </w:tc>
              <w:tc>
                <w:tcPr>
                  <w:tcW w:w="342" w:type="pct"/>
                  <w:vMerge w:val="restart"/>
                  <w:tcBorders>
                    <w:tl2br w:val="nil"/>
                    <w:tr2bl w:val="nil"/>
                  </w:tcBorders>
                  <w:noWrap w:val="0"/>
                  <w:tcMar>
                    <w:top w:w="0" w:type="dxa"/>
                    <w:left w:w="0" w:type="dxa"/>
                    <w:bottom w:w="0" w:type="dxa"/>
                    <w:right w:w="0" w:type="dxa"/>
                  </w:tcMar>
                  <w:vAlign w:val="center"/>
                </w:tcPr>
                <w:p w14:paraId="4AA5E2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1928</w:t>
                  </w:r>
                </w:p>
              </w:tc>
            </w:tr>
            <w:tr w14:paraId="2845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343B19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34E7496F">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1979FD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74" w:type="dxa"/>
                  <w:tcBorders>
                    <w:tl2br w:val="nil"/>
                    <w:tr2bl w:val="nil"/>
                  </w:tcBorders>
                  <w:noWrap w:val="0"/>
                  <w:tcMar>
                    <w:top w:w="0" w:type="dxa"/>
                    <w:left w:w="0" w:type="dxa"/>
                    <w:bottom w:w="0" w:type="dxa"/>
                    <w:right w:w="0" w:type="dxa"/>
                  </w:tcMar>
                  <w:vAlign w:val="center"/>
                </w:tcPr>
                <w:p w14:paraId="3940F5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102" w:type="dxa"/>
                  <w:tcBorders>
                    <w:tl2br w:val="nil"/>
                    <w:tr2bl w:val="nil"/>
                  </w:tcBorders>
                  <w:noWrap w:val="0"/>
                  <w:tcMar>
                    <w:top w:w="0" w:type="dxa"/>
                    <w:left w:w="0" w:type="dxa"/>
                    <w:bottom w:w="0" w:type="dxa"/>
                    <w:right w:w="0" w:type="dxa"/>
                  </w:tcMar>
                  <w:vAlign w:val="center"/>
                </w:tcPr>
                <w:p w14:paraId="28C68F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352" w:type="pct"/>
                  <w:vMerge w:val="continue"/>
                  <w:tcBorders>
                    <w:tl2br w:val="nil"/>
                    <w:tr2bl w:val="nil"/>
                  </w:tcBorders>
                  <w:noWrap w:val="0"/>
                  <w:tcMar>
                    <w:top w:w="0" w:type="dxa"/>
                    <w:left w:w="0" w:type="dxa"/>
                    <w:bottom w:w="0" w:type="dxa"/>
                    <w:right w:w="0" w:type="dxa"/>
                  </w:tcMar>
                  <w:vAlign w:val="center"/>
                </w:tcPr>
                <w:p w14:paraId="750D7241">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200468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5DC921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261" w:type="pct"/>
                  <w:tcBorders>
                    <w:tl2br w:val="nil"/>
                    <w:tr2bl w:val="nil"/>
                  </w:tcBorders>
                  <w:noWrap w:val="0"/>
                  <w:tcMar>
                    <w:top w:w="0" w:type="dxa"/>
                    <w:left w:w="0" w:type="dxa"/>
                    <w:bottom w:w="0" w:type="dxa"/>
                    <w:right w:w="0" w:type="dxa"/>
                  </w:tcMar>
                  <w:vAlign w:val="center"/>
                </w:tcPr>
                <w:p w14:paraId="7A740E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2728B3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0.017 </w:t>
                  </w:r>
                </w:p>
              </w:tc>
              <w:tc>
                <w:tcPr>
                  <w:tcW w:w="1109" w:type="dxa"/>
                  <w:tcBorders>
                    <w:tl2br w:val="nil"/>
                    <w:tr2bl w:val="nil"/>
                  </w:tcBorders>
                  <w:noWrap w:val="0"/>
                  <w:tcMar>
                    <w:top w:w="0" w:type="dxa"/>
                    <w:left w:w="0" w:type="dxa"/>
                    <w:bottom w:w="0" w:type="dxa"/>
                    <w:right w:w="0" w:type="dxa"/>
                  </w:tcMar>
                  <w:vAlign w:val="center"/>
                </w:tcPr>
                <w:p w14:paraId="12C1ED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225" w:type="dxa"/>
                  <w:tcBorders>
                    <w:tl2br w:val="nil"/>
                    <w:tr2bl w:val="nil"/>
                  </w:tcBorders>
                  <w:noWrap w:val="0"/>
                  <w:tcMar>
                    <w:top w:w="0" w:type="dxa"/>
                    <w:left w:w="0" w:type="dxa"/>
                    <w:bottom w:w="0" w:type="dxa"/>
                    <w:right w:w="0" w:type="dxa"/>
                  </w:tcMar>
                  <w:vAlign w:val="center"/>
                </w:tcPr>
                <w:p w14:paraId="34CBF3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0.217 </w:t>
                  </w:r>
                </w:p>
              </w:tc>
              <w:tc>
                <w:tcPr>
                  <w:tcW w:w="342" w:type="pct"/>
                  <w:vMerge w:val="continue"/>
                  <w:tcBorders>
                    <w:tl2br w:val="nil"/>
                    <w:tr2bl w:val="nil"/>
                  </w:tcBorders>
                  <w:noWrap w:val="0"/>
                  <w:tcMar>
                    <w:top w:w="0" w:type="dxa"/>
                    <w:left w:w="0" w:type="dxa"/>
                    <w:bottom w:w="0" w:type="dxa"/>
                    <w:right w:w="0" w:type="dxa"/>
                  </w:tcMar>
                  <w:vAlign w:val="center"/>
                </w:tcPr>
                <w:p w14:paraId="25C4E6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A91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B72046A">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49133CB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42EFD3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0D13B1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56203C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140F1723">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21DBF9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2A3DDA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4CBBB9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shd w:val="clear" w:color="auto" w:fill="auto"/>
                  <w:noWrap w:val="0"/>
                  <w:tcMar>
                    <w:top w:w="0" w:type="dxa"/>
                    <w:left w:w="0" w:type="dxa"/>
                    <w:bottom w:w="0" w:type="dxa"/>
                    <w:right w:w="0" w:type="dxa"/>
                  </w:tcMar>
                  <w:vAlign w:val="center"/>
                </w:tcPr>
                <w:p w14:paraId="6B09DB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shd w:val="clear" w:color="auto" w:fill="auto"/>
                  <w:noWrap w:val="0"/>
                  <w:tcMar>
                    <w:top w:w="0" w:type="dxa"/>
                    <w:left w:w="0" w:type="dxa"/>
                    <w:bottom w:w="0" w:type="dxa"/>
                    <w:right w:w="0" w:type="dxa"/>
                  </w:tcMar>
                  <w:vAlign w:val="center"/>
                </w:tcPr>
                <w:p w14:paraId="7D5CB0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shd w:val="clear" w:color="auto" w:fill="auto"/>
                  <w:noWrap w:val="0"/>
                  <w:tcMar>
                    <w:top w:w="0" w:type="dxa"/>
                    <w:left w:w="0" w:type="dxa"/>
                    <w:bottom w:w="0" w:type="dxa"/>
                    <w:right w:w="0" w:type="dxa"/>
                  </w:tcMar>
                  <w:vAlign w:val="center"/>
                </w:tcPr>
                <w:p w14:paraId="7A083D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1AB56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36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18BC6584">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FF1D693">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873" w:type="dxa"/>
                  <w:tcBorders>
                    <w:tl2br w:val="nil"/>
                    <w:tr2bl w:val="nil"/>
                  </w:tcBorders>
                  <w:noWrap w:val="0"/>
                  <w:tcMar>
                    <w:top w:w="0" w:type="dxa"/>
                    <w:left w:w="0" w:type="dxa"/>
                    <w:bottom w:w="0" w:type="dxa"/>
                    <w:right w:w="0" w:type="dxa"/>
                  </w:tcMar>
                  <w:vAlign w:val="center"/>
                </w:tcPr>
                <w:p w14:paraId="02D5BC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74" w:type="dxa"/>
                  <w:tcBorders>
                    <w:tl2br w:val="nil"/>
                    <w:tr2bl w:val="nil"/>
                  </w:tcBorders>
                  <w:noWrap w:val="0"/>
                  <w:tcMar>
                    <w:top w:w="0" w:type="dxa"/>
                    <w:left w:w="0" w:type="dxa"/>
                    <w:bottom w:w="0" w:type="dxa"/>
                    <w:right w:w="0" w:type="dxa"/>
                  </w:tcMar>
                  <w:vAlign w:val="center"/>
                </w:tcPr>
                <w:p w14:paraId="01A969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102" w:type="dxa"/>
                  <w:tcBorders>
                    <w:tl2br w:val="nil"/>
                    <w:tr2bl w:val="nil"/>
                  </w:tcBorders>
                  <w:noWrap w:val="0"/>
                  <w:tcMar>
                    <w:top w:w="0" w:type="dxa"/>
                    <w:left w:w="0" w:type="dxa"/>
                    <w:bottom w:w="0" w:type="dxa"/>
                    <w:right w:w="0" w:type="dxa"/>
                  </w:tcMar>
                  <w:vAlign w:val="center"/>
                </w:tcPr>
                <w:p w14:paraId="5E63AB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52" w:type="pct"/>
                  <w:vMerge w:val="continue"/>
                  <w:tcBorders>
                    <w:tl2br w:val="nil"/>
                    <w:tr2bl w:val="nil"/>
                  </w:tcBorders>
                  <w:noWrap w:val="0"/>
                  <w:tcMar>
                    <w:top w:w="0" w:type="dxa"/>
                    <w:left w:w="0" w:type="dxa"/>
                    <w:bottom w:w="0" w:type="dxa"/>
                    <w:right w:w="0" w:type="dxa"/>
                  </w:tcMar>
                  <w:vAlign w:val="center"/>
                </w:tcPr>
                <w:p w14:paraId="635F3588">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5F6E1E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24A13C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31FB25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FD7DE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109" w:type="dxa"/>
                  <w:tcBorders>
                    <w:tl2br w:val="nil"/>
                    <w:tr2bl w:val="nil"/>
                  </w:tcBorders>
                  <w:noWrap w:val="0"/>
                  <w:tcMar>
                    <w:top w:w="0" w:type="dxa"/>
                    <w:left w:w="0" w:type="dxa"/>
                    <w:bottom w:w="0" w:type="dxa"/>
                    <w:right w:w="0" w:type="dxa"/>
                  </w:tcMar>
                  <w:vAlign w:val="center"/>
                </w:tcPr>
                <w:p w14:paraId="6DDF13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225" w:type="dxa"/>
                  <w:tcBorders>
                    <w:tl2br w:val="nil"/>
                    <w:tr2bl w:val="nil"/>
                  </w:tcBorders>
                  <w:noWrap w:val="0"/>
                  <w:tcMar>
                    <w:top w:w="0" w:type="dxa"/>
                    <w:left w:w="0" w:type="dxa"/>
                    <w:bottom w:w="0" w:type="dxa"/>
                    <w:right w:w="0" w:type="dxa"/>
                  </w:tcMar>
                  <w:vAlign w:val="center"/>
                </w:tcPr>
                <w:p w14:paraId="6ADF0E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42" w:type="pct"/>
                  <w:vMerge w:val="continue"/>
                  <w:tcBorders>
                    <w:tl2br w:val="nil"/>
                    <w:tr2bl w:val="nil"/>
                  </w:tcBorders>
                  <w:noWrap w:val="0"/>
                  <w:tcMar>
                    <w:top w:w="0" w:type="dxa"/>
                    <w:left w:w="0" w:type="dxa"/>
                    <w:bottom w:w="0" w:type="dxa"/>
                    <w:right w:w="0" w:type="dxa"/>
                  </w:tcMar>
                  <w:vAlign w:val="center"/>
                </w:tcPr>
                <w:p w14:paraId="179A1A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77F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A78F14F">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C62894E">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873" w:type="dxa"/>
                  <w:tcBorders>
                    <w:tl2br w:val="nil"/>
                    <w:tr2bl w:val="nil"/>
                  </w:tcBorders>
                  <w:noWrap w:val="0"/>
                  <w:tcMar>
                    <w:top w:w="0" w:type="dxa"/>
                    <w:left w:w="0" w:type="dxa"/>
                    <w:bottom w:w="0" w:type="dxa"/>
                    <w:right w:w="0" w:type="dxa"/>
                  </w:tcMar>
                  <w:vAlign w:val="center"/>
                </w:tcPr>
                <w:p w14:paraId="42AB35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074" w:type="dxa"/>
                  <w:tcBorders>
                    <w:tl2br w:val="nil"/>
                    <w:tr2bl w:val="nil"/>
                  </w:tcBorders>
                  <w:noWrap w:val="0"/>
                  <w:tcMar>
                    <w:top w:w="0" w:type="dxa"/>
                    <w:left w:w="0" w:type="dxa"/>
                    <w:bottom w:w="0" w:type="dxa"/>
                    <w:right w:w="0" w:type="dxa"/>
                  </w:tcMar>
                  <w:vAlign w:val="center"/>
                </w:tcPr>
                <w:p w14:paraId="1BABF9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1102" w:type="dxa"/>
                  <w:tcBorders>
                    <w:tl2br w:val="nil"/>
                    <w:tr2bl w:val="nil"/>
                  </w:tcBorders>
                  <w:noWrap w:val="0"/>
                  <w:tcMar>
                    <w:top w:w="0" w:type="dxa"/>
                    <w:left w:w="0" w:type="dxa"/>
                    <w:bottom w:w="0" w:type="dxa"/>
                    <w:right w:w="0" w:type="dxa"/>
                  </w:tcMar>
                  <w:vAlign w:val="center"/>
                </w:tcPr>
                <w:p w14:paraId="2EEC04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352" w:type="pct"/>
                  <w:vMerge w:val="continue"/>
                  <w:tcBorders>
                    <w:tl2br w:val="nil"/>
                    <w:tr2bl w:val="nil"/>
                  </w:tcBorders>
                  <w:noWrap w:val="0"/>
                  <w:tcMar>
                    <w:top w:w="0" w:type="dxa"/>
                    <w:left w:w="0" w:type="dxa"/>
                    <w:bottom w:w="0" w:type="dxa"/>
                    <w:right w:w="0" w:type="dxa"/>
                  </w:tcMar>
                  <w:vAlign w:val="center"/>
                </w:tcPr>
                <w:p w14:paraId="7013FEC4">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776D9B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756C0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110EF1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3E6DC0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109" w:type="dxa"/>
                  <w:tcBorders>
                    <w:tl2br w:val="nil"/>
                    <w:tr2bl w:val="nil"/>
                  </w:tcBorders>
                  <w:noWrap w:val="0"/>
                  <w:tcMar>
                    <w:top w:w="0" w:type="dxa"/>
                    <w:left w:w="0" w:type="dxa"/>
                    <w:bottom w:w="0" w:type="dxa"/>
                    <w:right w:w="0" w:type="dxa"/>
                  </w:tcMar>
                  <w:vAlign w:val="center"/>
                </w:tcPr>
                <w:p w14:paraId="1EAF8E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1225" w:type="dxa"/>
                  <w:tcBorders>
                    <w:tl2br w:val="nil"/>
                    <w:tr2bl w:val="nil"/>
                  </w:tcBorders>
                  <w:noWrap w:val="0"/>
                  <w:tcMar>
                    <w:top w:w="0" w:type="dxa"/>
                    <w:left w:w="0" w:type="dxa"/>
                    <w:bottom w:w="0" w:type="dxa"/>
                    <w:right w:w="0" w:type="dxa"/>
                  </w:tcMar>
                  <w:vAlign w:val="center"/>
                </w:tcPr>
                <w:p w14:paraId="0CD53B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342" w:type="pct"/>
                  <w:vMerge w:val="continue"/>
                  <w:tcBorders>
                    <w:tl2br w:val="nil"/>
                    <w:tr2bl w:val="nil"/>
                  </w:tcBorders>
                  <w:noWrap w:val="0"/>
                  <w:tcMar>
                    <w:top w:w="0" w:type="dxa"/>
                    <w:left w:w="0" w:type="dxa"/>
                    <w:bottom w:w="0" w:type="dxa"/>
                    <w:right w:w="0" w:type="dxa"/>
                  </w:tcMar>
                  <w:vAlign w:val="center"/>
                </w:tcPr>
                <w:p w14:paraId="73A549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2A32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7F06BB1E">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33AC6F5F">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444AC8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74" w:type="dxa"/>
                  <w:tcBorders>
                    <w:tl2br w:val="nil"/>
                    <w:tr2bl w:val="nil"/>
                  </w:tcBorders>
                  <w:noWrap w:val="0"/>
                  <w:tcMar>
                    <w:top w:w="0" w:type="dxa"/>
                    <w:left w:w="0" w:type="dxa"/>
                    <w:bottom w:w="0" w:type="dxa"/>
                    <w:right w:w="0" w:type="dxa"/>
                  </w:tcMar>
                  <w:vAlign w:val="center"/>
                </w:tcPr>
                <w:p w14:paraId="566900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102" w:type="dxa"/>
                  <w:tcBorders>
                    <w:tl2br w:val="nil"/>
                    <w:tr2bl w:val="nil"/>
                  </w:tcBorders>
                  <w:noWrap w:val="0"/>
                  <w:tcMar>
                    <w:top w:w="0" w:type="dxa"/>
                    <w:left w:w="0" w:type="dxa"/>
                    <w:bottom w:w="0" w:type="dxa"/>
                    <w:right w:w="0" w:type="dxa"/>
                  </w:tcMar>
                  <w:vAlign w:val="center"/>
                </w:tcPr>
                <w:p w14:paraId="70EBCC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352" w:type="pct"/>
                  <w:vMerge w:val="continue"/>
                  <w:tcBorders>
                    <w:tl2br w:val="nil"/>
                    <w:tr2bl w:val="nil"/>
                  </w:tcBorders>
                  <w:noWrap w:val="0"/>
                  <w:tcMar>
                    <w:top w:w="0" w:type="dxa"/>
                    <w:left w:w="0" w:type="dxa"/>
                    <w:bottom w:w="0" w:type="dxa"/>
                    <w:right w:w="0" w:type="dxa"/>
                  </w:tcMar>
                  <w:vAlign w:val="center"/>
                </w:tcPr>
                <w:p w14:paraId="3E0F9046">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ECD73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58F3E0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14E304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018998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109" w:type="dxa"/>
                  <w:tcBorders>
                    <w:tl2br w:val="nil"/>
                    <w:tr2bl w:val="nil"/>
                  </w:tcBorders>
                  <w:noWrap w:val="0"/>
                  <w:tcMar>
                    <w:top w:w="0" w:type="dxa"/>
                    <w:left w:w="0" w:type="dxa"/>
                    <w:bottom w:w="0" w:type="dxa"/>
                    <w:right w:w="0" w:type="dxa"/>
                  </w:tcMar>
                  <w:vAlign w:val="center"/>
                </w:tcPr>
                <w:p w14:paraId="254B41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225" w:type="dxa"/>
                  <w:tcBorders>
                    <w:tl2br w:val="nil"/>
                    <w:tr2bl w:val="nil"/>
                  </w:tcBorders>
                  <w:noWrap w:val="0"/>
                  <w:tcMar>
                    <w:top w:w="0" w:type="dxa"/>
                    <w:left w:w="0" w:type="dxa"/>
                    <w:bottom w:w="0" w:type="dxa"/>
                    <w:right w:w="0" w:type="dxa"/>
                  </w:tcMar>
                  <w:vAlign w:val="center"/>
                </w:tcPr>
                <w:p w14:paraId="10EC65E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342" w:type="pct"/>
                  <w:vMerge w:val="continue"/>
                  <w:tcBorders>
                    <w:tl2br w:val="nil"/>
                    <w:tr2bl w:val="nil"/>
                  </w:tcBorders>
                  <w:noWrap w:val="0"/>
                  <w:tcMar>
                    <w:top w:w="0" w:type="dxa"/>
                    <w:left w:w="0" w:type="dxa"/>
                    <w:bottom w:w="0" w:type="dxa"/>
                    <w:right w:w="0" w:type="dxa"/>
                  </w:tcMar>
                  <w:vAlign w:val="center"/>
                </w:tcPr>
                <w:p w14:paraId="2A624F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579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vMerge w:val="continue"/>
                  <w:tcBorders>
                    <w:tl2br w:val="nil"/>
                    <w:tr2bl w:val="nil"/>
                  </w:tcBorders>
                  <w:noWrap w:val="0"/>
                  <w:tcMar>
                    <w:top w:w="0" w:type="dxa"/>
                    <w:left w:w="0" w:type="dxa"/>
                    <w:bottom w:w="0" w:type="dxa"/>
                    <w:right w:w="0" w:type="dxa"/>
                  </w:tcMar>
                  <w:vAlign w:val="center"/>
                </w:tcPr>
                <w:p w14:paraId="1473C5FA">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3FAD01D">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2DBDCA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074" w:type="dxa"/>
                  <w:tcBorders>
                    <w:tl2br w:val="nil"/>
                    <w:tr2bl w:val="nil"/>
                  </w:tcBorders>
                  <w:noWrap w:val="0"/>
                  <w:tcMar>
                    <w:top w:w="0" w:type="dxa"/>
                    <w:left w:w="0" w:type="dxa"/>
                    <w:bottom w:w="0" w:type="dxa"/>
                    <w:right w:w="0" w:type="dxa"/>
                  </w:tcMar>
                  <w:vAlign w:val="center"/>
                </w:tcPr>
                <w:p w14:paraId="48E9FC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102" w:type="dxa"/>
                  <w:tcBorders>
                    <w:tl2br w:val="nil"/>
                    <w:tr2bl w:val="nil"/>
                  </w:tcBorders>
                  <w:noWrap w:val="0"/>
                  <w:tcMar>
                    <w:top w:w="0" w:type="dxa"/>
                    <w:left w:w="0" w:type="dxa"/>
                    <w:bottom w:w="0" w:type="dxa"/>
                    <w:right w:w="0" w:type="dxa"/>
                  </w:tcMar>
                  <w:vAlign w:val="center"/>
                </w:tcPr>
                <w:p w14:paraId="058182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restart"/>
                  <w:tcBorders>
                    <w:tl2br w:val="nil"/>
                    <w:tr2bl w:val="nil"/>
                  </w:tcBorders>
                  <w:noWrap w:val="0"/>
                  <w:tcMar>
                    <w:top w:w="0" w:type="dxa"/>
                    <w:left w:w="0" w:type="dxa"/>
                    <w:bottom w:w="0" w:type="dxa"/>
                    <w:right w:w="0" w:type="dxa"/>
                  </w:tcMar>
                  <w:vAlign w:val="center"/>
                </w:tcPr>
                <w:p w14:paraId="7E27EB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40E210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26469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34B348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1E40AF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109" w:type="dxa"/>
                  <w:tcBorders>
                    <w:tl2br w:val="nil"/>
                    <w:tr2bl w:val="nil"/>
                  </w:tcBorders>
                  <w:noWrap w:val="0"/>
                  <w:tcMar>
                    <w:top w:w="0" w:type="dxa"/>
                    <w:left w:w="0" w:type="dxa"/>
                    <w:bottom w:w="0" w:type="dxa"/>
                    <w:right w:w="0" w:type="dxa"/>
                  </w:tcMar>
                  <w:vAlign w:val="center"/>
                </w:tcPr>
                <w:p w14:paraId="509D4A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225" w:type="dxa"/>
                  <w:tcBorders>
                    <w:tl2br w:val="nil"/>
                    <w:tr2bl w:val="nil"/>
                  </w:tcBorders>
                  <w:noWrap w:val="0"/>
                  <w:tcMar>
                    <w:top w:w="0" w:type="dxa"/>
                    <w:left w:w="0" w:type="dxa"/>
                    <w:bottom w:w="0" w:type="dxa"/>
                    <w:right w:w="0" w:type="dxa"/>
                  </w:tcMar>
                  <w:vAlign w:val="center"/>
                </w:tcPr>
                <w:p w14:paraId="0C0A49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A1192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68E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3844130">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9FA61D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759BE3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 </w:t>
                  </w:r>
                </w:p>
              </w:tc>
              <w:tc>
                <w:tcPr>
                  <w:tcW w:w="1074" w:type="dxa"/>
                  <w:tcBorders>
                    <w:tl2br w:val="nil"/>
                    <w:tr2bl w:val="nil"/>
                  </w:tcBorders>
                  <w:noWrap w:val="0"/>
                  <w:tcMar>
                    <w:top w:w="0" w:type="dxa"/>
                    <w:left w:w="0" w:type="dxa"/>
                    <w:bottom w:w="0" w:type="dxa"/>
                    <w:right w:w="0" w:type="dxa"/>
                  </w:tcMar>
                  <w:vAlign w:val="center"/>
                </w:tcPr>
                <w:p w14:paraId="6CFE0C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1102" w:type="dxa"/>
                  <w:tcBorders>
                    <w:tl2br w:val="nil"/>
                    <w:tr2bl w:val="nil"/>
                  </w:tcBorders>
                  <w:noWrap w:val="0"/>
                  <w:tcMar>
                    <w:top w:w="0" w:type="dxa"/>
                    <w:left w:w="0" w:type="dxa"/>
                    <w:bottom w:w="0" w:type="dxa"/>
                    <w:right w:w="0" w:type="dxa"/>
                  </w:tcMar>
                  <w:vAlign w:val="center"/>
                </w:tcPr>
                <w:p w14:paraId="0E6652D6">
                  <w:pPr>
                    <w:jc w:val="center"/>
                    <w:rPr>
                      <w:rFonts w:hint="default" w:ascii="Times New Roman" w:hAnsi="Times New Roman" w:eastAsia="宋体" w:cs="Times New Roman"/>
                      <w:i w:val="0"/>
                      <w:iCs w:val="0"/>
                      <w:color w:val="auto"/>
                      <w:kern w:val="0"/>
                      <w:sz w:val="21"/>
                      <w:szCs w:val="21"/>
                      <w:u w:val="none"/>
                      <w:lang w:val="en-US" w:eastAsia="zh-CN" w:bidi="ar"/>
                    </w:rPr>
                  </w:pPr>
                </w:p>
              </w:tc>
              <w:tc>
                <w:tcPr>
                  <w:tcW w:w="352" w:type="pct"/>
                  <w:vMerge w:val="continue"/>
                  <w:tcBorders>
                    <w:tl2br w:val="nil"/>
                    <w:tr2bl w:val="nil"/>
                  </w:tcBorders>
                  <w:noWrap w:val="0"/>
                  <w:tcMar>
                    <w:top w:w="0" w:type="dxa"/>
                    <w:left w:w="0" w:type="dxa"/>
                    <w:bottom w:w="0" w:type="dxa"/>
                    <w:right w:w="0" w:type="dxa"/>
                  </w:tcMar>
                  <w:vAlign w:val="center"/>
                </w:tcPr>
                <w:p w14:paraId="6C0B852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428B1D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F8105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7427CD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C20AD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 </w:t>
                  </w:r>
                </w:p>
              </w:tc>
              <w:tc>
                <w:tcPr>
                  <w:tcW w:w="1109" w:type="dxa"/>
                  <w:tcBorders>
                    <w:tl2br w:val="nil"/>
                    <w:tr2bl w:val="nil"/>
                  </w:tcBorders>
                  <w:noWrap w:val="0"/>
                  <w:tcMar>
                    <w:top w:w="0" w:type="dxa"/>
                    <w:left w:w="0" w:type="dxa"/>
                    <w:bottom w:w="0" w:type="dxa"/>
                    <w:right w:w="0" w:type="dxa"/>
                  </w:tcMar>
                  <w:vAlign w:val="center"/>
                </w:tcPr>
                <w:p w14:paraId="6A0933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1225" w:type="dxa"/>
                  <w:tcBorders>
                    <w:tl2br w:val="nil"/>
                    <w:tr2bl w:val="nil"/>
                  </w:tcBorders>
                  <w:noWrap w:val="0"/>
                  <w:tcMar>
                    <w:top w:w="0" w:type="dxa"/>
                    <w:left w:w="0" w:type="dxa"/>
                    <w:bottom w:w="0" w:type="dxa"/>
                    <w:right w:w="0" w:type="dxa"/>
                  </w:tcMar>
                  <w:vAlign w:val="center"/>
                </w:tcPr>
                <w:p w14:paraId="3215ED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6B404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699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32EEC6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16166AE">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01A344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070D95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5B7758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7EE1CA55">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044925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5D1E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05007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FF321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2" w:type="pct"/>
                  <w:tcBorders>
                    <w:tl2br w:val="nil"/>
                    <w:tr2bl w:val="nil"/>
                  </w:tcBorders>
                  <w:noWrap w:val="0"/>
                  <w:tcMar>
                    <w:top w:w="0" w:type="dxa"/>
                    <w:left w:w="0" w:type="dxa"/>
                    <w:bottom w:w="0" w:type="dxa"/>
                    <w:right w:w="0" w:type="dxa"/>
                  </w:tcMar>
                  <w:vAlign w:val="center"/>
                </w:tcPr>
                <w:p w14:paraId="5E7D83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77" w:type="pct"/>
                  <w:tcBorders>
                    <w:tl2br w:val="nil"/>
                    <w:tr2bl w:val="nil"/>
                  </w:tcBorders>
                  <w:noWrap w:val="0"/>
                  <w:tcMar>
                    <w:top w:w="0" w:type="dxa"/>
                    <w:left w:w="0" w:type="dxa"/>
                    <w:bottom w:w="0" w:type="dxa"/>
                    <w:right w:w="0" w:type="dxa"/>
                  </w:tcMar>
                  <w:vAlign w:val="center"/>
                </w:tcPr>
                <w:p w14:paraId="7999AC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1E35F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D5F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6B4912A9">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表面预处理废气(DA003)</w:t>
                  </w:r>
                </w:p>
              </w:tc>
              <w:tc>
                <w:tcPr>
                  <w:tcW w:w="394" w:type="pct"/>
                  <w:tcBorders>
                    <w:tl2br w:val="nil"/>
                    <w:tr2bl w:val="nil"/>
                  </w:tcBorders>
                  <w:shd w:val="clear" w:color="auto" w:fill="auto"/>
                  <w:noWrap w:val="0"/>
                  <w:tcMar>
                    <w:top w:w="0" w:type="dxa"/>
                    <w:left w:w="0" w:type="dxa"/>
                    <w:bottom w:w="0" w:type="dxa"/>
                    <w:right w:w="0" w:type="dxa"/>
                  </w:tcMar>
                  <w:vAlign w:val="center"/>
                </w:tcPr>
                <w:p w14:paraId="5BA6330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340" w:type="pct"/>
                  <w:tcBorders>
                    <w:tl2br w:val="nil"/>
                    <w:tr2bl w:val="nil"/>
                  </w:tcBorders>
                  <w:noWrap w:val="0"/>
                  <w:tcMar>
                    <w:top w:w="0" w:type="dxa"/>
                    <w:left w:w="0" w:type="dxa"/>
                    <w:bottom w:w="0" w:type="dxa"/>
                    <w:right w:w="0" w:type="dxa"/>
                  </w:tcMar>
                  <w:vAlign w:val="center"/>
                </w:tcPr>
                <w:p w14:paraId="4F23ED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18" w:type="pct"/>
                  <w:tcBorders>
                    <w:tl2br w:val="nil"/>
                    <w:tr2bl w:val="nil"/>
                  </w:tcBorders>
                  <w:noWrap w:val="0"/>
                  <w:tcMar>
                    <w:top w:w="0" w:type="dxa"/>
                    <w:left w:w="0" w:type="dxa"/>
                    <w:bottom w:w="0" w:type="dxa"/>
                    <w:right w:w="0" w:type="dxa"/>
                  </w:tcMar>
                  <w:vAlign w:val="center"/>
                </w:tcPr>
                <w:p w14:paraId="1F89A7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429" w:type="pct"/>
                  <w:tcBorders>
                    <w:tl2br w:val="nil"/>
                    <w:tr2bl w:val="nil"/>
                  </w:tcBorders>
                  <w:noWrap w:val="0"/>
                  <w:tcMar>
                    <w:top w:w="0" w:type="dxa"/>
                    <w:left w:w="0" w:type="dxa"/>
                    <w:bottom w:w="0" w:type="dxa"/>
                    <w:right w:w="0" w:type="dxa"/>
                  </w:tcMar>
                  <w:vAlign w:val="center"/>
                </w:tcPr>
                <w:p w14:paraId="6ACDB1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52" w:type="pct"/>
                  <w:vMerge w:val="restart"/>
                  <w:tcBorders>
                    <w:tl2br w:val="nil"/>
                    <w:tr2bl w:val="nil"/>
                  </w:tcBorders>
                  <w:noWrap w:val="0"/>
                  <w:tcMar>
                    <w:top w:w="0" w:type="dxa"/>
                    <w:left w:w="0" w:type="dxa"/>
                    <w:bottom w:w="0" w:type="dxa"/>
                    <w:right w:w="0" w:type="dxa"/>
                  </w:tcMar>
                  <w:vAlign w:val="center"/>
                </w:tcPr>
                <w:p w14:paraId="64BBC9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lang w:val="en-US" w:eastAsia="zh-CN"/>
                    </w:rPr>
                    <w:t>有</w:t>
                  </w:r>
                  <w:r>
                    <w:rPr>
                      <w:rFonts w:hint="eastAsia" w:cs="Times New Roman"/>
                      <w:i w:val="0"/>
                      <w:iCs w:val="0"/>
                      <w:color w:val="auto"/>
                      <w:kern w:val="0"/>
                      <w:sz w:val="21"/>
                      <w:szCs w:val="21"/>
                      <w:highlight w:val="none"/>
                      <w:u w:val="none"/>
                      <w:lang w:val="en-US" w:eastAsia="zh-CN" w:bidi="ar"/>
                    </w:rPr>
                    <w:t>组织</w:t>
                  </w:r>
                </w:p>
              </w:tc>
              <w:tc>
                <w:tcPr>
                  <w:tcW w:w="432" w:type="pct"/>
                  <w:vMerge w:val="restart"/>
                  <w:tcBorders>
                    <w:tl2br w:val="nil"/>
                    <w:tr2bl w:val="nil"/>
                  </w:tcBorders>
                  <w:noWrap w:val="0"/>
                  <w:tcMar>
                    <w:top w:w="0" w:type="dxa"/>
                    <w:left w:w="0" w:type="dxa"/>
                    <w:bottom w:w="0" w:type="dxa"/>
                    <w:right w:w="0" w:type="dxa"/>
                  </w:tcMar>
                  <w:vAlign w:val="center"/>
                </w:tcPr>
                <w:p w14:paraId="28102A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11000</w:t>
                  </w:r>
                </w:p>
              </w:tc>
              <w:tc>
                <w:tcPr>
                  <w:tcW w:w="286" w:type="pct"/>
                  <w:tcBorders>
                    <w:tl2br w:val="nil"/>
                    <w:tr2bl w:val="nil"/>
                  </w:tcBorders>
                  <w:noWrap w:val="0"/>
                  <w:tcMar>
                    <w:top w:w="0" w:type="dxa"/>
                    <w:left w:w="0" w:type="dxa"/>
                    <w:bottom w:w="0" w:type="dxa"/>
                    <w:right w:w="0" w:type="dxa"/>
                  </w:tcMar>
                  <w:vAlign w:val="center"/>
                </w:tcPr>
                <w:p w14:paraId="10613C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w:t>
                  </w:r>
                  <w:r>
                    <w:rPr>
                      <w:rFonts w:hint="eastAsia" w:ascii="Times New Roman" w:hAnsi="Times New Roman" w:eastAsia="宋体"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14B8B9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w:t>
                  </w:r>
                </w:p>
              </w:tc>
              <w:tc>
                <w:tcPr>
                  <w:tcW w:w="340" w:type="pct"/>
                  <w:tcBorders>
                    <w:tl2br w:val="nil"/>
                    <w:tr2bl w:val="nil"/>
                  </w:tcBorders>
                  <w:noWrap w:val="0"/>
                  <w:tcMar>
                    <w:top w:w="0" w:type="dxa"/>
                    <w:left w:w="0" w:type="dxa"/>
                    <w:bottom w:w="0" w:type="dxa"/>
                    <w:right w:w="0" w:type="dxa"/>
                  </w:tcMar>
                  <w:vAlign w:val="center"/>
                </w:tcPr>
                <w:p w14:paraId="144526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432" w:type="pct"/>
                  <w:tcBorders>
                    <w:tl2br w:val="nil"/>
                    <w:tr2bl w:val="nil"/>
                  </w:tcBorders>
                  <w:noWrap w:val="0"/>
                  <w:tcMar>
                    <w:top w:w="0" w:type="dxa"/>
                    <w:left w:w="0" w:type="dxa"/>
                    <w:bottom w:w="0" w:type="dxa"/>
                    <w:right w:w="0" w:type="dxa"/>
                  </w:tcMar>
                  <w:vAlign w:val="center"/>
                </w:tcPr>
                <w:p w14:paraId="3DFB77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77" w:type="pct"/>
                  <w:tcBorders>
                    <w:tl2br w:val="nil"/>
                    <w:tr2bl w:val="nil"/>
                  </w:tcBorders>
                  <w:noWrap w:val="0"/>
                  <w:tcMar>
                    <w:top w:w="0" w:type="dxa"/>
                    <w:left w:w="0" w:type="dxa"/>
                    <w:bottom w:w="0" w:type="dxa"/>
                    <w:right w:w="0" w:type="dxa"/>
                  </w:tcMar>
                  <w:vAlign w:val="center"/>
                </w:tcPr>
                <w:p w14:paraId="4542DB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0.09 </w:t>
                  </w:r>
                </w:p>
              </w:tc>
              <w:tc>
                <w:tcPr>
                  <w:tcW w:w="342" w:type="pct"/>
                  <w:vMerge w:val="restart"/>
                  <w:tcBorders>
                    <w:tl2br w:val="nil"/>
                    <w:tr2bl w:val="nil"/>
                  </w:tcBorders>
                  <w:noWrap w:val="0"/>
                  <w:tcMar>
                    <w:top w:w="0" w:type="dxa"/>
                    <w:left w:w="0" w:type="dxa"/>
                    <w:bottom w:w="0" w:type="dxa"/>
                    <w:right w:w="0" w:type="dxa"/>
                  </w:tcMar>
                  <w:vAlign w:val="center"/>
                </w:tcPr>
                <w:p w14:paraId="0CB1E65A">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1928</w:t>
                  </w:r>
                </w:p>
              </w:tc>
            </w:tr>
            <w:tr w14:paraId="0EEB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91FEA25">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1409453A">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340" w:type="pct"/>
                  <w:tcBorders>
                    <w:tl2br w:val="nil"/>
                    <w:tr2bl w:val="nil"/>
                  </w:tcBorders>
                  <w:noWrap w:val="0"/>
                  <w:tcMar>
                    <w:top w:w="0" w:type="dxa"/>
                    <w:left w:w="0" w:type="dxa"/>
                    <w:bottom w:w="0" w:type="dxa"/>
                    <w:right w:w="0" w:type="dxa"/>
                  </w:tcMar>
                  <w:vAlign w:val="center"/>
                </w:tcPr>
                <w:p w14:paraId="761143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18" w:type="pct"/>
                  <w:tcBorders>
                    <w:tl2br w:val="nil"/>
                    <w:tr2bl w:val="nil"/>
                  </w:tcBorders>
                  <w:noWrap w:val="0"/>
                  <w:tcMar>
                    <w:top w:w="0" w:type="dxa"/>
                    <w:left w:w="0" w:type="dxa"/>
                    <w:bottom w:w="0" w:type="dxa"/>
                    <w:right w:w="0" w:type="dxa"/>
                  </w:tcMar>
                  <w:vAlign w:val="center"/>
                </w:tcPr>
                <w:p w14:paraId="4B9C06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429" w:type="pct"/>
                  <w:tcBorders>
                    <w:tl2br w:val="nil"/>
                    <w:tr2bl w:val="nil"/>
                  </w:tcBorders>
                  <w:noWrap w:val="0"/>
                  <w:tcMar>
                    <w:top w:w="0" w:type="dxa"/>
                    <w:left w:w="0" w:type="dxa"/>
                    <w:bottom w:w="0" w:type="dxa"/>
                    <w:right w:w="0" w:type="dxa"/>
                  </w:tcMar>
                  <w:vAlign w:val="center"/>
                </w:tcPr>
                <w:p w14:paraId="7B4CBD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52" w:type="pct"/>
                  <w:vMerge w:val="continue"/>
                  <w:tcBorders>
                    <w:tl2br w:val="nil"/>
                    <w:tr2bl w:val="nil"/>
                  </w:tcBorders>
                  <w:noWrap w:val="0"/>
                  <w:tcMar>
                    <w:top w:w="0" w:type="dxa"/>
                    <w:left w:w="0" w:type="dxa"/>
                    <w:bottom w:w="0" w:type="dxa"/>
                    <w:right w:w="0" w:type="dxa"/>
                  </w:tcMar>
                  <w:vAlign w:val="center"/>
                </w:tcPr>
                <w:p w14:paraId="4479CDA5">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067B7A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19D160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630D6D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1860E6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32" w:type="pct"/>
                  <w:tcBorders>
                    <w:tl2br w:val="nil"/>
                    <w:tr2bl w:val="nil"/>
                  </w:tcBorders>
                  <w:noWrap w:val="0"/>
                  <w:tcMar>
                    <w:top w:w="0" w:type="dxa"/>
                    <w:left w:w="0" w:type="dxa"/>
                    <w:bottom w:w="0" w:type="dxa"/>
                    <w:right w:w="0" w:type="dxa"/>
                  </w:tcMar>
                  <w:vAlign w:val="center"/>
                </w:tcPr>
                <w:p w14:paraId="6E07A9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477" w:type="pct"/>
                  <w:tcBorders>
                    <w:tl2br w:val="nil"/>
                    <w:tr2bl w:val="nil"/>
                  </w:tcBorders>
                  <w:noWrap w:val="0"/>
                  <w:tcMar>
                    <w:top w:w="0" w:type="dxa"/>
                    <w:left w:w="0" w:type="dxa"/>
                    <w:bottom w:w="0" w:type="dxa"/>
                    <w:right w:w="0" w:type="dxa"/>
                  </w:tcMar>
                  <w:vAlign w:val="center"/>
                </w:tcPr>
                <w:p w14:paraId="204CBA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42" w:type="pct"/>
                  <w:vMerge w:val="continue"/>
                  <w:tcBorders>
                    <w:tl2br w:val="nil"/>
                    <w:tr2bl w:val="nil"/>
                  </w:tcBorders>
                  <w:noWrap w:val="0"/>
                  <w:tcMar>
                    <w:top w:w="0" w:type="dxa"/>
                    <w:left w:w="0" w:type="dxa"/>
                    <w:bottom w:w="0" w:type="dxa"/>
                    <w:right w:w="0" w:type="dxa"/>
                  </w:tcMar>
                  <w:vAlign w:val="center"/>
                </w:tcPr>
                <w:p w14:paraId="687EBE5B">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p>
              </w:tc>
            </w:tr>
            <w:tr w14:paraId="5697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136CEF27">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E8925FE">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340" w:type="pct"/>
                  <w:tcBorders>
                    <w:tl2br w:val="nil"/>
                    <w:tr2bl w:val="nil"/>
                  </w:tcBorders>
                  <w:noWrap w:val="0"/>
                  <w:tcMar>
                    <w:top w:w="0" w:type="dxa"/>
                    <w:left w:w="0" w:type="dxa"/>
                    <w:bottom w:w="0" w:type="dxa"/>
                    <w:right w:w="0" w:type="dxa"/>
                  </w:tcMar>
                  <w:vAlign w:val="center"/>
                </w:tcPr>
                <w:p w14:paraId="0C635A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418" w:type="pct"/>
                  <w:tcBorders>
                    <w:tl2br w:val="nil"/>
                    <w:tr2bl w:val="nil"/>
                  </w:tcBorders>
                  <w:noWrap w:val="0"/>
                  <w:tcMar>
                    <w:top w:w="0" w:type="dxa"/>
                    <w:left w:w="0" w:type="dxa"/>
                    <w:bottom w:w="0" w:type="dxa"/>
                    <w:right w:w="0" w:type="dxa"/>
                  </w:tcMar>
                  <w:vAlign w:val="center"/>
                </w:tcPr>
                <w:p w14:paraId="6ABA41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429" w:type="pct"/>
                  <w:tcBorders>
                    <w:tl2br w:val="nil"/>
                    <w:tr2bl w:val="nil"/>
                  </w:tcBorders>
                  <w:noWrap w:val="0"/>
                  <w:tcMar>
                    <w:top w:w="0" w:type="dxa"/>
                    <w:left w:w="0" w:type="dxa"/>
                    <w:bottom w:w="0" w:type="dxa"/>
                    <w:right w:w="0" w:type="dxa"/>
                  </w:tcMar>
                  <w:vAlign w:val="center"/>
                </w:tcPr>
                <w:p w14:paraId="487C25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352" w:type="pct"/>
                  <w:vMerge w:val="continue"/>
                  <w:tcBorders>
                    <w:tl2br w:val="nil"/>
                    <w:tr2bl w:val="nil"/>
                  </w:tcBorders>
                  <w:noWrap w:val="0"/>
                  <w:tcMar>
                    <w:top w:w="0" w:type="dxa"/>
                    <w:left w:w="0" w:type="dxa"/>
                    <w:bottom w:w="0" w:type="dxa"/>
                    <w:right w:w="0" w:type="dxa"/>
                  </w:tcMar>
                  <w:vAlign w:val="center"/>
                </w:tcPr>
                <w:p w14:paraId="59F2A988">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77A846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6727A5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3BAFE1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E372F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432" w:type="pct"/>
                  <w:tcBorders>
                    <w:tl2br w:val="nil"/>
                    <w:tr2bl w:val="nil"/>
                  </w:tcBorders>
                  <w:noWrap w:val="0"/>
                  <w:tcMar>
                    <w:top w:w="0" w:type="dxa"/>
                    <w:left w:w="0" w:type="dxa"/>
                    <w:bottom w:w="0" w:type="dxa"/>
                    <w:right w:w="0" w:type="dxa"/>
                  </w:tcMar>
                  <w:vAlign w:val="center"/>
                </w:tcPr>
                <w:p w14:paraId="4FD64B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477" w:type="pct"/>
                  <w:tcBorders>
                    <w:tl2br w:val="nil"/>
                    <w:tr2bl w:val="nil"/>
                  </w:tcBorders>
                  <w:noWrap w:val="0"/>
                  <w:tcMar>
                    <w:top w:w="0" w:type="dxa"/>
                    <w:left w:w="0" w:type="dxa"/>
                    <w:bottom w:w="0" w:type="dxa"/>
                    <w:right w:w="0" w:type="dxa"/>
                  </w:tcMar>
                  <w:vAlign w:val="center"/>
                </w:tcPr>
                <w:p w14:paraId="55E5FB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342" w:type="pct"/>
                  <w:vMerge w:val="continue"/>
                  <w:tcBorders>
                    <w:tl2br w:val="nil"/>
                    <w:tr2bl w:val="nil"/>
                  </w:tcBorders>
                  <w:noWrap w:val="0"/>
                  <w:tcMar>
                    <w:top w:w="0" w:type="dxa"/>
                    <w:left w:w="0" w:type="dxa"/>
                    <w:bottom w:w="0" w:type="dxa"/>
                    <w:right w:w="0" w:type="dxa"/>
                  </w:tcMar>
                  <w:vAlign w:val="center"/>
                </w:tcPr>
                <w:p w14:paraId="28374A93">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53D8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DD352A0">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4070FBA0">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21A8C6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18" w:type="pct"/>
                  <w:tcBorders>
                    <w:tl2br w:val="nil"/>
                    <w:tr2bl w:val="nil"/>
                  </w:tcBorders>
                  <w:noWrap w:val="0"/>
                  <w:tcMar>
                    <w:top w:w="0" w:type="dxa"/>
                    <w:left w:w="0" w:type="dxa"/>
                    <w:bottom w:w="0" w:type="dxa"/>
                    <w:right w:w="0" w:type="dxa"/>
                  </w:tcMar>
                  <w:vAlign w:val="center"/>
                </w:tcPr>
                <w:p w14:paraId="390CE8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29" w:type="pct"/>
                  <w:tcBorders>
                    <w:tl2br w:val="nil"/>
                    <w:tr2bl w:val="nil"/>
                  </w:tcBorders>
                  <w:noWrap w:val="0"/>
                  <w:tcMar>
                    <w:top w:w="0" w:type="dxa"/>
                    <w:left w:w="0" w:type="dxa"/>
                    <w:bottom w:w="0" w:type="dxa"/>
                    <w:right w:w="0" w:type="dxa"/>
                  </w:tcMar>
                  <w:vAlign w:val="center"/>
                </w:tcPr>
                <w:p w14:paraId="420882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52" w:type="pct"/>
                  <w:vMerge w:val="continue"/>
                  <w:tcBorders>
                    <w:tl2br w:val="nil"/>
                    <w:tr2bl w:val="nil"/>
                  </w:tcBorders>
                  <w:noWrap w:val="0"/>
                  <w:tcMar>
                    <w:top w:w="0" w:type="dxa"/>
                    <w:left w:w="0" w:type="dxa"/>
                    <w:bottom w:w="0" w:type="dxa"/>
                    <w:right w:w="0" w:type="dxa"/>
                  </w:tcMar>
                  <w:vAlign w:val="center"/>
                </w:tcPr>
                <w:p w14:paraId="639DBE67">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tcBorders>
                    <w:tl2br w:val="nil"/>
                    <w:tr2bl w:val="nil"/>
                  </w:tcBorders>
                  <w:shd w:val="clear" w:color="auto" w:fill="auto"/>
                  <w:noWrap w:val="0"/>
                  <w:tcMar>
                    <w:top w:w="0" w:type="dxa"/>
                    <w:left w:w="0" w:type="dxa"/>
                    <w:bottom w:w="0" w:type="dxa"/>
                    <w:right w:w="0" w:type="dxa"/>
                  </w:tcMar>
                  <w:vAlign w:val="center"/>
                </w:tcPr>
                <w:p w14:paraId="220A0D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shd w:val="clear" w:color="auto" w:fill="auto"/>
                  <w:noWrap w:val="0"/>
                  <w:tcMar>
                    <w:top w:w="0" w:type="dxa"/>
                    <w:left w:w="0" w:type="dxa"/>
                    <w:bottom w:w="0" w:type="dxa"/>
                    <w:right w:w="0" w:type="dxa"/>
                  </w:tcMar>
                  <w:vAlign w:val="center"/>
                </w:tcPr>
                <w:p w14:paraId="302778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17584E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4B662D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32" w:type="pct"/>
                  <w:tcBorders>
                    <w:tl2br w:val="nil"/>
                    <w:tr2bl w:val="nil"/>
                  </w:tcBorders>
                  <w:noWrap w:val="0"/>
                  <w:tcMar>
                    <w:top w:w="0" w:type="dxa"/>
                    <w:left w:w="0" w:type="dxa"/>
                    <w:bottom w:w="0" w:type="dxa"/>
                    <w:right w:w="0" w:type="dxa"/>
                  </w:tcMar>
                  <w:vAlign w:val="center"/>
                </w:tcPr>
                <w:p w14:paraId="0E7CDE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77" w:type="pct"/>
                  <w:tcBorders>
                    <w:tl2br w:val="nil"/>
                    <w:tr2bl w:val="nil"/>
                  </w:tcBorders>
                  <w:noWrap w:val="0"/>
                  <w:tcMar>
                    <w:top w:w="0" w:type="dxa"/>
                    <w:left w:w="0" w:type="dxa"/>
                    <w:bottom w:w="0" w:type="dxa"/>
                    <w:right w:w="0" w:type="dxa"/>
                  </w:tcMar>
                  <w:vAlign w:val="center"/>
                </w:tcPr>
                <w:p w14:paraId="77EDB6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42" w:type="pct"/>
                  <w:vMerge w:val="continue"/>
                  <w:tcBorders>
                    <w:tl2br w:val="nil"/>
                    <w:tr2bl w:val="nil"/>
                  </w:tcBorders>
                  <w:noWrap w:val="0"/>
                  <w:tcMar>
                    <w:top w:w="0" w:type="dxa"/>
                    <w:left w:w="0" w:type="dxa"/>
                    <w:bottom w:w="0" w:type="dxa"/>
                    <w:right w:w="0" w:type="dxa"/>
                  </w:tcMar>
                  <w:vAlign w:val="center"/>
                </w:tcPr>
                <w:p w14:paraId="2F56C510">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06A9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EAD7F0D">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96D61C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氟化物</w:t>
                  </w:r>
                </w:p>
              </w:tc>
              <w:tc>
                <w:tcPr>
                  <w:tcW w:w="340" w:type="pct"/>
                  <w:tcBorders>
                    <w:tl2br w:val="nil"/>
                    <w:tr2bl w:val="nil"/>
                  </w:tcBorders>
                  <w:noWrap w:val="0"/>
                  <w:tcMar>
                    <w:top w:w="0" w:type="dxa"/>
                    <w:left w:w="0" w:type="dxa"/>
                    <w:bottom w:w="0" w:type="dxa"/>
                    <w:right w:w="0" w:type="dxa"/>
                  </w:tcMar>
                  <w:vAlign w:val="center"/>
                </w:tcPr>
                <w:p w14:paraId="42E01D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18" w:type="pct"/>
                  <w:tcBorders>
                    <w:tl2br w:val="nil"/>
                    <w:tr2bl w:val="nil"/>
                  </w:tcBorders>
                  <w:noWrap w:val="0"/>
                  <w:tcMar>
                    <w:top w:w="0" w:type="dxa"/>
                    <w:left w:w="0" w:type="dxa"/>
                    <w:bottom w:w="0" w:type="dxa"/>
                    <w:right w:w="0" w:type="dxa"/>
                  </w:tcMar>
                  <w:vAlign w:val="center"/>
                </w:tcPr>
                <w:p w14:paraId="42AC8B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03</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9" w:type="pct"/>
                  <w:tcBorders>
                    <w:tl2br w:val="nil"/>
                    <w:tr2bl w:val="nil"/>
                  </w:tcBorders>
                  <w:noWrap w:val="0"/>
                  <w:tcMar>
                    <w:top w:w="0" w:type="dxa"/>
                    <w:left w:w="0" w:type="dxa"/>
                    <w:bottom w:w="0" w:type="dxa"/>
                    <w:right w:w="0" w:type="dxa"/>
                  </w:tcMar>
                  <w:vAlign w:val="center"/>
                </w:tcPr>
                <w:p w14:paraId="5214E7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016C94B6">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424DCB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05913C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61" w:type="pct"/>
                  <w:tcBorders>
                    <w:tl2br w:val="nil"/>
                    <w:tr2bl w:val="nil"/>
                  </w:tcBorders>
                  <w:noWrap w:val="0"/>
                  <w:tcMar>
                    <w:top w:w="0" w:type="dxa"/>
                    <w:left w:w="0" w:type="dxa"/>
                    <w:bottom w:w="0" w:type="dxa"/>
                    <w:right w:w="0" w:type="dxa"/>
                  </w:tcMar>
                  <w:vAlign w:val="center"/>
                </w:tcPr>
                <w:p w14:paraId="231F7E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40" w:type="pct"/>
                  <w:tcBorders>
                    <w:tl2br w:val="nil"/>
                    <w:tr2bl w:val="nil"/>
                  </w:tcBorders>
                  <w:noWrap w:val="0"/>
                  <w:tcMar>
                    <w:top w:w="0" w:type="dxa"/>
                    <w:left w:w="0" w:type="dxa"/>
                    <w:bottom w:w="0" w:type="dxa"/>
                    <w:right w:w="0" w:type="dxa"/>
                  </w:tcMar>
                  <w:vAlign w:val="center"/>
                </w:tcPr>
                <w:p w14:paraId="2D216B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32" w:type="pct"/>
                  <w:tcBorders>
                    <w:tl2br w:val="nil"/>
                    <w:tr2bl w:val="nil"/>
                  </w:tcBorders>
                  <w:noWrap w:val="0"/>
                  <w:tcMar>
                    <w:top w:w="0" w:type="dxa"/>
                    <w:left w:w="0" w:type="dxa"/>
                    <w:bottom w:w="0" w:type="dxa"/>
                    <w:right w:w="0" w:type="dxa"/>
                  </w:tcMar>
                  <w:vAlign w:val="center"/>
                </w:tcPr>
                <w:p w14:paraId="3D45FD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477" w:type="pct"/>
                  <w:tcBorders>
                    <w:tl2br w:val="nil"/>
                    <w:tr2bl w:val="nil"/>
                  </w:tcBorders>
                  <w:noWrap w:val="0"/>
                  <w:tcMar>
                    <w:top w:w="0" w:type="dxa"/>
                    <w:left w:w="0" w:type="dxa"/>
                    <w:bottom w:w="0" w:type="dxa"/>
                    <w:right w:w="0" w:type="dxa"/>
                  </w:tcMar>
                  <w:vAlign w:val="center"/>
                </w:tcPr>
                <w:p w14:paraId="0E4C5C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B85F932">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7CAA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A8B00E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eastAsia="zh-CN"/>
                    </w:rPr>
                    <w:t>厨房油烟废气</w:t>
                  </w:r>
                  <w:r>
                    <w:rPr>
                      <w:rFonts w:hint="eastAsia" w:ascii="Times New Roman" w:hAnsi="Times New Roman" w:eastAsia="宋体" w:cs="Times New Roman"/>
                      <w:snapToGrid/>
                      <w:color w:val="auto"/>
                      <w:kern w:val="2"/>
                      <w:sz w:val="21"/>
                      <w:szCs w:val="21"/>
                      <w:highlight w:val="none"/>
                      <w:lang w:eastAsia="zh-CN"/>
                    </w:rPr>
                    <w:t>（</w:t>
                  </w:r>
                  <w:r>
                    <w:rPr>
                      <w:rFonts w:hint="eastAsia" w:cs="Times New Roman"/>
                      <w:snapToGrid/>
                      <w:color w:val="auto"/>
                      <w:kern w:val="2"/>
                      <w:sz w:val="21"/>
                      <w:szCs w:val="21"/>
                      <w:highlight w:val="none"/>
                      <w:lang w:val="en-US" w:eastAsia="zh-CN"/>
                    </w:rPr>
                    <w:t>DA004</w:t>
                  </w:r>
                  <w:r>
                    <w:rPr>
                      <w:rFonts w:hint="eastAsia" w:ascii="Times New Roman" w:hAnsi="Times New Roman" w:eastAsia="宋体" w:cs="Times New Roman"/>
                      <w:snapToGrid/>
                      <w:color w:val="auto"/>
                      <w:kern w:val="2"/>
                      <w:sz w:val="21"/>
                      <w:szCs w:val="21"/>
                      <w:highlight w:val="none"/>
                      <w:lang w:eastAsia="zh-CN"/>
                    </w:rPr>
                    <w:t>）</w:t>
                  </w:r>
                </w:p>
              </w:tc>
              <w:tc>
                <w:tcPr>
                  <w:tcW w:w="394" w:type="pct"/>
                  <w:vMerge w:val="restart"/>
                  <w:tcBorders>
                    <w:tl2br w:val="nil"/>
                    <w:tr2bl w:val="nil"/>
                  </w:tcBorders>
                  <w:noWrap w:val="0"/>
                  <w:tcMar>
                    <w:top w:w="0" w:type="dxa"/>
                    <w:left w:w="0" w:type="dxa"/>
                    <w:bottom w:w="0" w:type="dxa"/>
                    <w:right w:w="0" w:type="dxa"/>
                  </w:tcMar>
                  <w:vAlign w:val="center"/>
                </w:tcPr>
                <w:p w14:paraId="27FB74AE">
                  <w:pPr>
                    <w:keepNext w:val="0"/>
                    <w:keepLines w:val="0"/>
                    <w:widowControl/>
                    <w:suppressLineNumbers w:val="0"/>
                    <w:jc w:val="center"/>
                    <w:textAlignment w:val="center"/>
                    <w:rPr>
                      <w:rFonts w:hint="eastAsia" w:ascii="Times New Roman" w:hAnsi="Times New Roman" w:eastAsia="宋体" w:cs="Times New Roman"/>
                      <w:snapToGrid/>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油烟</w:t>
                  </w:r>
                </w:p>
              </w:tc>
              <w:tc>
                <w:tcPr>
                  <w:tcW w:w="340" w:type="pct"/>
                  <w:tcBorders>
                    <w:tl2br w:val="nil"/>
                    <w:tr2bl w:val="nil"/>
                  </w:tcBorders>
                  <w:noWrap w:val="0"/>
                  <w:tcMar>
                    <w:top w:w="0" w:type="dxa"/>
                    <w:left w:w="0" w:type="dxa"/>
                    <w:bottom w:w="0" w:type="dxa"/>
                    <w:right w:w="0" w:type="dxa"/>
                  </w:tcMar>
                  <w:vAlign w:val="center"/>
                </w:tcPr>
                <w:p w14:paraId="1B22D272">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0.028 </w:t>
                  </w:r>
                </w:p>
              </w:tc>
              <w:tc>
                <w:tcPr>
                  <w:tcW w:w="418" w:type="pct"/>
                  <w:tcBorders>
                    <w:tl2br w:val="nil"/>
                    <w:tr2bl w:val="nil"/>
                  </w:tcBorders>
                  <w:noWrap w:val="0"/>
                  <w:tcMar>
                    <w:top w:w="0" w:type="dxa"/>
                    <w:left w:w="0" w:type="dxa"/>
                    <w:bottom w:w="0" w:type="dxa"/>
                    <w:right w:w="0" w:type="dxa"/>
                  </w:tcMar>
                  <w:vAlign w:val="center"/>
                </w:tcPr>
                <w:p w14:paraId="492E75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0.029 </w:t>
                  </w:r>
                </w:p>
              </w:tc>
              <w:tc>
                <w:tcPr>
                  <w:tcW w:w="429" w:type="pct"/>
                  <w:tcBorders>
                    <w:tl2br w:val="nil"/>
                    <w:tr2bl w:val="nil"/>
                  </w:tcBorders>
                  <w:noWrap w:val="0"/>
                  <w:tcMar>
                    <w:top w:w="0" w:type="dxa"/>
                    <w:left w:w="0" w:type="dxa"/>
                    <w:bottom w:w="0" w:type="dxa"/>
                    <w:right w:w="0" w:type="dxa"/>
                  </w:tcMar>
                  <w:vAlign w:val="center"/>
                </w:tcPr>
                <w:p w14:paraId="180922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352" w:type="pct"/>
                  <w:tcBorders>
                    <w:tl2br w:val="nil"/>
                    <w:tr2bl w:val="nil"/>
                  </w:tcBorders>
                  <w:noWrap w:val="0"/>
                  <w:tcMar>
                    <w:top w:w="0" w:type="dxa"/>
                    <w:left w:w="0" w:type="dxa"/>
                    <w:bottom w:w="0" w:type="dxa"/>
                    <w:right w:w="0" w:type="dxa"/>
                  </w:tcMar>
                  <w:vAlign w:val="center"/>
                </w:tcPr>
                <w:p w14:paraId="6768FA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有组织</w:t>
                  </w:r>
                </w:p>
              </w:tc>
              <w:tc>
                <w:tcPr>
                  <w:tcW w:w="432" w:type="pct"/>
                  <w:tcBorders>
                    <w:tl2br w:val="nil"/>
                    <w:tr2bl w:val="nil"/>
                  </w:tcBorders>
                  <w:noWrap w:val="0"/>
                  <w:tcMar>
                    <w:top w:w="0" w:type="dxa"/>
                    <w:left w:w="0" w:type="dxa"/>
                    <w:bottom w:w="0" w:type="dxa"/>
                    <w:right w:w="0" w:type="dxa"/>
                  </w:tcMar>
                  <w:vAlign w:val="center"/>
                </w:tcPr>
                <w:p w14:paraId="2F2D4D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6000</w:t>
                  </w:r>
                </w:p>
              </w:tc>
              <w:tc>
                <w:tcPr>
                  <w:tcW w:w="286" w:type="pct"/>
                  <w:tcBorders>
                    <w:tl2br w:val="nil"/>
                    <w:tr2bl w:val="nil"/>
                  </w:tcBorders>
                  <w:noWrap w:val="0"/>
                  <w:tcMar>
                    <w:top w:w="0" w:type="dxa"/>
                    <w:left w:w="0" w:type="dxa"/>
                    <w:bottom w:w="0" w:type="dxa"/>
                    <w:right w:w="0" w:type="dxa"/>
                  </w:tcMar>
                  <w:vAlign w:val="center"/>
                </w:tcPr>
                <w:p w14:paraId="20C5F3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w:t>
                  </w: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261" w:type="pct"/>
                  <w:tcBorders>
                    <w:tl2br w:val="nil"/>
                    <w:tr2bl w:val="nil"/>
                  </w:tcBorders>
                  <w:noWrap w:val="0"/>
                  <w:tcMar>
                    <w:top w:w="0" w:type="dxa"/>
                    <w:left w:w="0" w:type="dxa"/>
                    <w:bottom w:w="0" w:type="dxa"/>
                    <w:right w:w="0" w:type="dxa"/>
                  </w:tcMar>
                  <w:vAlign w:val="center"/>
                </w:tcPr>
                <w:p w14:paraId="3D513B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340" w:type="pct"/>
                  <w:tcBorders>
                    <w:tl2br w:val="nil"/>
                    <w:tr2bl w:val="nil"/>
                  </w:tcBorders>
                  <w:noWrap w:val="0"/>
                  <w:tcMar>
                    <w:top w:w="0" w:type="dxa"/>
                    <w:left w:w="0" w:type="dxa"/>
                    <w:bottom w:w="0" w:type="dxa"/>
                    <w:right w:w="0" w:type="dxa"/>
                  </w:tcMar>
                  <w:vAlign w:val="center"/>
                </w:tcPr>
                <w:p w14:paraId="026BC8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32" w:type="pct"/>
                  <w:tcBorders>
                    <w:tl2br w:val="nil"/>
                    <w:tr2bl w:val="nil"/>
                  </w:tcBorders>
                  <w:noWrap w:val="0"/>
                  <w:tcMar>
                    <w:top w:w="0" w:type="dxa"/>
                    <w:left w:w="0" w:type="dxa"/>
                    <w:bottom w:w="0" w:type="dxa"/>
                    <w:right w:w="0" w:type="dxa"/>
                  </w:tcMar>
                  <w:vAlign w:val="center"/>
                </w:tcPr>
                <w:p w14:paraId="69A094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77" w:type="pct"/>
                  <w:tcBorders>
                    <w:tl2br w:val="nil"/>
                    <w:tr2bl w:val="nil"/>
                  </w:tcBorders>
                  <w:noWrap w:val="0"/>
                  <w:tcMar>
                    <w:top w:w="0" w:type="dxa"/>
                    <w:left w:w="0" w:type="dxa"/>
                    <w:bottom w:w="0" w:type="dxa"/>
                    <w:right w:w="0" w:type="dxa"/>
                  </w:tcMar>
                  <w:vAlign w:val="center"/>
                </w:tcPr>
                <w:p w14:paraId="4E86D7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 </w:t>
                  </w:r>
                </w:p>
              </w:tc>
              <w:tc>
                <w:tcPr>
                  <w:tcW w:w="342" w:type="pct"/>
                  <w:vMerge w:val="restart"/>
                  <w:tcBorders>
                    <w:tl2br w:val="nil"/>
                    <w:tr2bl w:val="nil"/>
                  </w:tcBorders>
                  <w:noWrap w:val="0"/>
                  <w:tcMar>
                    <w:top w:w="0" w:type="dxa"/>
                    <w:left w:w="0" w:type="dxa"/>
                    <w:bottom w:w="0" w:type="dxa"/>
                    <w:right w:w="0" w:type="dxa"/>
                  </w:tcMar>
                  <w:vAlign w:val="center"/>
                </w:tcPr>
                <w:p w14:paraId="621DB160">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rPr>
                    <w:t>964</w:t>
                  </w:r>
                </w:p>
              </w:tc>
            </w:tr>
            <w:tr w14:paraId="2001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5E14A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394" w:type="pct"/>
                  <w:vMerge w:val="continue"/>
                  <w:tcBorders>
                    <w:tl2br w:val="nil"/>
                    <w:tr2bl w:val="nil"/>
                  </w:tcBorders>
                  <w:noWrap w:val="0"/>
                  <w:tcMar>
                    <w:top w:w="0" w:type="dxa"/>
                    <w:left w:w="0" w:type="dxa"/>
                    <w:bottom w:w="0" w:type="dxa"/>
                    <w:right w:w="0" w:type="dxa"/>
                  </w:tcMar>
                  <w:vAlign w:val="center"/>
                </w:tcPr>
                <w:p w14:paraId="02EDE441">
                  <w:pPr>
                    <w:jc w:val="center"/>
                    <w:rPr>
                      <w:rFonts w:hint="default" w:ascii="Times New Roman" w:hAnsi="Times New Roman" w:eastAsia="宋体" w:cs="Times New Roman"/>
                      <w:snapToGrid/>
                      <w:color w:val="auto"/>
                      <w:kern w:val="2"/>
                      <w:sz w:val="21"/>
                      <w:szCs w:val="21"/>
                      <w:highlight w:val="none"/>
                      <w:lang w:eastAsia="zh-CN"/>
                    </w:rPr>
                  </w:pPr>
                </w:p>
              </w:tc>
              <w:tc>
                <w:tcPr>
                  <w:tcW w:w="340" w:type="pct"/>
                  <w:tcBorders>
                    <w:tl2br w:val="nil"/>
                    <w:tr2bl w:val="nil"/>
                  </w:tcBorders>
                  <w:noWrap w:val="0"/>
                  <w:tcMar>
                    <w:top w:w="0" w:type="dxa"/>
                    <w:left w:w="0" w:type="dxa"/>
                    <w:bottom w:w="0" w:type="dxa"/>
                    <w:right w:w="0" w:type="dxa"/>
                  </w:tcMar>
                  <w:vAlign w:val="center"/>
                </w:tcPr>
                <w:p w14:paraId="4DE8B3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18" w:type="pct"/>
                  <w:tcBorders>
                    <w:tl2br w:val="nil"/>
                    <w:tr2bl w:val="nil"/>
                  </w:tcBorders>
                  <w:noWrap w:val="0"/>
                  <w:tcMar>
                    <w:top w:w="0" w:type="dxa"/>
                    <w:left w:w="0" w:type="dxa"/>
                    <w:bottom w:w="0" w:type="dxa"/>
                    <w:right w:w="0" w:type="dxa"/>
                  </w:tcMar>
                  <w:vAlign w:val="center"/>
                </w:tcPr>
                <w:p w14:paraId="55FF0E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29" w:type="pct"/>
                  <w:tcBorders>
                    <w:tl2br w:val="nil"/>
                    <w:tr2bl w:val="nil"/>
                  </w:tcBorders>
                  <w:noWrap w:val="0"/>
                  <w:tcMar>
                    <w:top w:w="0" w:type="dxa"/>
                    <w:left w:w="0" w:type="dxa"/>
                    <w:bottom w:w="0" w:type="dxa"/>
                    <w:right w:w="0" w:type="dxa"/>
                  </w:tcMar>
                  <w:vAlign w:val="center"/>
                </w:tcPr>
                <w:p w14:paraId="56DAAA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5DA40486">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75B22B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7D3469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74176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7440A1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32" w:type="pct"/>
                  <w:tcBorders>
                    <w:tl2br w:val="nil"/>
                    <w:tr2bl w:val="nil"/>
                  </w:tcBorders>
                  <w:noWrap w:val="0"/>
                  <w:tcMar>
                    <w:top w:w="0" w:type="dxa"/>
                    <w:left w:w="0" w:type="dxa"/>
                    <w:bottom w:w="0" w:type="dxa"/>
                    <w:right w:w="0" w:type="dxa"/>
                  </w:tcMar>
                  <w:vAlign w:val="center"/>
                </w:tcPr>
                <w:p w14:paraId="7B759D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77" w:type="pct"/>
                  <w:tcBorders>
                    <w:tl2br w:val="nil"/>
                    <w:tr2bl w:val="nil"/>
                  </w:tcBorders>
                  <w:noWrap w:val="0"/>
                  <w:tcMar>
                    <w:top w:w="0" w:type="dxa"/>
                    <w:left w:w="0" w:type="dxa"/>
                    <w:bottom w:w="0" w:type="dxa"/>
                    <w:right w:w="0" w:type="dxa"/>
                  </w:tcMar>
                  <w:vAlign w:val="center"/>
                </w:tcPr>
                <w:p w14:paraId="3C09DD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328D606">
                  <w:pPr>
                    <w:widowControl w:val="0"/>
                    <w:kinsoku/>
                    <w:autoSpaceDE/>
                    <w:autoSpaceDN/>
                    <w:adjustRightInd w:val="0"/>
                    <w:snapToGrid w:val="0"/>
                    <w:spacing w:line="240" w:lineRule="auto"/>
                    <w:jc w:val="center"/>
                    <w:textAlignment w:val="auto"/>
                    <w:rPr>
                      <w:rFonts w:hint="eastAsia" w:ascii="Times New Roman" w:hAnsi="Times New Roman" w:eastAsia="宋体" w:cs="Times New Roman"/>
                      <w:snapToGrid/>
                      <w:color w:val="auto"/>
                      <w:kern w:val="2"/>
                      <w:sz w:val="21"/>
                      <w:szCs w:val="21"/>
                      <w:highlight w:val="none"/>
                      <w:lang w:val="en-US" w:eastAsia="zh-CN"/>
                    </w:rPr>
                  </w:pPr>
                </w:p>
              </w:tc>
            </w:tr>
          </w:tbl>
          <w:p w14:paraId="7EC8F618">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54A8FB33">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b/>
                <w:color w:val="auto"/>
                <w:sz w:val="21"/>
                <w:szCs w:val="21"/>
                <w:lang w:bidi="ar"/>
              </w:rPr>
            </w:pPr>
            <w:r>
              <w:rPr>
                <w:rFonts w:hint="default" w:ascii="Times New Roman" w:hAnsi="Times New Roman" w:eastAsia="宋体" w:cs="Times New Roman"/>
                <w:b/>
                <w:bCs/>
                <w:color w:val="auto"/>
                <w:kern w:val="2"/>
                <w:sz w:val="21"/>
                <w:szCs w:val="21"/>
                <w:lang w:val="en-US" w:eastAsia="zh-CN" w:bidi="ar-SA"/>
              </w:rPr>
              <w:t>表4-3</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大气污染物有组织排放量核算表</w:t>
            </w:r>
          </w:p>
          <w:tbl>
            <w:tblPr>
              <w:tblStyle w:val="48"/>
              <w:tblW w:w="128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9"/>
              <w:gridCol w:w="2111"/>
              <w:gridCol w:w="2271"/>
              <w:gridCol w:w="2127"/>
              <w:gridCol w:w="2106"/>
              <w:gridCol w:w="2129"/>
            </w:tblGrid>
            <w:tr w14:paraId="3C87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5C8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E97C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B44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B6A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24F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873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647F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D8A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一般排放口</w:t>
                  </w:r>
                </w:p>
              </w:tc>
            </w:tr>
            <w:tr w14:paraId="1A3F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restart"/>
                  <w:tcBorders>
                    <w:top w:val="single" w:color="000000" w:sz="4" w:space="0"/>
                    <w:left w:val="single" w:color="000000" w:sz="4" w:space="0"/>
                    <w:right w:val="single" w:color="000000" w:sz="4" w:space="0"/>
                  </w:tcBorders>
                  <w:shd w:val="clear" w:color="auto" w:fill="auto"/>
                  <w:noWrap/>
                  <w:vAlign w:val="center"/>
                </w:tcPr>
                <w:p w14:paraId="7334D0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1</w:t>
                  </w:r>
                </w:p>
              </w:tc>
              <w:tc>
                <w:tcPr>
                  <w:tcW w:w="821" w:type="pct"/>
                  <w:vMerge w:val="restart"/>
                  <w:tcBorders>
                    <w:top w:val="single" w:color="000000" w:sz="4" w:space="0"/>
                    <w:left w:val="single" w:color="000000" w:sz="4" w:space="0"/>
                    <w:right w:val="single" w:color="000000" w:sz="4" w:space="0"/>
                  </w:tcBorders>
                  <w:shd w:val="clear" w:color="auto" w:fill="auto"/>
                  <w:vAlign w:val="center"/>
                </w:tcPr>
                <w:p w14:paraId="354E10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DA003</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8F8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氟化物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4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1C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0.087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D3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r>
            <w:tr w14:paraId="3340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left w:val="single" w:color="000000" w:sz="4" w:space="0"/>
                    <w:right w:val="single" w:color="000000" w:sz="4" w:space="0"/>
                  </w:tcBorders>
                  <w:shd w:val="clear" w:color="auto" w:fill="auto"/>
                  <w:noWrap/>
                  <w:vAlign w:val="center"/>
                </w:tcPr>
                <w:p w14:paraId="0ADE4A45">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right w:val="single" w:color="000000" w:sz="4" w:space="0"/>
                  </w:tcBorders>
                  <w:shd w:val="clear" w:color="auto" w:fill="auto"/>
                  <w:vAlign w:val="center"/>
                </w:tcPr>
                <w:p w14:paraId="305AD1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F210">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15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6E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0.422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96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11C1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left w:val="single" w:color="000000" w:sz="4" w:space="0"/>
                    <w:right w:val="single" w:color="000000" w:sz="4" w:space="0"/>
                  </w:tcBorders>
                  <w:shd w:val="clear" w:color="auto" w:fill="auto"/>
                  <w:noWrap/>
                  <w:vAlign w:val="center"/>
                </w:tcPr>
                <w:p w14:paraId="594EF2C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right w:val="single" w:color="000000" w:sz="4" w:space="0"/>
                  </w:tcBorders>
                  <w:shd w:val="clear" w:color="auto" w:fill="auto"/>
                  <w:vAlign w:val="center"/>
                </w:tcPr>
                <w:p w14:paraId="3005AB1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3E0F">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C8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9B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3.946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FE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r>
            <w:tr w14:paraId="49277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left w:val="single" w:color="000000" w:sz="4" w:space="0"/>
                    <w:bottom w:val="single" w:color="000000" w:sz="4" w:space="0"/>
                    <w:right w:val="single" w:color="000000" w:sz="4" w:space="0"/>
                  </w:tcBorders>
                  <w:shd w:val="clear" w:color="auto" w:fill="auto"/>
                  <w:noWrap/>
                  <w:vAlign w:val="center"/>
                </w:tcPr>
                <w:p w14:paraId="521CCD1C">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bottom w:val="single" w:color="000000" w:sz="4" w:space="0"/>
                    <w:right w:val="single" w:color="000000" w:sz="4" w:space="0"/>
                  </w:tcBorders>
                  <w:shd w:val="clear" w:color="auto" w:fill="auto"/>
                  <w:vAlign w:val="center"/>
                </w:tcPr>
                <w:p w14:paraId="5E7DF3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1ABF">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2F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CC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0.604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4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r>
            <w:tr w14:paraId="54BEA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C2AE">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B071">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DA004</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322C">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819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043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1.2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26A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303C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D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主要排放口</w:t>
                  </w:r>
                </w:p>
              </w:tc>
            </w:tr>
            <w:tr w14:paraId="6F54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6A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3</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9B9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DA001</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04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F5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2A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A8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r>
            <w:tr w14:paraId="648E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E22C5">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E16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C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DC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0.312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6C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9E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0.602 </w:t>
                  </w:r>
                </w:p>
              </w:tc>
            </w:tr>
            <w:tr w14:paraId="5BD3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DDB49">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7E74">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D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苯系物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70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0.155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8A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65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0.300 </w:t>
                  </w:r>
                </w:p>
              </w:tc>
            </w:tr>
            <w:tr w14:paraId="0CA4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943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EB96">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5D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55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4D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0C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307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DC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4</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9CF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DA002</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64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EE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3B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30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0.068 </w:t>
                  </w:r>
                </w:p>
              </w:tc>
            </w:tr>
            <w:tr w14:paraId="6DA3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440E">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32FB0">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A7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苯系物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8C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1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3E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0.017 </w:t>
                  </w:r>
                </w:p>
              </w:tc>
            </w:tr>
            <w:tr w14:paraId="5DA4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9B4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60F7">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4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DB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EA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E3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F75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7F4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25E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03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FA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A7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73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r>
            <w:tr w14:paraId="6E85F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0BA9">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D299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A0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FD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06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B2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5C15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9878">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FEBB9">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F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81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8A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97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r>
            <w:tr w14:paraId="3F84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16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有组织排放合计</w:t>
                  </w:r>
                  <w:r>
                    <w:rPr>
                      <w:rFonts w:hint="default" w:ascii="Times New Roman" w:hAnsi="Times New Roman" w:eastAsia="宋体" w:cs="Times New Roman"/>
                      <w:i w:val="0"/>
                      <w:iCs w:val="0"/>
                      <w:color w:val="auto"/>
                      <w:kern w:val="0"/>
                      <w:sz w:val="21"/>
                      <w:szCs w:val="21"/>
                      <w:u w:val="none"/>
                      <w:lang w:val="en-US" w:eastAsia="zh-CN" w:bidi="ar"/>
                    </w:rPr>
                    <w:t>t/a</w:t>
                  </w: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ABF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374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0.075 </w:t>
                  </w:r>
                </w:p>
              </w:tc>
            </w:tr>
            <w:tr w14:paraId="546B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2B05">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6A4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4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0.670 </w:t>
                  </w:r>
                </w:p>
              </w:tc>
            </w:tr>
            <w:tr w14:paraId="34AF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6855">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863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苯系物</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F0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0.316 </w:t>
                  </w:r>
                </w:p>
              </w:tc>
            </w:tr>
            <w:tr w14:paraId="3D5E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78B77">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742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2F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0DF4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D317">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222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26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r>
            <w:tr w14:paraId="0109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90DF0">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E8F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55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07D27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4049">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5A7D6">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A9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0.002</w:t>
                  </w:r>
                </w:p>
              </w:tc>
            </w:tr>
            <w:tr w14:paraId="33B1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B0D22">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3B4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9E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243A0338">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大气污染物无组织排放核算表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9"/>
              <w:gridCol w:w="741"/>
              <w:gridCol w:w="1217"/>
              <w:gridCol w:w="1099"/>
              <w:gridCol w:w="832"/>
              <w:gridCol w:w="3971"/>
              <w:gridCol w:w="1825"/>
              <w:gridCol w:w="1016"/>
              <w:gridCol w:w="1273"/>
            </w:tblGrid>
            <w:tr w14:paraId="35EF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516A09D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289" w:type="pct"/>
                  <w:vMerge w:val="restart"/>
                  <w:shd w:val="clear" w:color="auto" w:fill="auto"/>
                  <w:vAlign w:val="center"/>
                </w:tcPr>
                <w:p w14:paraId="340D6D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474" w:type="pct"/>
                  <w:vMerge w:val="restart"/>
                  <w:shd w:val="clear" w:color="auto" w:fill="auto"/>
                  <w:vAlign w:val="center"/>
                </w:tcPr>
                <w:p w14:paraId="0E1E052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产污环节</w:t>
                  </w:r>
                </w:p>
              </w:tc>
              <w:tc>
                <w:tcPr>
                  <w:tcW w:w="428" w:type="pct"/>
                  <w:vMerge w:val="restart"/>
                  <w:shd w:val="clear" w:color="auto" w:fill="auto"/>
                  <w:vAlign w:val="center"/>
                </w:tcPr>
                <w:p w14:paraId="1E416E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污染物种类</w:t>
                  </w:r>
                </w:p>
              </w:tc>
              <w:tc>
                <w:tcPr>
                  <w:tcW w:w="324" w:type="pct"/>
                  <w:vMerge w:val="restart"/>
                  <w:shd w:val="clear" w:color="auto" w:fill="auto"/>
                  <w:vAlign w:val="center"/>
                </w:tcPr>
                <w:p w14:paraId="4A99C3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主要污染防治措施</w:t>
                  </w:r>
                </w:p>
              </w:tc>
              <w:tc>
                <w:tcPr>
                  <w:tcW w:w="2650" w:type="pct"/>
                  <w:gridSpan w:val="3"/>
                  <w:shd w:val="clear" w:color="auto" w:fill="auto"/>
                  <w:vAlign w:val="center"/>
                </w:tcPr>
                <w:p w14:paraId="11359E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国家或地方污染物排放标准</w:t>
                  </w:r>
                </w:p>
              </w:tc>
              <w:tc>
                <w:tcPr>
                  <w:tcW w:w="495" w:type="pct"/>
                  <w:vMerge w:val="restart"/>
                  <w:shd w:val="clear" w:color="auto" w:fill="auto"/>
                  <w:vAlign w:val="center"/>
                </w:tcPr>
                <w:p w14:paraId="5F0905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2772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6" w:hRule="atLeast"/>
              </w:trPr>
              <w:tc>
                <w:tcPr>
                  <w:tcW w:w="335" w:type="pct"/>
                  <w:vMerge w:val="continue"/>
                  <w:shd w:val="clear" w:color="auto" w:fill="auto"/>
                  <w:vAlign w:val="center"/>
                </w:tcPr>
                <w:p w14:paraId="62690D27">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79E2B16F">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1EA0EE8">
                  <w:pPr>
                    <w:jc w:val="center"/>
                    <w:rPr>
                      <w:rFonts w:hint="default" w:ascii="Times New Roman" w:hAnsi="Times New Roman" w:eastAsia="宋体" w:cs="Times New Roman"/>
                      <w:b/>
                      <w:bCs/>
                      <w:i w:val="0"/>
                      <w:iCs w:val="0"/>
                      <w:color w:val="auto"/>
                      <w:sz w:val="21"/>
                      <w:szCs w:val="21"/>
                      <w:u w:val="none"/>
                    </w:rPr>
                  </w:pPr>
                </w:p>
              </w:tc>
              <w:tc>
                <w:tcPr>
                  <w:tcW w:w="428" w:type="pct"/>
                  <w:vMerge w:val="continue"/>
                  <w:shd w:val="clear" w:color="auto" w:fill="auto"/>
                  <w:vAlign w:val="center"/>
                </w:tcPr>
                <w:p w14:paraId="6CB5A04A">
                  <w:pPr>
                    <w:jc w:val="center"/>
                    <w:rPr>
                      <w:rFonts w:hint="default" w:ascii="Times New Roman" w:hAnsi="Times New Roman" w:eastAsia="宋体" w:cs="Times New Roman"/>
                      <w:b/>
                      <w:bCs/>
                      <w:i w:val="0"/>
                      <w:iCs w:val="0"/>
                      <w:color w:val="auto"/>
                      <w:sz w:val="21"/>
                      <w:szCs w:val="21"/>
                      <w:u w:val="none"/>
                    </w:rPr>
                  </w:pPr>
                </w:p>
              </w:tc>
              <w:tc>
                <w:tcPr>
                  <w:tcW w:w="324" w:type="pct"/>
                  <w:vMerge w:val="continue"/>
                  <w:shd w:val="clear" w:color="auto" w:fill="auto"/>
                  <w:vAlign w:val="center"/>
                </w:tcPr>
                <w:p w14:paraId="32EFA5A7">
                  <w:pPr>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4097B3E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标准名称</w:t>
                  </w:r>
                </w:p>
              </w:tc>
              <w:tc>
                <w:tcPr>
                  <w:tcW w:w="1103" w:type="pct"/>
                  <w:gridSpan w:val="2"/>
                  <w:shd w:val="clear" w:color="auto" w:fill="auto"/>
                  <w:vAlign w:val="center"/>
                </w:tcPr>
                <w:p w14:paraId="6D59488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浓度限值</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Style w:val="165"/>
                      <w:rFonts w:eastAsia="宋体"/>
                      <w:color w:val="auto"/>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495" w:type="pct"/>
                  <w:vMerge w:val="continue"/>
                  <w:shd w:val="clear" w:color="auto" w:fill="auto"/>
                  <w:vAlign w:val="center"/>
                </w:tcPr>
                <w:p w14:paraId="4CAA3F8D">
                  <w:pPr>
                    <w:jc w:val="center"/>
                    <w:rPr>
                      <w:rFonts w:hint="default" w:ascii="Times New Roman" w:hAnsi="Times New Roman" w:eastAsia="宋体" w:cs="Times New Roman"/>
                      <w:b/>
                      <w:bCs/>
                      <w:i w:val="0"/>
                      <w:iCs w:val="0"/>
                      <w:color w:val="auto"/>
                      <w:sz w:val="21"/>
                      <w:szCs w:val="21"/>
                      <w:u w:val="none"/>
                    </w:rPr>
                  </w:pPr>
                </w:p>
              </w:tc>
            </w:tr>
            <w:tr w14:paraId="477A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9" w:hRule="atLeast"/>
              </w:trPr>
              <w:tc>
                <w:tcPr>
                  <w:tcW w:w="335" w:type="pct"/>
                  <w:vMerge w:val="restart"/>
                  <w:shd w:val="clear" w:color="auto" w:fill="auto"/>
                  <w:vAlign w:val="center"/>
                </w:tcPr>
                <w:p w14:paraId="62ACAE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w:t>
                  </w:r>
                </w:p>
              </w:tc>
              <w:tc>
                <w:tcPr>
                  <w:tcW w:w="289" w:type="pct"/>
                  <w:vMerge w:val="restart"/>
                  <w:shd w:val="clear" w:color="auto" w:fill="auto"/>
                  <w:vAlign w:val="center"/>
                </w:tcPr>
                <w:p w14:paraId="4657FFE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6"/>
                      <w:rFonts w:hint="eastAsia"/>
                      <w:color w:val="auto"/>
                      <w:lang w:val="en-US" w:eastAsia="zh-CN" w:bidi="ar"/>
                    </w:rPr>
                    <w:t>/</w:t>
                  </w:r>
                </w:p>
              </w:tc>
              <w:tc>
                <w:tcPr>
                  <w:tcW w:w="474" w:type="pct"/>
                  <w:vMerge w:val="restart"/>
                  <w:shd w:val="clear" w:color="auto" w:fill="auto"/>
                  <w:vAlign w:val="center"/>
                </w:tcPr>
                <w:p w14:paraId="59F5BD5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Style w:val="167"/>
                      <w:rFonts w:hint="eastAsia"/>
                      <w:color w:val="auto"/>
                      <w:lang w:val="en-US" w:eastAsia="zh-CN" w:bidi="ar"/>
                    </w:rPr>
                    <w:t>生产全程</w:t>
                  </w:r>
                </w:p>
              </w:tc>
              <w:tc>
                <w:tcPr>
                  <w:tcW w:w="428" w:type="pct"/>
                  <w:shd w:val="clear" w:color="auto" w:fill="auto"/>
                  <w:vAlign w:val="center"/>
                </w:tcPr>
                <w:p w14:paraId="64B61BCC">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auto"/>
                      <w:kern w:val="2"/>
                      <w:sz w:val="21"/>
                      <w:szCs w:val="21"/>
                      <w:u w:val="none"/>
                      <w:lang w:val="en-US" w:eastAsia="zh-CN" w:bidi="ar-SA"/>
                    </w:rPr>
                  </w:pPr>
                  <w:r>
                    <w:rPr>
                      <w:color w:val="auto"/>
                      <w:szCs w:val="21"/>
                    </w:rPr>
                    <w:t>颗粒物</w:t>
                  </w:r>
                </w:p>
              </w:tc>
              <w:tc>
                <w:tcPr>
                  <w:tcW w:w="324" w:type="pct"/>
                  <w:vMerge w:val="restart"/>
                  <w:shd w:val="clear" w:color="auto" w:fill="auto"/>
                  <w:vAlign w:val="center"/>
                </w:tcPr>
                <w:p w14:paraId="0BD242C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color w:val="auto"/>
                      <w:sz w:val="21"/>
                      <w:szCs w:val="21"/>
                    </w:rPr>
                    <w:t>加强车间通风换气</w:t>
                  </w:r>
                </w:p>
              </w:tc>
              <w:tc>
                <w:tcPr>
                  <w:tcW w:w="1547" w:type="pct"/>
                  <w:shd w:val="clear" w:color="auto" w:fill="auto"/>
                  <w:vAlign w:val="center"/>
                </w:tcPr>
                <w:p w14:paraId="541D91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广东省《大气污染物排放限值》（DB44/27-2001）第二时段无组织排放浓度限值</w:t>
                  </w:r>
                </w:p>
              </w:tc>
              <w:tc>
                <w:tcPr>
                  <w:tcW w:w="1103" w:type="pct"/>
                  <w:gridSpan w:val="2"/>
                  <w:shd w:val="clear" w:color="auto" w:fill="auto"/>
                  <w:vAlign w:val="center"/>
                </w:tcPr>
                <w:p w14:paraId="393E740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1.0</w:t>
                  </w:r>
                </w:p>
              </w:tc>
              <w:tc>
                <w:tcPr>
                  <w:tcW w:w="495" w:type="pct"/>
                  <w:shd w:val="clear" w:color="auto" w:fill="auto"/>
                  <w:vAlign w:val="center"/>
                </w:tcPr>
                <w:p w14:paraId="2627ADC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232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7014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50" w:hRule="atLeast"/>
              </w:trPr>
              <w:tc>
                <w:tcPr>
                  <w:tcW w:w="335" w:type="pct"/>
                  <w:vMerge w:val="continue"/>
                  <w:shd w:val="clear" w:color="auto" w:fill="auto"/>
                  <w:vAlign w:val="center"/>
                </w:tcPr>
                <w:p w14:paraId="7A0659F6">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00D2F7F0">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2EA4B9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vMerge w:val="restart"/>
                  <w:shd w:val="clear" w:color="auto" w:fill="auto"/>
                  <w:vAlign w:val="center"/>
                </w:tcPr>
                <w:p w14:paraId="5CB177B8">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olor w:val="auto"/>
                      <w:sz w:val="21"/>
                      <w:szCs w:val="21"/>
                      <w:lang w:val="en-US" w:eastAsia="zh-CN" w:bidi="ar"/>
                    </w:rPr>
                    <w:t>VOCs（以</w:t>
                  </w:r>
                  <w:r>
                    <w:rPr>
                      <w:rFonts w:hint="eastAsia"/>
                      <w:color w:val="auto"/>
                      <w:sz w:val="21"/>
                      <w:szCs w:val="21"/>
                      <w:lang w:bidi="ar"/>
                    </w:rPr>
                    <w:t>N</w:t>
                  </w:r>
                  <w:r>
                    <w:rPr>
                      <w:rFonts w:hint="eastAsia"/>
                      <w:color w:val="auto"/>
                      <w:sz w:val="21"/>
                      <w:szCs w:val="21"/>
                      <w:lang w:val="en-US" w:eastAsia="zh-CN" w:bidi="ar"/>
                    </w:rPr>
                    <w:t>M</w:t>
                  </w:r>
                  <w:r>
                    <w:rPr>
                      <w:rFonts w:hint="eastAsia"/>
                      <w:color w:val="auto"/>
                      <w:sz w:val="21"/>
                      <w:szCs w:val="21"/>
                      <w:lang w:bidi="ar"/>
                    </w:rPr>
                    <w:t>HC</w:t>
                  </w:r>
                  <w:r>
                    <w:rPr>
                      <w:rFonts w:hint="eastAsia"/>
                      <w:color w:val="auto"/>
                      <w:sz w:val="21"/>
                      <w:szCs w:val="21"/>
                      <w:lang w:val="en-US" w:eastAsia="zh-CN" w:bidi="ar"/>
                    </w:rPr>
                    <w:t>计）</w:t>
                  </w:r>
                </w:p>
              </w:tc>
              <w:tc>
                <w:tcPr>
                  <w:tcW w:w="324" w:type="pct"/>
                  <w:vMerge w:val="continue"/>
                  <w:shd w:val="clear" w:color="auto" w:fill="auto"/>
                  <w:vAlign w:val="center"/>
                </w:tcPr>
                <w:p w14:paraId="2A1DFA1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restart"/>
                  <w:shd w:val="clear" w:color="auto" w:fill="auto"/>
                  <w:vAlign w:val="center"/>
                </w:tcPr>
                <w:p w14:paraId="30FE725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广东省《固定污染源挥发性有机物综合排放标准》（DB44/2367-2022）表3厂区内VOCs 无组织排放限值要求</w:t>
                  </w:r>
                </w:p>
              </w:tc>
              <w:tc>
                <w:tcPr>
                  <w:tcW w:w="711" w:type="pct"/>
                  <w:shd w:val="clear" w:color="auto" w:fill="auto"/>
                  <w:vAlign w:val="center"/>
                </w:tcPr>
                <w:p w14:paraId="4992ADC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监控点处1小时平均浓度值</w:t>
                  </w:r>
                </w:p>
              </w:tc>
              <w:tc>
                <w:tcPr>
                  <w:tcW w:w="391" w:type="pct"/>
                  <w:shd w:val="clear" w:color="auto" w:fill="auto"/>
                  <w:vAlign w:val="center"/>
                </w:tcPr>
                <w:p w14:paraId="2C798A2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6</w:t>
                  </w:r>
                </w:p>
              </w:tc>
              <w:tc>
                <w:tcPr>
                  <w:tcW w:w="495" w:type="pct"/>
                  <w:vMerge w:val="restart"/>
                  <w:shd w:val="clear" w:color="auto" w:fill="auto"/>
                  <w:vAlign w:val="center"/>
                </w:tcPr>
                <w:p w14:paraId="02EA295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5BB7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9" w:hRule="atLeast"/>
              </w:trPr>
              <w:tc>
                <w:tcPr>
                  <w:tcW w:w="335" w:type="pct"/>
                  <w:vMerge w:val="continue"/>
                  <w:shd w:val="clear" w:color="auto" w:fill="auto"/>
                  <w:vAlign w:val="center"/>
                </w:tcPr>
                <w:p w14:paraId="6B7FCED0">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90CAE9B">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65743D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28" w:type="pct"/>
                  <w:vMerge w:val="continue"/>
                  <w:shd w:val="clear" w:color="auto" w:fill="auto"/>
                  <w:vAlign w:val="center"/>
                </w:tcPr>
                <w:p w14:paraId="5681D7CB">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24" w:type="pct"/>
                  <w:vMerge w:val="continue"/>
                  <w:shd w:val="clear" w:color="auto" w:fill="auto"/>
                  <w:vAlign w:val="center"/>
                </w:tcPr>
                <w:p w14:paraId="6F90A84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continue"/>
                  <w:shd w:val="clear" w:color="auto" w:fill="auto"/>
                  <w:vAlign w:val="center"/>
                </w:tcPr>
                <w:p w14:paraId="79AB7A3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711" w:type="pct"/>
                  <w:shd w:val="clear" w:color="auto" w:fill="auto"/>
                  <w:vAlign w:val="center"/>
                </w:tcPr>
                <w:p w14:paraId="1616E103">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监控点处任意一次浓度值</w:t>
                  </w:r>
                </w:p>
              </w:tc>
              <w:tc>
                <w:tcPr>
                  <w:tcW w:w="391" w:type="pct"/>
                  <w:shd w:val="clear" w:color="auto" w:fill="auto"/>
                  <w:vAlign w:val="center"/>
                </w:tcPr>
                <w:p w14:paraId="75E6BACC">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20</w:t>
                  </w:r>
                </w:p>
              </w:tc>
              <w:tc>
                <w:tcPr>
                  <w:tcW w:w="495" w:type="pct"/>
                  <w:vMerge w:val="continue"/>
                  <w:shd w:val="clear" w:color="auto" w:fill="auto"/>
                  <w:vAlign w:val="center"/>
                </w:tcPr>
                <w:p w14:paraId="106FC5A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p>
              </w:tc>
            </w:tr>
            <w:tr w14:paraId="2539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1" w:hRule="atLeast"/>
              </w:trPr>
              <w:tc>
                <w:tcPr>
                  <w:tcW w:w="335" w:type="pct"/>
                  <w:vMerge w:val="continue"/>
                  <w:shd w:val="clear" w:color="auto" w:fill="auto"/>
                  <w:vAlign w:val="center"/>
                </w:tcPr>
                <w:p w14:paraId="1384BA7E">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B4BACDA">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5B1A59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1480AEB2">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苯系物</w:t>
                  </w:r>
                </w:p>
              </w:tc>
              <w:tc>
                <w:tcPr>
                  <w:tcW w:w="324" w:type="pct"/>
                  <w:vMerge w:val="continue"/>
                  <w:shd w:val="clear" w:color="auto" w:fill="auto"/>
                  <w:vAlign w:val="center"/>
                </w:tcPr>
                <w:p w14:paraId="463EA0E8">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2F83B527">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kern w:val="2"/>
                      <w:sz w:val="21"/>
                      <w:szCs w:val="21"/>
                      <w:u w:val="none"/>
                      <w:lang w:val="en-US" w:eastAsia="zh-CN" w:bidi="ar-SA"/>
                    </w:rPr>
                  </w:pPr>
                  <w:r>
                    <w:rPr>
                      <w:color w:val="auto"/>
                      <w:sz w:val="21"/>
                      <w:szCs w:val="21"/>
                    </w:rPr>
                    <w:t>广东省《大气污染物排放限值》（DB44/27-2001）第二时段无组织排放浓度限值</w:t>
                  </w:r>
                </w:p>
              </w:tc>
              <w:tc>
                <w:tcPr>
                  <w:tcW w:w="1103" w:type="pct"/>
                  <w:gridSpan w:val="2"/>
                  <w:shd w:val="clear" w:color="auto" w:fill="auto"/>
                  <w:vAlign w:val="center"/>
                </w:tcPr>
                <w:p w14:paraId="4CDE179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rFonts w:hint="eastAsia"/>
                      <w:color w:val="auto"/>
                      <w:sz w:val="21"/>
                      <w:szCs w:val="21"/>
                      <w:lang w:val="en-US" w:eastAsia="zh-CN"/>
                    </w:rPr>
                    <w:t>1.2</w:t>
                  </w:r>
                </w:p>
              </w:tc>
              <w:tc>
                <w:tcPr>
                  <w:tcW w:w="495" w:type="pct"/>
                  <w:shd w:val="clear" w:color="auto" w:fill="auto"/>
                  <w:vAlign w:val="center"/>
                </w:tcPr>
                <w:p w14:paraId="793ECC8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0.17</w:t>
                  </w: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7E9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1" w:hRule="atLeast"/>
              </w:trPr>
              <w:tc>
                <w:tcPr>
                  <w:tcW w:w="335" w:type="pct"/>
                  <w:vMerge w:val="continue"/>
                  <w:shd w:val="clear" w:color="auto" w:fill="auto"/>
                  <w:vAlign w:val="center"/>
                </w:tcPr>
                <w:p w14:paraId="78884526">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21977259">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3F0658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7E01D7D4">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SO</w:t>
                  </w:r>
                  <w:r>
                    <w:rPr>
                      <w:color w:val="auto"/>
                      <w:sz w:val="21"/>
                      <w:szCs w:val="21"/>
                      <w:vertAlign w:val="subscript"/>
                      <w:lang w:bidi="ar"/>
                    </w:rPr>
                    <w:t>2</w:t>
                  </w:r>
                </w:p>
              </w:tc>
              <w:tc>
                <w:tcPr>
                  <w:tcW w:w="324" w:type="pct"/>
                  <w:vMerge w:val="continue"/>
                  <w:shd w:val="clear" w:color="auto" w:fill="auto"/>
                  <w:vAlign w:val="center"/>
                </w:tcPr>
                <w:p w14:paraId="702176DB">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restart"/>
                  <w:shd w:val="clear" w:color="auto" w:fill="auto"/>
                  <w:vAlign w:val="center"/>
                </w:tcPr>
                <w:p w14:paraId="311BF74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lang w:bidi="ar"/>
                    </w:rPr>
                    <w:t>根据《关于印发&lt;工业炉窑大气污染综合治理方案&gt;的通知》（环大气〔2019〕56号）和《关于贯彻落实&lt;工业炉窑大气污染物综合治理方案&gt;的实施意见》（粤环函〔2019〕1112号），废气按照二氧化硫、氮氧化物排放限值分别不高于200、300毫克/立方米控制</w:t>
                  </w:r>
                </w:p>
              </w:tc>
              <w:tc>
                <w:tcPr>
                  <w:tcW w:w="1103" w:type="pct"/>
                  <w:gridSpan w:val="2"/>
                  <w:shd w:val="clear" w:color="auto" w:fill="auto"/>
                  <w:vAlign w:val="center"/>
                </w:tcPr>
                <w:p w14:paraId="60FE409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w:t>
                  </w:r>
                </w:p>
              </w:tc>
              <w:tc>
                <w:tcPr>
                  <w:tcW w:w="495" w:type="pct"/>
                  <w:shd w:val="clear" w:color="auto" w:fill="auto"/>
                  <w:vAlign w:val="center"/>
                </w:tcPr>
                <w:p w14:paraId="35367B9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684A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91" w:hRule="atLeast"/>
              </w:trPr>
              <w:tc>
                <w:tcPr>
                  <w:tcW w:w="335" w:type="pct"/>
                  <w:vMerge w:val="continue"/>
                  <w:shd w:val="clear" w:color="auto" w:fill="auto"/>
                  <w:vAlign w:val="center"/>
                </w:tcPr>
                <w:p w14:paraId="23E128D4">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16C2267F">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CB3BA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3E34C7CA">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NO</w:t>
                  </w:r>
                  <w:r>
                    <w:rPr>
                      <w:color w:val="auto"/>
                      <w:sz w:val="21"/>
                      <w:szCs w:val="21"/>
                      <w:vertAlign w:val="subscript"/>
                      <w:lang w:bidi="ar"/>
                    </w:rPr>
                    <w:t>2</w:t>
                  </w:r>
                </w:p>
              </w:tc>
              <w:tc>
                <w:tcPr>
                  <w:tcW w:w="324" w:type="pct"/>
                  <w:vMerge w:val="continue"/>
                  <w:shd w:val="clear" w:color="auto" w:fill="auto"/>
                  <w:vAlign w:val="center"/>
                </w:tcPr>
                <w:p w14:paraId="241C25D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continue"/>
                  <w:shd w:val="clear" w:color="auto" w:fill="auto"/>
                  <w:vAlign w:val="center"/>
                </w:tcPr>
                <w:p w14:paraId="7324408F">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103" w:type="pct"/>
                  <w:gridSpan w:val="2"/>
                  <w:shd w:val="clear" w:color="auto" w:fill="auto"/>
                  <w:vAlign w:val="center"/>
                </w:tcPr>
                <w:p w14:paraId="1088DB6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w:t>
                  </w:r>
                </w:p>
              </w:tc>
              <w:tc>
                <w:tcPr>
                  <w:tcW w:w="495" w:type="pct"/>
                  <w:shd w:val="clear" w:color="auto" w:fill="auto"/>
                  <w:vAlign w:val="center"/>
                </w:tcPr>
                <w:p w14:paraId="2BFD19E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0</w:t>
                  </w:r>
                </w:p>
              </w:tc>
            </w:tr>
            <w:tr w14:paraId="1757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335" w:type="pct"/>
                  <w:vMerge w:val="continue"/>
                  <w:shd w:val="clear" w:color="auto" w:fill="auto"/>
                  <w:vAlign w:val="center"/>
                </w:tcPr>
                <w:p w14:paraId="192D9D40">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78D13D7">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76D24E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1FDF4D91">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color w:val="auto"/>
                      <w:sz w:val="21"/>
                      <w:szCs w:val="21"/>
                      <w:lang w:bidi="ar"/>
                    </w:rPr>
                  </w:pPr>
                  <w:r>
                    <w:rPr>
                      <w:color w:val="auto"/>
                      <w:szCs w:val="21"/>
                    </w:rPr>
                    <w:t>臭气浓度</w:t>
                  </w:r>
                </w:p>
              </w:tc>
              <w:tc>
                <w:tcPr>
                  <w:tcW w:w="324" w:type="pct"/>
                  <w:vMerge w:val="continue"/>
                  <w:shd w:val="clear" w:color="auto" w:fill="auto"/>
                  <w:vAlign w:val="center"/>
                </w:tcPr>
                <w:p w14:paraId="45055C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35A935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《恶臭污染物排放标准》（</w:t>
                  </w:r>
                  <w:r>
                    <w:rPr>
                      <w:rFonts w:hint="eastAsia"/>
                      <w:color w:val="auto"/>
                      <w:sz w:val="21"/>
                      <w:szCs w:val="21"/>
                      <w:lang w:eastAsia="zh-CN"/>
                    </w:rPr>
                    <w:t>GB 14554-1993</w:t>
                  </w:r>
                  <w:r>
                    <w:rPr>
                      <w:color w:val="auto"/>
                      <w:sz w:val="21"/>
                      <w:szCs w:val="21"/>
                    </w:rPr>
                    <w:t>）表1新扩改建厂界二级标准限值</w:t>
                  </w:r>
                </w:p>
              </w:tc>
              <w:tc>
                <w:tcPr>
                  <w:tcW w:w="1103" w:type="pct"/>
                  <w:gridSpan w:val="2"/>
                  <w:shd w:val="clear" w:color="auto" w:fill="auto"/>
                  <w:vAlign w:val="center"/>
                </w:tcPr>
                <w:p w14:paraId="4D04BBFF">
                  <w:pPr>
                    <w:keepNext w:val="0"/>
                    <w:keepLines w:val="0"/>
                    <w:pageBreakBefore w:val="0"/>
                    <w:widowControl/>
                    <w:kinsoku/>
                    <w:wordWrap w:val="0"/>
                    <w:overflowPunct/>
                    <w:topLinePunct/>
                    <w:autoSpaceDE/>
                    <w:autoSpaceDN/>
                    <w:bidi w:val="0"/>
                    <w:adjustRightInd/>
                    <w:snapToGrid/>
                    <w:spacing w:beforeAutospacing="0" w:afterAutospacing="0"/>
                    <w:jc w:val="center"/>
                    <w:rPr>
                      <w:color w:val="auto"/>
                      <w:sz w:val="21"/>
                      <w:szCs w:val="21"/>
                    </w:rPr>
                  </w:pPr>
                  <w:r>
                    <w:rPr>
                      <w:color w:val="auto"/>
                      <w:sz w:val="21"/>
                      <w:szCs w:val="21"/>
                    </w:rPr>
                    <w:t>厂界：20</w:t>
                  </w:r>
                </w:p>
                <w:p w14:paraId="308CBB4F">
                  <w:pPr>
                    <w:keepNext w:val="0"/>
                    <w:keepLines w:val="0"/>
                    <w:pageBreakBefore w:val="0"/>
                    <w:widowControl/>
                    <w:kinsoku/>
                    <w:wordWrap w:val="0"/>
                    <w:overflowPunct/>
                    <w:topLinePunct/>
                    <w:autoSpaceDE/>
                    <w:autoSpaceDN/>
                    <w:bidi w:val="0"/>
                    <w:adjustRightInd/>
                    <w:snapToGrid/>
                    <w:spacing w:beforeAutospacing="0" w:afterAutospacing="0"/>
                    <w:jc w:val="center"/>
                    <w:rPr>
                      <w:color w:val="auto"/>
                      <w:sz w:val="21"/>
                      <w:szCs w:val="21"/>
                    </w:rPr>
                  </w:pPr>
                  <w:r>
                    <w:rPr>
                      <w:color w:val="auto"/>
                      <w:sz w:val="21"/>
                      <w:szCs w:val="21"/>
                    </w:rPr>
                    <w:t>（无量纲）</w:t>
                  </w:r>
                </w:p>
              </w:tc>
              <w:tc>
                <w:tcPr>
                  <w:tcW w:w="495" w:type="pct"/>
                  <w:shd w:val="clear" w:color="auto" w:fill="auto"/>
                  <w:vAlign w:val="center"/>
                </w:tcPr>
                <w:p w14:paraId="299923E2">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cs="宋体"/>
                      <w:b w:val="0"/>
                      <w:bCs w:val="0"/>
                      <w:i w:val="0"/>
                      <w:iCs w:val="0"/>
                      <w:color w:val="auto"/>
                      <w:kern w:val="0"/>
                      <w:sz w:val="21"/>
                      <w:szCs w:val="21"/>
                      <w:u w:val="none"/>
                      <w:lang w:val="en-US" w:eastAsia="zh-CN" w:bidi="ar"/>
                    </w:rPr>
                    <w:t>少量</w:t>
                  </w:r>
                </w:p>
              </w:tc>
            </w:tr>
            <w:tr w14:paraId="70BA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335" w:type="pct"/>
                  <w:vMerge w:val="continue"/>
                  <w:shd w:val="clear" w:color="auto" w:fill="auto"/>
                  <w:vAlign w:val="center"/>
                </w:tcPr>
                <w:p w14:paraId="05B042AD">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0F6A69AE">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2E058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7424A51B">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油烟</w:t>
                  </w:r>
                </w:p>
              </w:tc>
              <w:tc>
                <w:tcPr>
                  <w:tcW w:w="324" w:type="pct"/>
                  <w:vMerge w:val="continue"/>
                  <w:shd w:val="clear" w:color="auto" w:fill="auto"/>
                  <w:vAlign w:val="center"/>
                </w:tcPr>
                <w:p w14:paraId="05C1AC7B">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7DD139BF">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1103" w:type="pct"/>
                  <w:gridSpan w:val="2"/>
                  <w:shd w:val="clear" w:color="auto" w:fill="auto"/>
                  <w:vAlign w:val="center"/>
                </w:tcPr>
                <w:p w14:paraId="4F8F0522">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495" w:type="pct"/>
                  <w:shd w:val="clear" w:color="auto" w:fill="auto"/>
                  <w:vAlign w:val="center"/>
                </w:tcPr>
                <w:p w14:paraId="2F9491D5">
                  <w:pPr>
                    <w:keepNext w:val="0"/>
                    <w:keepLines w:val="0"/>
                    <w:widowControl/>
                    <w:suppressLineNumbers w:val="0"/>
                    <w:jc w:val="center"/>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0.013</w:t>
                  </w:r>
                </w:p>
              </w:tc>
            </w:tr>
            <w:tr w14:paraId="6F3D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335" w:type="pct"/>
                  <w:vMerge w:val="continue"/>
                  <w:shd w:val="clear" w:color="auto" w:fill="auto"/>
                  <w:vAlign w:val="center"/>
                </w:tcPr>
                <w:p w14:paraId="52CDDF6B">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2F599748">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1635683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p>
              </w:tc>
              <w:tc>
                <w:tcPr>
                  <w:tcW w:w="428" w:type="pct"/>
                  <w:shd w:val="clear" w:color="auto" w:fill="auto"/>
                  <w:vAlign w:val="center"/>
                </w:tcPr>
                <w:p w14:paraId="68B413F1">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氟化物</w:t>
                  </w:r>
                </w:p>
              </w:tc>
              <w:tc>
                <w:tcPr>
                  <w:tcW w:w="324" w:type="pct"/>
                  <w:vMerge w:val="continue"/>
                  <w:shd w:val="clear" w:color="auto" w:fill="auto"/>
                  <w:vAlign w:val="center"/>
                </w:tcPr>
                <w:p w14:paraId="4DD36A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3D371945">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color w:val="auto"/>
                      <w:sz w:val="21"/>
                      <w:szCs w:val="21"/>
                    </w:rPr>
                    <w:t>广东省《大气污染物排放限值》（DB44/27-2001）第二时段无组织排放浓度限值</w:t>
                  </w:r>
                </w:p>
              </w:tc>
              <w:tc>
                <w:tcPr>
                  <w:tcW w:w="1103" w:type="pct"/>
                  <w:gridSpan w:val="2"/>
                  <w:shd w:val="clear" w:color="auto" w:fill="auto"/>
                  <w:vAlign w:val="center"/>
                </w:tcPr>
                <w:p w14:paraId="57EE103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0.02</w:t>
                  </w:r>
                </w:p>
              </w:tc>
              <w:tc>
                <w:tcPr>
                  <w:tcW w:w="495" w:type="pct"/>
                  <w:shd w:val="clear" w:color="auto" w:fill="auto"/>
                  <w:vAlign w:val="center"/>
                </w:tcPr>
                <w:p w14:paraId="35E6C36E">
                  <w:pPr>
                    <w:jc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0.001</w:t>
                  </w:r>
                </w:p>
              </w:tc>
            </w:tr>
            <w:tr w14:paraId="7099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1" w:hRule="atLeast"/>
              </w:trPr>
              <w:tc>
                <w:tcPr>
                  <w:tcW w:w="5000" w:type="pct"/>
                  <w:gridSpan w:val="9"/>
                  <w:shd w:val="clear" w:color="auto" w:fill="auto"/>
                  <w:vAlign w:val="center"/>
                </w:tcPr>
                <w:p w14:paraId="748F4994">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全厂无组织排放总计</w:t>
                  </w:r>
                </w:p>
              </w:tc>
            </w:tr>
            <w:tr w14:paraId="4FCA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1B6A70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全厂无组织排放总计</w:t>
                  </w:r>
                  <w:r>
                    <w:rPr>
                      <w:rFonts w:hint="default" w:ascii="Times New Roman" w:hAnsi="Times New Roman" w:eastAsia="宋体" w:cs="Times New Roman"/>
                      <w:i w:val="0"/>
                      <w:iCs w:val="0"/>
                      <w:color w:val="auto"/>
                      <w:kern w:val="0"/>
                      <w:sz w:val="21"/>
                      <w:szCs w:val="21"/>
                      <w:u w:val="none"/>
                      <w:lang w:val="en-US" w:eastAsia="zh-CN" w:bidi="ar"/>
                    </w:rPr>
                    <w:t>t/a</w:t>
                  </w:r>
                </w:p>
              </w:tc>
              <w:tc>
                <w:tcPr>
                  <w:tcW w:w="4169" w:type="pct"/>
                  <w:gridSpan w:val="7"/>
                  <w:shd w:val="clear" w:color="auto" w:fill="auto"/>
                  <w:vAlign w:val="center"/>
                </w:tcPr>
                <w:p w14:paraId="044832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颗粒物</w:t>
                  </w:r>
                </w:p>
              </w:tc>
              <w:tc>
                <w:tcPr>
                  <w:tcW w:w="1273" w:type="dxa"/>
                  <w:shd w:val="clear" w:color="auto" w:fill="auto"/>
                  <w:vAlign w:val="center"/>
                </w:tcPr>
                <w:p w14:paraId="7254C7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232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096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4BB70053">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6A475D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p>
              </w:tc>
              <w:tc>
                <w:tcPr>
                  <w:tcW w:w="1273" w:type="dxa"/>
                  <w:shd w:val="clear" w:color="auto" w:fill="auto"/>
                  <w:vAlign w:val="center"/>
                </w:tcPr>
                <w:p w14:paraId="5009D20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07B1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7992C562">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44290A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苯系物</w:t>
                  </w:r>
                </w:p>
              </w:tc>
              <w:tc>
                <w:tcPr>
                  <w:tcW w:w="1273" w:type="dxa"/>
                  <w:shd w:val="clear" w:color="auto" w:fill="auto"/>
                  <w:vAlign w:val="center"/>
                </w:tcPr>
                <w:p w14:paraId="6F4CFC3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0.17</w:t>
                  </w: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324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2685216">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384D6D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495" w:type="pct"/>
                  <w:shd w:val="clear" w:color="auto" w:fill="auto"/>
                  <w:vAlign w:val="center"/>
                </w:tcPr>
                <w:p w14:paraId="0625177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7394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558E71F5">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5E9A1C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NO</w:t>
                  </w:r>
                  <w:r>
                    <w:rPr>
                      <w:rFonts w:hint="eastAsia" w:ascii="Times New Roman" w:hAnsi="Times New Roman" w:eastAsia="宋体" w:cs="Times New Roman"/>
                      <w:i w:val="0"/>
                      <w:iCs w:val="0"/>
                      <w:color w:val="auto"/>
                      <w:kern w:val="0"/>
                      <w:sz w:val="21"/>
                      <w:szCs w:val="21"/>
                      <w:u w:val="none"/>
                      <w:vertAlign w:val="subscript"/>
                      <w:lang w:val="en-US" w:eastAsia="zh-CN" w:bidi="ar"/>
                    </w:rPr>
                    <w:t>x</w:t>
                  </w:r>
                </w:p>
              </w:tc>
              <w:tc>
                <w:tcPr>
                  <w:tcW w:w="495" w:type="pct"/>
                  <w:shd w:val="clear" w:color="auto" w:fill="auto"/>
                  <w:vAlign w:val="center"/>
                </w:tcPr>
                <w:p w14:paraId="05853BE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12BD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F5914FD">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45C82B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Style w:val="167"/>
                      <w:color w:val="auto"/>
                      <w:lang w:val="en-US" w:eastAsia="zh-CN" w:bidi="ar"/>
                    </w:rPr>
                    <w:t>臭气浓度</w:t>
                  </w:r>
                </w:p>
              </w:tc>
              <w:tc>
                <w:tcPr>
                  <w:tcW w:w="495" w:type="pct"/>
                  <w:shd w:val="clear" w:color="auto" w:fill="auto"/>
                  <w:vAlign w:val="center"/>
                </w:tcPr>
                <w:p w14:paraId="67D8AD8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少量</w:t>
                  </w:r>
                </w:p>
              </w:tc>
            </w:tr>
            <w:tr w14:paraId="3720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2389BD5">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2C8AE661">
                  <w:pPr>
                    <w:keepNext w:val="0"/>
                    <w:keepLines w:val="0"/>
                    <w:widowControl/>
                    <w:suppressLineNumbers w:val="0"/>
                    <w:jc w:val="center"/>
                    <w:textAlignment w:val="center"/>
                    <w:rPr>
                      <w:rStyle w:val="167"/>
                      <w:rFonts w:hint="default"/>
                      <w:color w:val="auto"/>
                      <w:lang w:val="en-US" w:eastAsia="zh-CN" w:bidi="ar"/>
                    </w:rPr>
                  </w:pPr>
                  <w:r>
                    <w:rPr>
                      <w:rStyle w:val="167"/>
                      <w:rFonts w:hint="eastAsia"/>
                      <w:color w:val="auto"/>
                      <w:lang w:val="en-US" w:eastAsia="zh-CN" w:bidi="ar"/>
                    </w:rPr>
                    <w:t>油烟</w:t>
                  </w:r>
                </w:p>
              </w:tc>
              <w:tc>
                <w:tcPr>
                  <w:tcW w:w="495" w:type="pct"/>
                  <w:shd w:val="clear" w:color="auto" w:fill="auto"/>
                  <w:vAlign w:val="center"/>
                </w:tcPr>
                <w:p w14:paraId="7DFBC6F3">
                  <w:pPr>
                    <w:keepNext w:val="0"/>
                    <w:keepLines w:val="0"/>
                    <w:widowControl/>
                    <w:suppressLineNumbers w:val="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0.013</w:t>
                  </w:r>
                </w:p>
              </w:tc>
            </w:tr>
            <w:tr w14:paraId="4B2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2" w:hRule="atLeast"/>
              </w:trPr>
              <w:tc>
                <w:tcPr>
                  <w:tcW w:w="335" w:type="pct"/>
                  <w:vMerge w:val="continue"/>
                  <w:shd w:val="clear" w:color="auto" w:fill="auto"/>
                  <w:vAlign w:val="center"/>
                </w:tcPr>
                <w:p w14:paraId="7B90F481">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317BC968">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氟化物</w:t>
                  </w:r>
                </w:p>
              </w:tc>
              <w:tc>
                <w:tcPr>
                  <w:tcW w:w="495" w:type="pct"/>
                  <w:shd w:val="clear" w:color="auto" w:fill="auto"/>
                  <w:noWrap/>
                  <w:vAlign w:val="center"/>
                </w:tcPr>
                <w:p w14:paraId="57DCFA33">
                  <w:pPr>
                    <w:jc w:val="center"/>
                    <w:rPr>
                      <w:rFonts w:hint="default" w:ascii="Times New Roman" w:hAnsi="Times New Roman" w:eastAsia="宋体" w:cs="Times New Roman"/>
                      <w:i w:val="0"/>
                      <w:iCs w:val="0"/>
                      <w:color w:val="auto"/>
                      <w:sz w:val="24"/>
                      <w:szCs w:val="24"/>
                      <w:u w:val="none"/>
                      <w:lang w:val="en-US"/>
                    </w:rPr>
                  </w:pPr>
                  <w:r>
                    <w:rPr>
                      <w:rFonts w:hint="eastAsia" w:cs="Times New Roman"/>
                      <w:b w:val="0"/>
                      <w:bCs w:val="0"/>
                      <w:i w:val="0"/>
                      <w:iCs w:val="0"/>
                      <w:color w:val="auto"/>
                      <w:sz w:val="21"/>
                      <w:szCs w:val="21"/>
                      <w:u w:val="none"/>
                      <w:lang w:val="en-US" w:eastAsia="zh-CN"/>
                    </w:rPr>
                    <w:t>0.001</w:t>
                  </w:r>
                </w:p>
              </w:tc>
            </w:tr>
          </w:tbl>
          <w:p w14:paraId="7B355F70">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表4-5</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大气污染物年排放核算表</w:t>
            </w:r>
          </w:p>
          <w:tbl>
            <w:tblPr>
              <w:tblStyle w:val="48"/>
              <w:tblW w:w="1283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358"/>
              <w:gridCol w:w="3911"/>
              <w:gridCol w:w="6569"/>
            </w:tblGrid>
            <w:tr w14:paraId="7BFA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3" w:hRule="atLeast"/>
              </w:trPr>
              <w:tc>
                <w:tcPr>
                  <w:tcW w:w="918" w:type="pct"/>
                  <w:shd w:val="clear" w:color="auto" w:fill="auto"/>
                  <w:vAlign w:val="center"/>
                </w:tcPr>
                <w:p w14:paraId="3E6E0C0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523" w:type="pct"/>
                  <w:shd w:val="clear" w:color="auto" w:fill="auto"/>
                  <w:vAlign w:val="center"/>
                </w:tcPr>
                <w:p w14:paraId="2089961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2558" w:type="pct"/>
                  <w:shd w:val="clear" w:color="auto" w:fill="auto"/>
                  <w:vAlign w:val="center"/>
                </w:tcPr>
                <w:p w14:paraId="4531A1F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66C5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918" w:type="pct"/>
                  <w:vMerge w:val="restart"/>
                  <w:shd w:val="clear" w:color="auto" w:fill="auto"/>
                  <w:vAlign w:val="center"/>
                </w:tcPr>
                <w:p w14:paraId="50F761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23" w:type="pct"/>
                  <w:vMerge w:val="restart"/>
                  <w:shd w:val="clear" w:color="auto" w:fill="auto"/>
                  <w:vAlign w:val="center"/>
                </w:tcPr>
                <w:p w14:paraId="66302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569" w:type="dxa"/>
                  <w:vMerge w:val="restart"/>
                  <w:shd w:val="clear" w:color="auto" w:fill="auto"/>
                  <w:vAlign w:val="center"/>
                </w:tcPr>
                <w:p w14:paraId="00CC5AC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2.307 </w:t>
                  </w:r>
                </w:p>
              </w:tc>
            </w:tr>
            <w:tr w14:paraId="05FB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918" w:type="pct"/>
                  <w:vMerge w:val="continue"/>
                  <w:shd w:val="clear" w:color="auto" w:fill="auto"/>
                  <w:vAlign w:val="center"/>
                </w:tcPr>
                <w:p w14:paraId="7247B60F">
                  <w:pPr>
                    <w:jc w:val="center"/>
                    <w:rPr>
                      <w:rFonts w:hint="default" w:ascii="Times New Roman" w:hAnsi="Times New Roman" w:eastAsia="宋体" w:cs="Times New Roman"/>
                      <w:i w:val="0"/>
                      <w:iCs w:val="0"/>
                      <w:color w:val="auto"/>
                      <w:sz w:val="21"/>
                      <w:szCs w:val="21"/>
                      <w:u w:val="none"/>
                    </w:rPr>
                  </w:pPr>
                </w:p>
              </w:tc>
              <w:tc>
                <w:tcPr>
                  <w:tcW w:w="1523" w:type="pct"/>
                  <w:vMerge w:val="continue"/>
                  <w:shd w:val="clear" w:color="auto" w:fill="auto"/>
                  <w:vAlign w:val="center"/>
                </w:tcPr>
                <w:p w14:paraId="55B2559A">
                  <w:pPr>
                    <w:jc w:val="center"/>
                    <w:rPr>
                      <w:rFonts w:hint="eastAsia" w:ascii="宋体" w:hAnsi="宋体" w:eastAsia="宋体" w:cs="宋体"/>
                      <w:i w:val="0"/>
                      <w:iCs w:val="0"/>
                      <w:color w:val="auto"/>
                      <w:sz w:val="21"/>
                      <w:szCs w:val="21"/>
                      <w:u w:val="none"/>
                    </w:rPr>
                  </w:pPr>
                </w:p>
              </w:tc>
              <w:tc>
                <w:tcPr>
                  <w:tcW w:w="2558" w:type="pct"/>
                  <w:vMerge w:val="continue"/>
                  <w:shd w:val="clear" w:color="auto" w:fill="auto"/>
                  <w:vAlign w:val="center"/>
                </w:tcPr>
                <w:p w14:paraId="4EF72B28">
                  <w:pPr>
                    <w:jc w:val="center"/>
                    <w:rPr>
                      <w:rFonts w:hint="default" w:ascii="Times New Roman" w:hAnsi="Times New Roman" w:eastAsia="宋体" w:cs="Times New Roman"/>
                      <w:i w:val="0"/>
                      <w:iCs w:val="0"/>
                      <w:color w:val="auto"/>
                      <w:sz w:val="21"/>
                      <w:szCs w:val="21"/>
                      <w:u w:val="none"/>
                    </w:rPr>
                  </w:pPr>
                </w:p>
              </w:tc>
            </w:tr>
            <w:tr w14:paraId="2D96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7" w:hRule="atLeast"/>
              </w:trPr>
              <w:tc>
                <w:tcPr>
                  <w:tcW w:w="918" w:type="pct"/>
                  <w:shd w:val="clear" w:color="auto" w:fill="auto"/>
                  <w:vAlign w:val="center"/>
                </w:tcPr>
                <w:p w14:paraId="700E66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523" w:type="pct"/>
                  <w:shd w:val="clear" w:color="auto" w:fill="auto"/>
                  <w:vAlign w:val="center"/>
                </w:tcPr>
                <w:p w14:paraId="62CF05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6569" w:type="dxa"/>
                  <w:shd w:val="clear" w:color="auto" w:fill="auto"/>
                  <w:vAlign w:val="center"/>
                </w:tcPr>
                <w:p w14:paraId="58D9FF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r>
            <w:tr w14:paraId="051E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2D20D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523" w:type="pct"/>
                  <w:shd w:val="clear" w:color="auto" w:fill="auto"/>
                  <w:vAlign w:val="center"/>
                </w:tcPr>
                <w:p w14:paraId="5539A1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苯系物</w:t>
                  </w:r>
                </w:p>
              </w:tc>
              <w:tc>
                <w:tcPr>
                  <w:tcW w:w="6569" w:type="dxa"/>
                  <w:shd w:val="clear" w:color="auto" w:fill="auto"/>
                  <w:vAlign w:val="center"/>
                </w:tcPr>
                <w:p w14:paraId="186F7B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0.487 </w:t>
                  </w:r>
                </w:p>
              </w:tc>
            </w:tr>
            <w:tr w14:paraId="7743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7" w:hRule="atLeast"/>
              </w:trPr>
              <w:tc>
                <w:tcPr>
                  <w:tcW w:w="918" w:type="pct"/>
                  <w:shd w:val="clear" w:color="auto" w:fill="auto"/>
                  <w:vAlign w:val="center"/>
                </w:tcPr>
                <w:p w14:paraId="6C70C4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523" w:type="pct"/>
                  <w:shd w:val="clear" w:color="auto" w:fill="auto"/>
                  <w:vAlign w:val="center"/>
                </w:tcPr>
                <w:p w14:paraId="7FCA37C7">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6569" w:type="dxa"/>
                  <w:shd w:val="clear" w:color="auto" w:fill="auto"/>
                  <w:vAlign w:val="center"/>
                </w:tcPr>
                <w:p w14:paraId="47B21F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00FE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BD3C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523" w:type="pct"/>
                  <w:shd w:val="clear" w:color="auto" w:fill="auto"/>
                  <w:vAlign w:val="center"/>
                </w:tcPr>
                <w:p w14:paraId="5D5D4A1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NO</w:t>
                  </w:r>
                  <w:r>
                    <w:rPr>
                      <w:rFonts w:hint="eastAsia" w:cs="Times New Roman"/>
                      <w:i w:val="0"/>
                      <w:iCs w:val="0"/>
                      <w:color w:val="auto"/>
                      <w:kern w:val="0"/>
                      <w:sz w:val="21"/>
                      <w:szCs w:val="21"/>
                      <w:u w:val="none"/>
                      <w:lang w:val="en-US" w:eastAsia="zh-CN" w:bidi="ar"/>
                    </w:rPr>
                    <w:t>x</w:t>
                  </w:r>
                </w:p>
              </w:tc>
              <w:tc>
                <w:tcPr>
                  <w:tcW w:w="6569" w:type="dxa"/>
                  <w:shd w:val="clear" w:color="auto" w:fill="auto"/>
                  <w:vAlign w:val="center"/>
                </w:tcPr>
                <w:p w14:paraId="7553D4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r>
            <w:tr w14:paraId="2E38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9A21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523" w:type="pct"/>
                  <w:shd w:val="clear" w:color="auto" w:fill="auto"/>
                  <w:vAlign w:val="center"/>
                </w:tcPr>
                <w:p w14:paraId="308A72B8">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油烟</w:t>
                  </w:r>
                </w:p>
              </w:tc>
              <w:tc>
                <w:tcPr>
                  <w:tcW w:w="6569" w:type="dxa"/>
                  <w:shd w:val="clear" w:color="auto" w:fill="auto"/>
                  <w:vAlign w:val="center"/>
                </w:tcPr>
                <w:p w14:paraId="5DA792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23B3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2" w:hRule="atLeast"/>
              </w:trPr>
              <w:tc>
                <w:tcPr>
                  <w:tcW w:w="918" w:type="pct"/>
                  <w:shd w:val="clear" w:color="auto" w:fill="auto"/>
                  <w:vAlign w:val="center"/>
                </w:tcPr>
                <w:p w14:paraId="192E51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523" w:type="pct"/>
                  <w:shd w:val="clear" w:color="auto" w:fill="auto"/>
                  <w:vAlign w:val="center"/>
                </w:tcPr>
                <w:p w14:paraId="780C4313">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臭气浓度</w:t>
                  </w:r>
                </w:p>
              </w:tc>
              <w:tc>
                <w:tcPr>
                  <w:tcW w:w="2558" w:type="pct"/>
                  <w:shd w:val="clear" w:color="auto" w:fill="auto"/>
                  <w:vAlign w:val="center"/>
                </w:tcPr>
                <w:p w14:paraId="1AA0BD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537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2" w:hRule="atLeast"/>
              </w:trPr>
              <w:tc>
                <w:tcPr>
                  <w:tcW w:w="918" w:type="pct"/>
                  <w:shd w:val="clear" w:color="auto" w:fill="auto"/>
                  <w:vAlign w:val="center"/>
                </w:tcPr>
                <w:p w14:paraId="484B04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w:t>
                  </w:r>
                </w:p>
              </w:tc>
              <w:tc>
                <w:tcPr>
                  <w:tcW w:w="1523" w:type="pct"/>
                  <w:shd w:val="clear" w:color="auto" w:fill="auto"/>
                  <w:vAlign w:val="center"/>
                </w:tcPr>
                <w:p w14:paraId="1448F3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氟化物</w:t>
                  </w:r>
                </w:p>
              </w:tc>
              <w:tc>
                <w:tcPr>
                  <w:tcW w:w="2558" w:type="pct"/>
                  <w:shd w:val="clear" w:color="auto" w:fill="auto"/>
                  <w:vAlign w:val="center"/>
                </w:tcPr>
                <w:p w14:paraId="29B3C7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r>
          </w:tbl>
          <w:p w14:paraId="19001D5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表4-6</w:t>
            </w:r>
            <w:r>
              <w:rPr>
                <w:rFonts w:hint="eastAsia" w:ascii="Times New Roman" w:eastAsia="宋体" w:cs="Times New Roman"/>
                <w:b/>
                <w:bCs/>
                <w:color w:val="auto"/>
                <w:kern w:val="2"/>
                <w:sz w:val="21"/>
                <w:szCs w:val="21"/>
                <w:lang w:val="en-US" w:eastAsia="zh-CN" w:bidi="ar-SA"/>
              </w:rPr>
              <w:t xml:space="preserve"> </w:t>
            </w:r>
            <w:r>
              <w:rPr>
                <w:rFonts w:ascii="Times New Roman" w:hAnsi="Times New Roman" w:eastAsia="宋体" w:cs="Times New Roman"/>
                <w:b/>
                <w:bCs/>
                <w:color w:val="auto"/>
                <w:sz w:val="21"/>
                <w:szCs w:val="21"/>
                <w:highlight w:val="none"/>
                <w:lang w:eastAsia="zh-CN"/>
              </w:rPr>
              <w:t>本项目</w:t>
            </w:r>
            <w:r>
              <w:rPr>
                <w:rFonts w:hint="eastAsia" w:ascii="Times New Roman" w:hAnsi="Times New Roman" w:eastAsia="宋体" w:cs="Times New Roman"/>
                <w:b/>
                <w:bCs/>
                <w:color w:val="auto"/>
                <w:sz w:val="21"/>
                <w:szCs w:val="21"/>
                <w:highlight w:val="none"/>
                <w:lang w:val="en-US" w:eastAsia="zh-CN"/>
              </w:rPr>
              <w:t>废气排放口</w:t>
            </w:r>
            <w:r>
              <w:rPr>
                <w:rFonts w:hint="default" w:ascii="Times New Roman" w:hAnsi="Times New Roman" w:cs="Times New Roman"/>
                <w:b/>
                <w:color w:val="auto"/>
                <w:sz w:val="21"/>
                <w:szCs w:val="21"/>
                <w:highlight w:val="none"/>
              </w:rPr>
              <w:t>基本情况信息</w:t>
            </w:r>
            <w:r>
              <w:rPr>
                <w:rFonts w:ascii="Times New Roman" w:hAnsi="Times New Roman" w:eastAsia="宋体" w:cs="Times New Roman"/>
                <w:b/>
                <w:bCs/>
                <w:color w:val="auto"/>
                <w:sz w:val="21"/>
                <w:szCs w:val="21"/>
                <w:highlight w:val="none"/>
                <w:lang w:eastAsia="zh-CN"/>
              </w:rPr>
              <w:t>一览表</w:t>
            </w:r>
          </w:p>
          <w:tbl>
            <w:tblPr>
              <w:tblStyle w:val="132"/>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7"/>
              <w:gridCol w:w="2075"/>
              <w:gridCol w:w="1786"/>
              <w:gridCol w:w="1788"/>
              <w:gridCol w:w="1188"/>
              <w:gridCol w:w="721"/>
              <w:gridCol w:w="993"/>
              <w:gridCol w:w="883"/>
              <w:gridCol w:w="929"/>
              <w:gridCol w:w="711"/>
              <w:gridCol w:w="867"/>
            </w:tblGrid>
            <w:tr w14:paraId="24D13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restart"/>
                  <w:tcBorders>
                    <w:tl2br w:val="nil"/>
                    <w:tr2bl w:val="nil"/>
                  </w:tcBorders>
                  <w:noWrap w:val="0"/>
                  <w:vAlign w:val="center"/>
                </w:tcPr>
                <w:p w14:paraId="5E9F0A1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排污口编号</w:t>
                  </w:r>
                </w:p>
              </w:tc>
              <w:tc>
                <w:tcPr>
                  <w:tcW w:w="809" w:type="pct"/>
                  <w:vMerge w:val="restart"/>
                  <w:tcBorders>
                    <w:tl2br w:val="nil"/>
                    <w:tr2bl w:val="nil"/>
                  </w:tcBorders>
                  <w:noWrap w:val="0"/>
                  <w:vAlign w:val="center"/>
                </w:tcPr>
                <w:p w14:paraId="62383B4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排污口名称</w:t>
                  </w:r>
                </w:p>
              </w:tc>
              <w:tc>
                <w:tcPr>
                  <w:tcW w:w="1393" w:type="pct"/>
                  <w:gridSpan w:val="2"/>
                  <w:tcBorders>
                    <w:tl2br w:val="nil"/>
                    <w:tr2bl w:val="nil"/>
                  </w:tcBorders>
                  <w:noWrap w:val="0"/>
                  <w:vAlign w:val="center"/>
                </w:tcPr>
                <w:p w14:paraId="08FA901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排放口地理坐标（</w:t>
                  </w:r>
                  <w:r>
                    <w:rPr>
                      <w:rFonts w:hint="default" w:ascii="Times New Roman" w:hAnsi="Times New Roman" w:eastAsia="宋体" w:cs="Times New Roman"/>
                      <w:b/>
                      <w:bCs/>
                      <w:snapToGrid/>
                      <w:color w:val="auto"/>
                      <w:kern w:val="0"/>
                      <w:sz w:val="21"/>
                      <w:szCs w:val="21"/>
                      <w:highlight w:val="none"/>
                      <w:lang w:val="en-US" w:eastAsia="zh-CN"/>
                    </w:rPr>
                    <w:t>°</w:t>
                  </w:r>
                  <w:r>
                    <w:rPr>
                      <w:rFonts w:hint="default" w:ascii="Times New Roman" w:hAnsi="Times New Roman" w:eastAsia="宋体" w:cs="Times New Roman"/>
                      <w:b/>
                      <w:bCs/>
                      <w:snapToGrid/>
                      <w:color w:val="auto"/>
                      <w:kern w:val="0"/>
                      <w:sz w:val="21"/>
                      <w:szCs w:val="21"/>
                      <w:highlight w:val="none"/>
                      <w:lang w:eastAsia="zh-CN"/>
                    </w:rPr>
                    <w:t>）</w:t>
                  </w:r>
                </w:p>
              </w:tc>
              <w:tc>
                <w:tcPr>
                  <w:tcW w:w="463" w:type="pct"/>
                  <w:vMerge w:val="restart"/>
                  <w:tcBorders>
                    <w:right w:val="single" w:color="auto" w:sz="4" w:space="0"/>
                    <w:tl2br w:val="nil"/>
                    <w:tr2bl w:val="nil"/>
                  </w:tcBorders>
                  <w:noWrap w:val="0"/>
                  <w:vAlign w:val="center"/>
                </w:tcPr>
                <w:p w14:paraId="3609EB03">
                  <w:pPr>
                    <w:jc w:val="center"/>
                    <w:rPr>
                      <w:rFonts w:hint="default" w:ascii="Times New Roman" w:hAnsi="Times New Roman" w:eastAsia="宋体" w:cs="Times New Roman"/>
                      <w:b/>
                      <w:bCs/>
                      <w:snapToGrid/>
                      <w:color w:val="auto"/>
                      <w:kern w:val="2"/>
                      <w:sz w:val="21"/>
                      <w:szCs w:val="21"/>
                      <w:highlight w:val="none"/>
                      <w:lang w:val="en-US" w:eastAsia="zh-CN"/>
                    </w:rPr>
                  </w:pPr>
                  <w:r>
                    <w:rPr>
                      <w:rFonts w:hint="default" w:ascii="Times New Roman" w:hAnsi="Times New Roman" w:cs="Times New Roman"/>
                      <w:b/>
                      <w:bCs/>
                      <w:snapToGrid/>
                      <w:color w:val="auto"/>
                      <w:kern w:val="2"/>
                      <w:sz w:val="21"/>
                      <w:szCs w:val="21"/>
                      <w:highlight w:val="none"/>
                      <w:lang w:val="en-US" w:eastAsia="zh-CN"/>
                    </w:rPr>
                    <w:t>类型</w:t>
                  </w:r>
                </w:p>
              </w:tc>
              <w:tc>
                <w:tcPr>
                  <w:tcW w:w="281" w:type="pct"/>
                  <w:vMerge w:val="restart"/>
                  <w:tcBorders>
                    <w:left w:val="single" w:color="auto" w:sz="4" w:space="0"/>
                    <w:right w:val="single" w:color="auto" w:sz="4" w:space="0"/>
                    <w:tl2br w:val="nil"/>
                    <w:tr2bl w:val="nil"/>
                  </w:tcBorders>
                  <w:noWrap w:val="0"/>
                  <w:vAlign w:val="center"/>
                </w:tcPr>
                <w:p w14:paraId="5DCEDAB7">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排气筒高度/m</w:t>
                  </w:r>
                </w:p>
              </w:tc>
              <w:tc>
                <w:tcPr>
                  <w:tcW w:w="387" w:type="pct"/>
                  <w:vMerge w:val="restart"/>
                  <w:tcBorders>
                    <w:left w:val="single" w:color="auto" w:sz="4" w:space="0"/>
                    <w:right w:val="single" w:color="auto" w:sz="4" w:space="0"/>
                    <w:tl2br w:val="nil"/>
                    <w:tr2bl w:val="nil"/>
                  </w:tcBorders>
                  <w:noWrap w:val="0"/>
                  <w:vAlign w:val="center"/>
                </w:tcPr>
                <w:p w14:paraId="195DFD37">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排气筒出口内径/m</w:t>
                  </w:r>
                </w:p>
              </w:tc>
              <w:tc>
                <w:tcPr>
                  <w:tcW w:w="344" w:type="pct"/>
                  <w:vMerge w:val="restart"/>
                  <w:tcBorders>
                    <w:left w:val="single" w:color="auto" w:sz="4" w:space="0"/>
                    <w:right w:val="single" w:color="auto" w:sz="4" w:space="0"/>
                    <w:tl2br w:val="nil"/>
                    <w:tr2bl w:val="nil"/>
                  </w:tcBorders>
                  <w:noWrap w:val="0"/>
                  <w:vAlign w:val="center"/>
                </w:tcPr>
                <w:p w14:paraId="57F041A2">
                  <w:pPr>
                    <w:jc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烟气流速（m/s）</w:t>
                  </w:r>
                </w:p>
              </w:tc>
              <w:tc>
                <w:tcPr>
                  <w:tcW w:w="362" w:type="pct"/>
                  <w:vMerge w:val="restart"/>
                  <w:tcBorders>
                    <w:left w:val="single" w:color="auto" w:sz="4" w:space="0"/>
                    <w:right w:val="single" w:color="auto" w:sz="4" w:space="0"/>
                    <w:tl2br w:val="nil"/>
                    <w:tr2bl w:val="nil"/>
                  </w:tcBorders>
                  <w:noWrap w:val="0"/>
                  <w:vAlign w:val="center"/>
                </w:tcPr>
                <w:p w14:paraId="4D31A556">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烟气量（m³/h）</w:t>
                  </w:r>
                </w:p>
              </w:tc>
              <w:tc>
                <w:tcPr>
                  <w:tcW w:w="277" w:type="pct"/>
                  <w:vMerge w:val="restart"/>
                  <w:tcBorders>
                    <w:left w:val="single" w:color="auto" w:sz="4" w:space="0"/>
                    <w:right w:val="single" w:color="auto" w:sz="4" w:space="0"/>
                    <w:tl2br w:val="nil"/>
                    <w:tr2bl w:val="nil"/>
                  </w:tcBorders>
                  <w:noWrap w:val="0"/>
                  <w:vAlign w:val="center"/>
                </w:tcPr>
                <w:p w14:paraId="383BF8BF">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烟气温度</w:t>
                  </w:r>
                </w:p>
              </w:tc>
              <w:tc>
                <w:tcPr>
                  <w:tcW w:w="335" w:type="pct"/>
                  <w:vMerge w:val="restart"/>
                  <w:tcBorders>
                    <w:left w:val="single" w:color="auto" w:sz="4" w:space="0"/>
                    <w:tl2br w:val="nil"/>
                    <w:tr2bl w:val="nil"/>
                  </w:tcBorders>
                  <w:noWrap w:val="0"/>
                  <w:vAlign w:val="center"/>
                </w:tcPr>
                <w:p w14:paraId="0DA4124F">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年排放小时数/h</w:t>
                  </w:r>
                </w:p>
              </w:tc>
            </w:tr>
            <w:tr w14:paraId="63C5D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continue"/>
                  <w:tcBorders>
                    <w:tl2br w:val="nil"/>
                    <w:tr2bl w:val="nil"/>
                  </w:tcBorders>
                  <w:noWrap w:val="0"/>
                  <w:vAlign w:val="center"/>
                </w:tcPr>
                <w:p w14:paraId="44BAB7B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p>
              </w:tc>
              <w:tc>
                <w:tcPr>
                  <w:tcW w:w="809" w:type="pct"/>
                  <w:vMerge w:val="continue"/>
                  <w:tcBorders>
                    <w:tl2br w:val="nil"/>
                    <w:tr2bl w:val="nil"/>
                  </w:tcBorders>
                  <w:noWrap w:val="0"/>
                  <w:vAlign w:val="center"/>
                </w:tcPr>
                <w:p w14:paraId="5EF67F4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p>
              </w:tc>
              <w:tc>
                <w:tcPr>
                  <w:tcW w:w="696" w:type="pct"/>
                  <w:tcBorders>
                    <w:tl2br w:val="nil"/>
                    <w:tr2bl w:val="nil"/>
                  </w:tcBorders>
                  <w:noWrap w:val="0"/>
                  <w:vAlign w:val="center"/>
                </w:tcPr>
                <w:p w14:paraId="3D807DF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经度</w:t>
                  </w:r>
                </w:p>
              </w:tc>
              <w:tc>
                <w:tcPr>
                  <w:tcW w:w="696" w:type="pct"/>
                  <w:tcBorders>
                    <w:tl2br w:val="nil"/>
                    <w:tr2bl w:val="nil"/>
                  </w:tcBorders>
                  <w:noWrap w:val="0"/>
                  <w:vAlign w:val="center"/>
                </w:tcPr>
                <w:p w14:paraId="16968B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纬度</w:t>
                  </w:r>
                </w:p>
              </w:tc>
              <w:tc>
                <w:tcPr>
                  <w:tcW w:w="463" w:type="pct"/>
                  <w:vMerge w:val="continue"/>
                  <w:tcBorders>
                    <w:right w:val="single" w:color="auto" w:sz="4" w:space="0"/>
                    <w:tl2br w:val="nil"/>
                    <w:tr2bl w:val="nil"/>
                  </w:tcBorders>
                  <w:noWrap w:val="0"/>
                  <w:vAlign w:val="center"/>
                </w:tcPr>
                <w:p w14:paraId="51A72938">
                  <w:pPr>
                    <w:jc w:val="center"/>
                    <w:rPr>
                      <w:rFonts w:hint="default" w:ascii="Times New Roman" w:hAnsi="Times New Roman" w:eastAsia="宋体" w:cs="Times New Roman"/>
                      <w:b/>
                      <w:bCs/>
                      <w:snapToGrid/>
                      <w:color w:val="auto"/>
                      <w:kern w:val="2"/>
                      <w:sz w:val="21"/>
                      <w:szCs w:val="21"/>
                      <w:highlight w:val="none"/>
                      <w:lang w:val="en-US" w:eastAsia="zh-CN"/>
                    </w:rPr>
                  </w:pPr>
                </w:p>
              </w:tc>
              <w:tc>
                <w:tcPr>
                  <w:tcW w:w="281" w:type="pct"/>
                  <w:vMerge w:val="continue"/>
                  <w:tcBorders>
                    <w:left w:val="single" w:color="auto" w:sz="4" w:space="0"/>
                    <w:right w:val="single" w:color="auto" w:sz="4" w:space="0"/>
                    <w:tl2br w:val="nil"/>
                    <w:tr2bl w:val="nil"/>
                  </w:tcBorders>
                  <w:noWrap w:val="0"/>
                  <w:vAlign w:val="center"/>
                </w:tcPr>
                <w:p w14:paraId="5E807E73">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87" w:type="pct"/>
                  <w:vMerge w:val="continue"/>
                  <w:tcBorders>
                    <w:left w:val="single" w:color="auto" w:sz="4" w:space="0"/>
                    <w:right w:val="single" w:color="auto" w:sz="4" w:space="0"/>
                    <w:tl2br w:val="nil"/>
                    <w:tr2bl w:val="nil"/>
                  </w:tcBorders>
                  <w:noWrap w:val="0"/>
                  <w:vAlign w:val="center"/>
                </w:tcPr>
                <w:p w14:paraId="6CDBB8FB">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44" w:type="pct"/>
                  <w:vMerge w:val="continue"/>
                  <w:tcBorders>
                    <w:left w:val="single" w:color="auto" w:sz="4" w:space="0"/>
                    <w:right w:val="single" w:color="auto" w:sz="4" w:space="0"/>
                    <w:tl2br w:val="nil"/>
                    <w:tr2bl w:val="nil"/>
                  </w:tcBorders>
                  <w:noWrap w:val="0"/>
                  <w:vAlign w:val="center"/>
                </w:tcPr>
                <w:p w14:paraId="1F024D19">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62" w:type="pct"/>
                  <w:vMerge w:val="continue"/>
                  <w:tcBorders>
                    <w:left w:val="single" w:color="auto" w:sz="4" w:space="0"/>
                    <w:right w:val="single" w:color="auto" w:sz="4" w:space="0"/>
                    <w:tl2br w:val="nil"/>
                    <w:tr2bl w:val="nil"/>
                  </w:tcBorders>
                  <w:noWrap w:val="0"/>
                  <w:vAlign w:val="center"/>
                </w:tcPr>
                <w:p w14:paraId="7F4A6F30">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277" w:type="pct"/>
                  <w:vMerge w:val="continue"/>
                  <w:tcBorders>
                    <w:left w:val="single" w:color="auto" w:sz="4" w:space="0"/>
                    <w:right w:val="single" w:color="auto" w:sz="4" w:space="0"/>
                    <w:tl2br w:val="nil"/>
                    <w:tr2bl w:val="nil"/>
                  </w:tcBorders>
                  <w:noWrap w:val="0"/>
                  <w:vAlign w:val="center"/>
                </w:tcPr>
                <w:p w14:paraId="4DCDEADA">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35" w:type="pct"/>
                  <w:vMerge w:val="continue"/>
                  <w:tcBorders>
                    <w:left w:val="single" w:color="auto" w:sz="4" w:space="0"/>
                    <w:tl2br w:val="nil"/>
                    <w:tr2bl w:val="nil"/>
                  </w:tcBorders>
                  <w:noWrap w:val="0"/>
                  <w:vAlign w:val="center"/>
                </w:tcPr>
                <w:p w14:paraId="497B8D27">
                  <w:pPr>
                    <w:jc w:val="center"/>
                    <w:rPr>
                      <w:rFonts w:hint="default" w:ascii="Times New Roman" w:hAnsi="Times New Roman" w:eastAsia="宋体" w:cs="Times New Roman"/>
                      <w:b/>
                      <w:bCs/>
                      <w:snapToGrid/>
                      <w:color w:val="auto"/>
                      <w:kern w:val="2"/>
                      <w:sz w:val="21"/>
                      <w:szCs w:val="21"/>
                      <w:highlight w:val="none"/>
                      <w:lang w:val="en-US" w:eastAsia="zh-CN" w:bidi="ar-SA"/>
                    </w:rPr>
                  </w:pPr>
                </w:p>
              </w:tc>
            </w:tr>
            <w:tr w14:paraId="4E359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473095B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DA001</w:t>
                  </w:r>
                </w:p>
              </w:tc>
              <w:tc>
                <w:tcPr>
                  <w:tcW w:w="809" w:type="pct"/>
                  <w:tcBorders>
                    <w:tl2br w:val="nil"/>
                    <w:tr2bl w:val="nil"/>
                  </w:tcBorders>
                  <w:noWrap w:val="0"/>
                  <w:vAlign w:val="center"/>
                </w:tcPr>
                <w:p w14:paraId="6CC0977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喷漆废气</w:t>
                  </w:r>
                </w:p>
              </w:tc>
              <w:tc>
                <w:tcPr>
                  <w:tcW w:w="696" w:type="pct"/>
                  <w:tcBorders>
                    <w:tl2br w:val="nil"/>
                    <w:tr2bl w:val="nil"/>
                  </w:tcBorders>
                  <w:noWrap w:val="0"/>
                  <w:vAlign w:val="center"/>
                </w:tcPr>
                <w:p w14:paraId="268489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113°24′29.580″</w:t>
                  </w:r>
                </w:p>
              </w:tc>
              <w:tc>
                <w:tcPr>
                  <w:tcW w:w="696" w:type="pct"/>
                  <w:tcBorders>
                    <w:tl2br w:val="nil"/>
                    <w:tr2bl w:val="nil"/>
                  </w:tcBorders>
                  <w:noWrap w:val="0"/>
                  <w:vAlign w:val="center"/>
                </w:tcPr>
                <w:p w14:paraId="6D834D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25°9′23.709″</w:t>
                  </w:r>
                </w:p>
              </w:tc>
              <w:tc>
                <w:tcPr>
                  <w:tcW w:w="463" w:type="pct"/>
                  <w:tcBorders>
                    <w:tl2br w:val="nil"/>
                    <w:tr2bl w:val="nil"/>
                  </w:tcBorders>
                  <w:noWrap w:val="0"/>
                  <w:vAlign w:val="center"/>
                </w:tcPr>
                <w:p w14:paraId="1649E28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主要</w:t>
                  </w:r>
                  <w:r>
                    <w:rPr>
                      <w:rFonts w:hint="eastAsia" w:ascii="Times New Roman" w:hAnsi="Times New Roman" w:eastAsia="宋体" w:cs="Times New Roman"/>
                      <w:snapToGrid/>
                      <w:color w:val="auto"/>
                      <w:kern w:val="2"/>
                      <w:sz w:val="21"/>
                      <w:szCs w:val="21"/>
                      <w:highlight w:val="none"/>
                      <w:lang w:val="en-US" w:eastAsia="zh-CN"/>
                    </w:rPr>
                    <w:t>排放口</w:t>
                  </w:r>
                </w:p>
              </w:tc>
              <w:tc>
                <w:tcPr>
                  <w:tcW w:w="281" w:type="pct"/>
                  <w:tcBorders>
                    <w:tl2br w:val="nil"/>
                    <w:tr2bl w:val="nil"/>
                  </w:tcBorders>
                  <w:noWrap w:val="0"/>
                  <w:vAlign w:val="center"/>
                </w:tcPr>
                <w:p w14:paraId="1A01B2A0">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4756A01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2.1</w:t>
                  </w:r>
                </w:p>
              </w:tc>
              <w:tc>
                <w:tcPr>
                  <w:tcW w:w="344" w:type="pct"/>
                  <w:tcBorders>
                    <w:left w:val="single" w:color="auto" w:sz="4" w:space="0"/>
                    <w:tl2br w:val="nil"/>
                    <w:tr2bl w:val="nil"/>
                  </w:tcBorders>
                  <w:noWrap w:val="0"/>
                  <w:vAlign w:val="center"/>
                </w:tcPr>
                <w:p w14:paraId="35584D5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14.5</w:t>
                  </w:r>
                </w:p>
              </w:tc>
              <w:tc>
                <w:tcPr>
                  <w:tcW w:w="362" w:type="pct"/>
                  <w:tcBorders>
                    <w:right w:val="single" w:color="auto" w:sz="4" w:space="0"/>
                    <w:tl2br w:val="nil"/>
                    <w:tr2bl w:val="nil"/>
                  </w:tcBorders>
                  <w:noWrap w:val="0"/>
                  <w:vAlign w:val="center"/>
                </w:tcPr>
                <w:p w14:paraId="0939DA2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181200</w:t>
                  </w:r>
                </w:p>
              </w:tc>
              <w:tc>
                <w:tcPr>
                  <w:tcW w:w="277" w:type="pct"/>
                  <w:tcBorders>
                    <w:left w:val="single" w:color="auto" w:sz="4" w:space="0"/>
                    <w:tl2br w:val="nil"/>
                    <w:tr2bl w:val="nil"/>
                  </w:tcBorders>
                  <w:noWrap w:val="0"/>
                  <w:vAlign w:val="center"/>
                </w:tcPr>
                <w:p w14:paraId="08E720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25</w:t>
                  </w:r>
                  <w:r>
                    <w:rPr>
                      <w:rFonts w:hint="default" w:ascii="Times New Roman" w:hAnsi="Times New Roman" w:cs="Times New Roman"/>
                      <w:b w:val="0"/>
                      <w:bCs w:val="0"/>
                      <w:color w:val="auto"/>
                      <w:sz w:val="21"/>
                      <w:szCs w:val="21"/>
                      <w:highlight w:val="none"/>
                    </w:rPr>
                    <w:t>℃</w:t>
                  </w:r>
                </w:p>
              </w:tc>
              <w:tc>
                <w:tcPr>
                  <w:tcW w:w="335" w:type="pct"/>
                  <w:tcBorders>
                    <w:tl2br w:val="nil"/>
                    <w:tr2bl w:val="nil"/>
                  </w:tcBorders>
                  <w:noWrap w:val="0"/>
                  <w:vAlign w:val="center"/>
                </w:tcPr>
                <w:p w14:paraId="5C2EE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46FD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2E2AB2B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DA002</w:t>
                  </w:r>
                </w:p>
              </w:tc>
              <w:tc>
                <w:tcPr>
                  <w:tcW w:w="809" w:type="pct"/>
                  <w:tcBorders>
                    <w:tl2br w:val="nil"/>
                    <w:tr2bl w:val="nil"/>
                  </w:tcBorders>
                  <w:noWrap w:val="0"/>
                  <w:vAlign w:val="center"/>
                </w:tcPr>
                <w:p w14:paraId="7F19D57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固化废气</w:t>
                  </w:r>
                </w:p>
              </w:tc>
              <w:tc>
                <w:tcPr>
                  <w:tcW w:w="696" w:type="pct"/>
                  <w:tcBorders>
                    <w:tl2br w:val="nil"/>
                    <w:tr2bl w:val="nil"/>
                  </w:tcBorders>
                  <w:noWrap w:val="0"/>
                  <w:vAlign w:val="center"/>
                </w:tcPr>
                <w:p w14:paraId="55AF90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113°24′29.546″</w:t>
                  </w:r>
                </w:p>
              </w:tc>
              <w:tc>
                <w:tcPr>
                  <w:tcW w:w="696" w:type="pct"/>
                  <w:tcBorders>
                    <w:tl2br w:val="nil"/>
                    <w:tr2bl w:val="nil"/>
                  </w:tcBorders>
                  <w:noWrap w:val="0"/>
                  <w:vAlign w:val="center"/>
                </w:tcPr>
                <w:p w14:paraId="3998DA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25°9′22.99</w:t>
                  </w: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w:t>
                  </w:r>
                </w:p>
              </w:tc>
              <w:tc>
                <w:tcPr>
                  <w:tcW w:w="463" w:type="pct"/>
                  <w:tcBorders>
                    <w:tl2br w:val="nil"/>
                    <w:tr2bl w:val="nil"/>
                  </w:tcBorders>
                  <w:noWrap w:val="0"/>
                  <w:vAlign w:val="center"/>
                </w:tcPr>
                <w:p w14:paraId="6181C2D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主要排放口</w:t>
                  </w:r>
                </w:p>
              </w:tc>
              <w:tc>
                <w:tcPr>
                  <w:tcW w:w="281" w:type="pct"/>
                  <w:tcBorders>
                    <w:tl2br w:val="nil"/>
                    <w:tr2bl w:val="nil"/>
                  </w:tcBorders>
                  <w:noWrap w:val="0"/>
                  <w:vAlign w:val="center"/>
                </w:tcPr>
                <w:p w14:paraId="7088B729">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1460CA5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1.0</w:t>
                  </w:r>
                </w:p>
              </w:tc>
              <w:tc>
                <w:tcPr>
                  <w:tcW w:w="344" w:type="pct"/>
                  <w:tcBorders>
                    <w:left w:val="single" w:color="auto" w:sz="4" w:space="0"/>
                    <w:tl2br w:val="nil"/>
                    <w:tr2bl w:val="nil"/>
                  </w:tcBorders>
                  <w:noWrap w:val="0"/>
                  <w:vAlign w:val="center"/>
                </w:tcPr>
                <w:p w14:paraId="613BE77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14.1</w:t>
                  </w:r>
                </w:p>
              </w:tc>
              <w:tc>
                <w:tcPr>
                  <w:tcW w:w="362" w:type="pct"/>
                  <w:tcBorders>
                    <w:right w:val="single" w:color="auto" w:sz="4" w:space="0"/>
                    <w:tl2br w:val="nil"/>
                    <w:tr2bl w:val="nil"/>
                  </w:tcBorders>
                  <w:noWrap w:val="0"/>
                  <w:vAlign w:val="center"/>
                </w:tcPr>
                <w:p w14:paraId="560870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40000</w:t>
                  </w:r>
                </w:p>
              </w:tc>
              <w:tc>
                <w:tcPr>
                  <w:tcW w:w="277" w:type="pct"/>
                  <w:tcBorders>
                    <w:left w:val="single" w:color="auto" w:sz="4" w:space="0"/>
                    <w:tl2br w:val="nil"/>
                    <w:tr2bl w:val="nil"/>
                  </w:tcBorders>
                  <w:noWrap w:val="0"/>
                  <w:vAlign w:val="center"/>
                </w:tcPr>
                <w:p w14:paraId="1BD6590B">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r>
                    <w:rPr>
                      <w:rFonts w:hint="eastAsia" w:ascii="Times New Roman" w:hAnsi="Times New Roman" w:eastAsia="宋体" w:cs="Times New Roman"/>
                      <w:snapToGrid/>
                      <w:color w:val="auto"/>
                      <w:kern w:val="2"/>
                      <w:sz w:val="21"/>
                      <w:szCs w:val="21"/>
                      <w:highlight w:val="none"/>
                      <w:lang w:val="en-US" w:eastAsia="zh-CN"/>
                    </w:rPr>
                    <w:t>5</w:t>
                  </w:r>
                  <w:r>
                    <w:rPr>
                      <w:rFonts w:hint="default" w:ascii="Times New Roman" w:hAnsi="Times New Roman" w:cs="Times New Roman"/>
                      <w:b w:val="0"/>
                      <w:bCs w:val="0"/>
                      <w:color w:val="auto"/>
                      <w:sz w:val="21"/>
                      <w:szCs w:val="21"/>
                      <w:highlight w:val="none"/>
                    </w:rPr>
                    <w:t>℃</w:t>
                  </w:r>
                </w:p>
              </w:tc>
              <w:tc>
                <w:tcPr>
                  <w:tcW w:w="335" w:type="pct"/>
                  <w:tcBorders>
                    <w:tl2br w:val="nil"/>
                    <w:tr2bl w:val="nil"/>
                  </w:tcBorders>
                  <w:noWrap w:val="0"/>
                  <w:vAlign w:val="center"/>
                </w:tcPr>
                <w:p w14:paraId="57E7927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3C86E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5AC290F4">
                  <w:pPr>
                    <w:widowControl w:val="0"/>
                    <w:kinsoku/>
                    <w:autoSpaceDE/>
                    <w:autoSpaceDN/>
                    <w:adjustRightInd w:val="0"/>
                    <w:snapToGrid w:val="0"/>
                    <w:spacing w:line="240" w:lineRule="auto"/>
                    <w:jc w:val="center"/>
                    <w:textAlignment w:val="auto"/>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DA003</w:t>
                  </w:r>
                </w:p>
              </w:tc>
              <w:tc>
                <w:tcPr>
                  <w:tcW w:w="809" w:type="pct"/>
                  <w:tcBorders>
                    <w:tl2br w:val="nil"/>
                    <w:tr2bl w:val="nil"/>
                  </w:tcBorders>
                  <w:noWrap w:val="0"/>
                  <w:vAlign w:val="center"/>
                </w:tcPr>
                <w:p w14:paraId="2ED2983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表面预处理废气</w:t>
                  </w:r>
                </w:p>
              </w:tc>
              <w:tc>
                <w:tcPr>
                  <w:tcW w:w="696" w:type="pct"/>
                  <w:tcBorders>
                    <w:tl2br w:val="nil"/>
                    <w:tr2bl w:val="nil"/>
                  </w:tcBorders>
                  <w:noWrap w:val="0"/>
                  <w:vAlign w:val="center"/>
                </w:tcPr>
                <w:p w14:paraId="5FBD6D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113°24′29.47</w:t>
                  </w:r>
                  <w:r>
                    <w:rPr>
                      <w:rFonts w:hint="eastAsia" w:cs="Times New Roman"/>
                      <w:i w:val="0"/>
                      <w:iCs w:val="0"/>
                      <w:color w:val="auto"/>
                      <w:kern w:val="0"/>
                      <w:sz w:val="21"/>
                      <w:szCs w:val="21"/>
                      <w:u w:val="none"/>
                      <w:lang w:val="en-US" w:eastAsia="zh-CN" w:bidi="ar"/>
                    </w:rPr>
                    <w:t>9</w:t>
                  </w:r>
                  <w:r>
                    <w:rPr>
                      <w:rFonts w:hint="default" w:ascii="Times New Roman" w:hAnsi="Times New Roman" w:eastAsia="宋体" w:cs="Times New Roman"/>
                      <w:i w:val="0"/>
                      <w:iCs w:val="0"/>
                      <w:color w:val="auto"/>
                      <w:kern w:val="0"/>
                      <w:sz w:val="21"/>
                      <w:szCs w:val="21"/>
                      <w:u w:val="none"/>
                      <w:lang w:val="en-US" w:eastAsia="zh-CN" w:bidi="ar"/>
                    </w:rPr>
                    <w:t>″</w:t>
                  </w:r>
                </w:p>
              </w:tc>
              <w:tc>
                <w:tcPr>
                  <w:tcW w:w="696" w:type="pct"/>
                  <w:tcBorders>
                    <w:tl2br w:val="nil"/>
                    <w:tr2bl w:val="nil"/>
                  </w:tcBorders>
                  <w:noWrap w:val="0"/>
                  <w:vAlign w:val="center"/>
                </w:tcPr>
                <w:p w14:paraId="05462F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25°9′25.616″</w:t>
                  </w:r>
                </w:p>
              </w:tc>
              <w:tc>
                <w:tcPr>
                  <w:tcW w:w="463" w:type="pct"/>
                  <w:tcBorders>
                    <w:tl2br w:val="nil"/>
                    <w:tr2bl w:val="nil"/>
                  </w:tcBorders>
                  <w:noWrap w:val="0"/>
                  <w:vAlign w:val="center"/>
                </w:tcPr>
                <w:p w14:paraId="0B5AA0F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一般排放口</w:t>
                  </w:r>
                </w:p>
              </w:tc>
              <w:tc>
                <w:tcPr>
                  <w:tcW w:w="281" w:type="pct"/>
                  <w:tcBorders>
                    <w:tl2br w:val="nil"/>
                    <w:tr2bl w:val="nil"/>
                  </w:tcBorders>
                  <w:noWrap w:val="0"/>
                  <w:vAlign w:val="center"/>
                </w:tcPr>
                <w:p w14:paraId="726C6BE7">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02C9C09D">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0.5</w:t>
                  </w:r>
                </w:p>
              </w:tc>
              <w:tc>
                <w:tcPr>
                  <w:tcW w:w="344" w:type="pct"/>
                  <w:tcBorders>
                    <w:left w:val="single" w:color="auto" w:sz="4" w:space="0"/>
                    <w:tl2br w:val="nil"/>
                    <w:tr2bl w:val="nil"/>
                  </w:tcBorders>
                  <w:noWrap w:val="0"/>
                  <w:vAlign w:val="center"/>
                </w:tcPr>
                <w:p w14:paraId="2885BEE7">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12.86</w:t>
                  </w:r>
                </w:p>
              </w:tc>
              <w:tc>
                <w:tcPr>
                  <w:tcW w:w="362" w:type="pct"/>
                  <w:tcBorders>
                    <w:right w:val="single" w:color="auto" w:sz="4" w:space="0"/>
                    <w:tl2br w:val="nil"/>
                    <w:tr2bl w:val="nil"/>
                  </w:tcBorders>
                  <w:noWrap w:val="0"/>
                  <w:vAlign w:val="center"/>
                </w:tcPr>
                <w:p w14:paraId="23CEDA0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11000</w:t>
                  </w:r>
                </w:p>
              </w:tc>
              <w:tc>
                <w:tcPr>
                  <w:tcW w:w="711" w:type="dxa"/>
                  <w:tcBorders>
                    <w:left w:val="single" w:color="auto" w:sz="4" w:space="0"/>
                    <w:tl2br w:val="nil"/>
                    <w:tr2bl w:val="nil"/>
                  </w:tcBorders>
                  <w:noWrap w:val="0"/>
                  <w:vAlign w:val="center"/>
                </w:tcPr>
                <w:p w14:paraId="4CAC2B8E">
                  <w:pPr>
                    <w:widowControl w:val="0"/>
                    <w:kinsoku/>
                    <w:autoSpaceDE/>
                    <w:autoSpaceDN/>
                    <w:adjustRightInd w:val="0"/>
                    <w:snapToGrid w:val="0"/>
                    <w:spacing w:line="240" w:lineRule="auto"/>
                    <w:jc w:val="center"/>
                    <w:textAlignment w:val="auto"/>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r>
                    <w:rPr>
                      <w:rFonts w:hint="eastAsia" w:ascii="Times New Roman" w:hAnsi="Times New Roman" w:eastAsia="宋体" w:cs="Times New Roman"/>
                      <w:snapToGrid/>
                      <w:color w:val="auto"/>
                      <w:kern w:val="2"/>
                      <w:sz w:val="21"/>
                      <w:szCs w:val="21"/>
                      <w:highlight w:val="none"/>
                      <w:lang w:val="en-US" w:eastAsia="zh-CN"/>
                    </w:rPr>
                    <w:t>5</w:t>
                  </w:r>
                  <w:r>
                    <w:rPr>
                      <w:rFonts w:hint="default" w:ascii="Times New Roman" w:hAnsi="Times New Roman" w:cs="Times New Roman"/>
                      <w:b w:val="0"/>
                      <w:bCs w:val="0"/>
                      <w:color w:val="auto"/>
                      <w:sz w:val="21"/>
                      <w:szCs w:val="21"/>
                      <w:highlight w:val="none"/>
                    </w:rPr>
                    <w:t>℃</w:t>
                  </w:r>
                </w:p>
              </w:tc>
              <w:tc>
                <w:tcPr>
                  <w:tcW w:w="867" w:type="dxa"/>
                  <w:tcBorders>
                    <w:tl2br w:val="nil"/>
                    <w:tr2bl w:val="nil"/>
                  </w:tcBorders>
                  <w:noWrap w:val="0"/>
                  <w:vAlign w:val="center"/>
                </w:tcPr>
                <w:p w14:paraId="68593991">
                  <w:pPr>
                    <w:widowControl w:val="0"/>
                    <w:kinsoku/>
                    <w:autoSpaceDE/>
                    <w:autoSpaceDN/>
                    <w:adjustRightInd w:val="0"/>
                    <w:snapToGrid w:val="0"/>
                    <w:spacing w:line="240" w:lineRule="auto"/>
                    <w:jc w:val="center"/>
                    <w:textAlignment w:val="auto"/>
                    <w:rPr>
                      <w:rFonts w:hint="eastAsia"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78CC6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52C5D62D">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DA004</w:t>
                  </w:r>
                </w:p>
              </w:tc>
              <w:tc>
                <w:tcPr>
                  <w:tcW w:w="809" w:type="pct"/>
                  <w:tcBorders>
                    <w:tl2br w:val="nil"/>
                    <w:tr2bl w:val="nil"/>
                  </w:tcBorders>
                  <w:noWrap w:val="0"/>
                  <w:vAlign w:val="center"/>
                </w:tcPr>
                <w:p w14:paraId="5F4115A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油烟排放口</w:t>
                  </w:r>
                </w:p>
              </w:tc>
              <w:tc>
                <w:tcPr>
                  <w:tcW w:w="696" w:type="pct"/>
                  <w:tcBorders>
                    <w:tl2br w:val="nil"/>
                    <w:tr2bl w:val="nil"/>
                  </w:tcBorders>
                  <w:noWrap w:val="0"/>
                  <w:vAlign w:val="center"/>
                </w:tcPr>
                <w:p w14:paraId="562CAA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113°24′32.64</w:t>
                  </w: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w:t>
                  </w:r>
                </w:p>
              </w:tc>
              <w:tc>
                <w:tcPr>
                  <w:tcW w:w="696" w:type="pct"/>
                  <w:tcBorders>
                    <w:tl2br w:val="nil"/>
                    <w:tr2bl w:val="nil"/>
                  </w:tcBorders>
                  <w:noWrap w:val="0"/>
                  <w:vAlign w:val="center"/>
                </w:tcPr>
                <w:p w14:paraId="6D00DC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25°9′22.352″</w:t>
                  </w:r>
                </w:p>
              </w:tc>
              <w:tc>
                <w:tcPr>
                  <w:tcW w:w="463" w:type="pct"/>
                  <w:tcBorders>
                    <w:tl2br w:val="nil"/>
                    <w:tr2bl w:val="nil"/>
                  </w:tcBorders>
                  <w:noWrap w:val="0"/>
                  <w:vAlign w:val="center"/>
                </w:tcPr>
                <w:p w14:paraId="3BCB44D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w:t>
                  </w:r>
                </w:p>
              </w:tc>
              <w:tc>
                <w:tcPr>
                  <w:tcW w:w="281" w:type="pct"/>
                  <w:tcBorders>
                    <w:tl2br w:val="nil"/>
                    <w:tr2bl w:val="nil"/>
                  </w:tcBorders>
                  <w:noWrap w:val="0"/>
                  <w:vAlign w:val="center"/>
                </w:tcPr>
                <w:p w14:paraId="584126C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5</w:t>
                  </w:r>
                </w:p>
              </w:tc>
              <w:tc>
                <w:tcPr>
                  <w:tcW w:w="387" w:type="pct"/>
                  <w:tcBorders>
                    <w:right w:val="single" w:color="auto" w:sz="4" w:space="0"/>
                    <w:tl2br w:val="nil"/>
                    <w:tr2bl w:val="nil"/>
                  </w:tcBorders>
                  <w:noWrap w:val="0"/>
                  <w:vAlign w:val="center"/>
                </w:tcPr>
                <w:p w14:paraId="5A7D1FB5">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0.4</w:t>
                  </w:r>
                </w:p>
              </w:tc>
              <w:tc>
                <w:tcPr>
                  <w:tcW w:w="344" w:type="pct"/>
                  <w:tcBorders>
                    <w:left w:val="single" w:color="auto" w:sz="4" w:space="0"/>
                    <w:tl2br w:val="nil"/>
                    <w:tr2bl w:val="nil"/>
                  </w:tcBorders>
                  <w:noWrap w:val="0"/>
                  <w:vAlign w:val="center"/>
                </w:tcPr>
                <w:p w14:paraId="18290C4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13.27</w:t>
                  </w:r>
                </w:p>
              </w:tc>
              <w:tc>
                <w:tcPr>
                  <w:tcW w:w="362" w:type="pct"/>
                  <w:tcBorders>
                    <w:right w:val="single" w:color="auto" w:sz="4" w:space="0"/>
                    <w:tl2br w:val="nil"/>
                    <w:tr2bl w:val="nil"/>
                  </w:tcBorders>
                  <w:noWrap w:val="0"/>
                  <w:vAlign w:val="center"/>
                </w:tcPr>
                <w:p w14:paraId="26211BE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6000</w:t>
                  </w:r>
                </w:p>
              </w:tc>
              <w:tc>
                <w:tcPr>
                  <w:tcW w:w="277" w:type="pct"/>
                  <w:tcBorders>
                    <w:left w:val="single" w:color="auto" w:sz="4" w:space="0"/>
                    <w:tl2br w:val="nil"/>
                    <w:tr2bl w:val="nil"/>
                  </w:tcBorders>
                  <w:noWrap w:val="0"/>
                  <w:vAlign w:val="center"/>
                </w:tcPr>
                <w:p w14:paraId="53D865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35℃</w:t>
                  </w:r>
                </w:p>
              </w:tc>
              <w:tc>
                <w:tcPr>
                  <w:tcW w:w="335" w:type="pct"/>
                  <w:tcBorders>
                    <w:tl2br w:val="nil"/>
                    <w:tr2bl w:val="nil"/>
                  </w:tcBorders>
                  <w:noWrap w:val="0"/>
                  <w:vAlign w:val="center"/>
                </w:tcPr>
                <w:p w14:paraId="32A7D7C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964</w:t>
                  </w:r>
                </w:p>
              </w:tc>
            </w:tr>
            <w:tr w14:paraId="5A44B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5000" w:type="pct"/>
                  <w:gridSpan w:val="11"/>
                  <w:tcBorders>
                    <w:tl2br w:val="nil"/>
                    <w:tr2bl w:val="nil"/>
                  </w:tcBorders>
                  <w:noWrap w:val="0"/>
                  <w:vAlign w:val="center"/>
                </w:tcPr>
                <w:p w14:paraId="6A3AD8AA">
                  <w:pPr>
                    <w:widowControl w:val="0"/>
                    <w:kinsoku/>
                    <w:autoSpaceDE/>
                    <w:autoSpaceDN/>
                    <w:adjustRightInd w:val="0"/>
                    <w:snapToGrid w:val="0"/>
                    <w:spacing w:line="240" w:lineRule="auto"/>
                    <w:jc w:val="left"/>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注：根据《</w:t>
                  </w:r>
                  <w:r>
                    <w:rPr>
                      <w:rFonts w:hint="eastAsia" w:cs="Times New Roman"/>
                      <w:snapToGrid/>
                      <w:color w:val="auto"/>
                      <w:kern w:val="2"/>
                      <w:sz w:val="21"/>
                      <w:szCs w:val="21"/>
                      <w:highlight w:val="none"/>
                      <w:lang w:val="en-US" w:eastAsia="zh-CN"/>
                    </w:rPr>
                    <w:t>大气污染治理工程技术导则</w:t>
                  </w:r>
                  <w:r>
                    <w:rPr>
                      <w:rFonts w:hint="default" w:ascii="Times New Roman" w:hAnsi="Times New Roman" w:eastAsia="宋体" w:cs="Times New Roman"/>
                      <w:snapToGrid/>
                      <w:color w:val="auto"/>
                      <w:kern w:val="2"/>
                      <w:sz w:val="21"/>
                      <w:szCs w:val="21"/>
                      <w:highlight w:val="none"/>
                      <w:lang w:val="en-US" w:eastAsia="zh-CN"/>
                    </w:rPr>
                    <w:t>》（HJ2000-2010），排气筒的出口直径应根据出口流速确定，流速宜取15m/s左右。因此，本项目排气筒规格的设置均符合要求。</w:t>
                  </w:r>
                </w:p>
              </w:tc>
            </w:tr>
          </w:tbl>
          <w:p w14:paraId="08187075">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586B36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根据《排污单位自行监测技术指南</w:t>
            </w:r>
            <w:r>
              <w:rPr>
                <w:rFonts w:hint="eastAsia" w:ascii="Times New Roman" w:hAnsi="Times New Roman" w:eastAsia="宋体" w:cs="Times New Roman"/>
                <w:snapToGrid/>
                <w:color w:val="auto"/>
                <w:kern w:val="0"/>
                <w:sz w:val="24"/>
                <w:szCs w:val="24"/>
                <w:highlight w:val="none"/>
                <w:lang w:val="en-US" w:eastAsia="zh-CN"/>
              </w:rPr>
              <w:t xml:space="preserve"> </w:t>
            </w:r>
            <w:r>
              <w:rPr>
                <w:rFonts w:hint="default" w:ascii="Times New Roman" w:hAnsi="Times New Roman" w:eastAsia="宋体" w:cs="Times New Roman"/>
                <w:snapToGrid/>
                <w:color w:val="auto"/>
                <w:kern w:val="0"/>
                <w:sz w:val="24"/>
                <w:szCs w:val="24"/>
                <w:highlight w:val="none"/>
                <w:lang w:eastAsia="zh-CN"/>
              </w:rPr>
              <w:t>总则》（HJ</w:t>
            </w:r>
            <w:r>
              <w:rPr>
                <w:rFonts w:hint="eastAsia" w:ascii="Times New Roman" w:hAnsi="Times New Roman" w:eastAsia="宋体" w:cs="Times New Roman"/>
                <w:snapToGrid/>
                <w:color w:val="auto"/>
                <w:kern w:val="0"/>
                <w:sz w:val="24"/>
                <w:szCs w:val="24"/>
                <w:highlight w:val="none"/>
                <w:lang w:val="en-US" w:eastAsia="zh-CN"/>
              </w:rPr>
              <w:t xml:space="preserve"> </w:t>
            </w:r>
            <w:r>
              <w:rPr>
                <w:rFonts w:hint="default" w:ascii="Times New Roman" w:hAnsi="Times New Roman" w:eastAsia="宋体" w:cs="Times New Roman"/>
                <w:snapToGrid/>
                <w:color w:val="auto"/>
                <w:kern w:val="0"/>
                <w:sz w:val="24"/>
                <w:szCs w:val="24"/>
                <w:highlight w:val="none"/>
                <w:lang w:eastAsia="zh-CN"/>
              </w:rPr>
              <w:t>819-2017）、《排污许可证申请与核发技术规范 工业炉窑》（HJ 1121-2020）</w:t>
            </w:r>
            <w:r>
              <w:rPr>
                <w:rFonts w:hint="eastAsia" w:ascii="Times New Roman" w:hAnsi="Times New Roman" w:eastAsia="宋体" w:cs="Times New Roman"/>
                <w:snapToGrid/>
                <w:color w:val="auto"/>
                <w:kern w:val="0"/>
                <w:sz w:val="24"/>
                <w:szCs w:val="24"/>
                <w:highlight w:val="none"/>
                <w:lang w:eastAsia="zh-CN"/>
              </w:rPr>
              <w:t>、《排污单位自行监测技术指南 涂装》（HJ1086-2020）</w:t>
            </w:r>
            <w:r>
              <w:rPr>
                <w:rFonts w:hint="default" w:ascii="Times New Roman" w:hAnsi="Times New Roman" w:eastAsia="宋体" w:cs="Times New Roman"/>
                <w:snapToGrid/>
                <w:color w:val="auto"/>
                <w:kern w:val="0"/>
                <w:sz w:val="24"/>
                <w:szCs w:val="24"/>
                <w:highlight w:val="none"/>
                <w:lang w:eastAsia="zh-CN"/>
              </w:rPr>
              <w:t>，本项目废气监测计划见下表：</w:t>
            </w:r>
          </w:p>
          <w:p w14:paraId="310F1BBB">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表4-7</w:t>
            </w:r>
            <w:r>
              <w:rPr>
                <w:rFonts w:hint="eastAsia" w:ascii="Times New Roman" w:hAnsi="Times New Roman" w:eastAsia="宋体" w:cs="Times New Roman"/>
                <w:b/>
                <w:bCs/>
                <w:color w:val="auto"/>
                <w:sz w:val="21"/>
                <w:szCs w:val="21"/>
                <w:highlight w:val="none"/>
                <w:lang w:val="en-US" w:eastAsia="zh-CN"/>
              </w:rPr>
              <w:t>项目</w:t>
            </w:r>
            <w:r>
              <w:rPr>
                <w:rFonts w:hint="default" w:ascii="Times New Roman" w:hAnsi="Times New Roman" w:eastAsia="宋体" w:cs="Times New Roman"/>
                <w:b/>
                <w:bCs/>
                <w:color w:val="auto"/>
                <w:sz w:val="21"/>
                <w:szCs w:val="21"/>
                <w:highlight w:val="none"/>
                <w:lang w:eastAsia="zh-CN"/>
              </w:rPr>
              <w:t>废气监测计划</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lang w:eastAsia="zh-CN"/>
              </w:rPr>
              <w:t>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1631"/>
              <w:gridCol w:w="4607"/>
              <w:gridCol w:w="1405"/>
              <w:gridCol w:w="3557"/>
            </w:tblGrid>
            <w:tr w14:paraId="38F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36" w:type="pct"/>
                  <w:vAlign w:val="center"/>
                </w:tcPr>
                <w:p w14:paraId="6C9841B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监测位置</w:t>
                  </w:r>
                </w:p>
              </w:tc>
              <w:tc>
                <w:tcPr>
                  <w:tcW w:w="635" w:type="pct"/>
                  <w:vAlign w:val="center"/>
                </w:tcPr>
                <w:p w14:paraId="0FED53E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排放口类型</w:t>
                  </w:r>
                </w:p>
              </w:tc>
              <w:tc>
                <w:tcPr>
                  <w:tcW w:w="1794" w:type="pct"/>
                  <w:vAlign w:val="center"/>
                </w:tcPr>
                <w:p w14:paraId="28F88AD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监测项目</w:t>
                  </w:r>
                </w:p>
              </w:tc>
              <w:tc>
                <w:tcPr>
                  <w:tcW w:w="547" w:type="pct"/>
                  <w:vAlign w:val="center"/>
                </w:tcPr>
                <w:p w14:paraId="532D7A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监测频率</w:t>
                  </w:r>
                </w:p>
              </w:tc>
              <w:tc>
                <w:tcPr>
                  <w:tcW w:w="1385" w:type="pct"/>
                  <w:vAlign w:val="center"/>
                </w:tcPr>
                <w:p w14:paraId="212DAB4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依据</w:t>
                  </w:r>
                </w:p>
              </w:tc>
            </w:tr>
            <w:tr w14:paraId="1D3D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36" w:type="pct"/>
                  <w:vMerge w:val="restart"/>
                  <w:vAlign w:val="center"/>
                </w:tcPr>
                <w:p w14:paraId="16DC2ACD">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highlight w:val="none"/>
                      <w:lang w:eastAsia="zh-CN"/>
                    </w:rPr>
                  </w:pPr>
                  <w:r>
                    <w:rPr>
                      <w:rFonts w:hint="eastAsia" w:cs="Times New Roman"/>
                      <w:color w:val="auto"/>
                      <w:kern w:val="2"/>
                      <w:sz w:val="21"/>
                      <w:szCs w:val="21"/>
                      <w:highlight w:val="none"/>
                      <w:lang w:eastAsia="zh-CN"/>
                    </w:rPr>
                    <w:t>DA00</w:t>
                  </w:r>
                  <w:r>
                    <w:rPr>
                      <w:rFonts w:hint="eastAsia" w:cs="Times New Roman"/>
                      <w:color w:val="auto"/>
                      <w:kern w:val="2"/>
                      <w:sz w:val="21"/>
                      <w:szCs w:val="21"/>
                      <w:highlight w:val="none"/>
                      <w:lang w:val="en-US" w:eastAsia="zh-CN"/>
                    </w:rPr>
                    <w:t>1</w:t>
                  </w:r>
                </w:p>
              </w:tc>
              <w:tc>
                <w:tcPr>
                  <w:tcW w:w="635" w:type="pct"/>
                  <w:vMerge w:val="restart"/>
                  <w:vAlign w:val="center"/>
                </w:tcPr>
                <w:p w14:paraId="38C1477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cs="Times New Roman"/>
                      <w:color w:val="auto"/>
                      <w:kern w:val="0"/>
                      <w:sz w:val="21"/>
                      <w:szCs w:val="21"/>
                      <w:highlight w:val="none"/>
                      <w:lang w:val="en-US" w:eastAsia="zh-CN"/>
                    </w:rPr>
                    <w:t>主要</w:t>
                  </w:r>
                  <w:r>
                    <w:rPr>
                      <w:rFonts w:hint="default" w:ascii="Times New Roman" w:hAnsi="Times New Roman" w:eastAsia="宋体" w:cs="Times New Roman"/>
                      <w:color w:val="auto"/>
                      <w:kern w:val="0"/>
                      <w:sz w:val="21"/>
                      <w:szCs w:val="21"/>
                      <w:highlight w:val="none"/>
                    </w:rPr>
                    <w:t>排放口</w:t>
                  </w:r>
                </w:p>
              </w:tc>
              <w:tc>
                <w:tcPr>
                  <w:tcW w:w="1794" w:type="pct"/>
                  <w:vAlign w:val="center"/>
                </w:tcPr>
                <w:p w14:paraId="4B157D06">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rPr>
                    <w:t>颗粒物、非甲烷总烃、</w:t>
                  </w:r>
                  <w:r>
                    <w:rPr>
                      <w:rFonts w:hint="default" w:ascii="Times New Roman" w:hAnsi="Times New Roman" w:eastAsia="宋体" w:cs="Times New Roman"/>
                      <w:color w:val="auto"/>
                      <w:kern w:val="2"/>
                      <w:sz w:val="21"/>
                      <w:szCs w:val="21"/>
                      <w:highlight w:val="none"/>
                      <w:lang w:val="en-US" w:eastAsia="zh-CN"/>
                    </w:rPr>
                    <w:t>苯系物</w:t>
                  </w:r>
                </w:p>
              </w:tc>
              <w:tc>
                <w:tcPr>
                  <w:tcW w:w="547" w:type="pct"/>
                  <w:vAlign w:val="center"/>
                </w:tcPr>
                <w:p w14:paraId="078B19D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restart"/>
                  <w:vAlign w:val="center"/>
                </w:tcPr>
                <w:p w14:paraId="4EEF144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z w:val="21"/>
                      <w:szCs w:val="21"/>
                      <w:highlight w:val="none"/>
                      <w:lang w:bidi="ar"/>
                    </w:rPr>
                    <w:t>《排污单位自行监测技术指南总则》（HJ819-2017）表1与</w:t>
                  </w:r>
                  <w:r>
                    <w:rPr>
                      <w:rFonts w:hint="default" w:ascii="Times New Roman" w:hAnsi="Times New Roman" w:eastAsia="宋体" w:cs="Times New Roman"/>
                      <w:color w:val="auto"/>
                      <w:spacing w:val="-2"/>
                      <w:sz w:val="21"/>
                      <w:szCs w:val="21"/>
                      <w:highlight w:val="none"/>
                    </w:rPr>
                    <w:t>《排污单位自行监测技术指南 涂装》（HJ1086-2020）表2较严值</w:t>
                  </w:r>
                </w:p>
              </w:tc>
            </w:tr>
            <w:tr w14:paraId="16B9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pct"/>
                  <w:vMerge w:val="continue"/>
                  <w:vAlign w:val="center"/>
                </w:tcPr>
                <w:p w14:paraId="59E0868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635" w:type="pct"/>
                  <w:vMerge w:val="continue"/>
                  <w:vAlign w:val="center"/>
                </w:tcPr>
                <w:p w14:paraId="0F5EFD2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1794" w:type="pct"/>
                  <w:vAlign w:val="center"/>
                </w:tcPr>
                <w:p w14:paraId="0CDB5D4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臭气浓度</w:t>
                  </w:r>
                </w:p>
              </w:tc>
              <w:tc>
                <w:tcPr>
                  <w:tcW w:w="547" w:type="pct"/>
                  <w:vAlign w:val="center"/>
                </w:tcPr>
                <w:p w14:paraId="1C239E3B">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4A2D727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3432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restart"/>
                  <w:vAlign w:val="center"/>
                </w:tcPr>
                <w:p w14:paraId="79FF19B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DA002</w:t>
                  </w:r>
                </w:p>
              </w:tc>
              <w:tc>
                <w:tcPr>
                  <w:tcW w:w="635" w:type="pct"/>
                  <w:vMerge w:val="restart"/>
                  <w:vAlign w:val="center"/>
                </w:tcPr>
                <w:p w14:paraId="7F310D4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主要排放口</w:t>
                  </w:r>
                </w:p>
              </w:tc>
              <w:tc>
                <w:tcPr>
                  <w:tcW w:w="1794" w:type="pct"/>
                  <w:vAlign w:val="center"/>
                </w:tcPr>
                <w:p w14:paraId="2E90265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颗粒物、</w:t>
                  </w:r>
                  <w:r>
                    <w:rPr>
                      <w:rFonts w:hint="default" w:ascii="Times New Roman" w:hAnsi="Times New Roman" w:eastAsia="宋体" w:cs="Times New Roman"/>
                      <w:color w:val="auto"/>
                      <w:kern w:val="2"/>
                      <w:sz w:val="21"/>
                      <w:szCs w:val="21"/>
                      <w:highlight w:val="none"/>
                    </w:rPr>
                    <w:t>非甲烷总烃</w:t>
                  </w:r>
                  <w:r>
                    <w:rPr>
                      <w:rFonts w:hint="eastAsia" w:ascii="Times New Roman" w:cs="Times New Roman"/>
                      <w:color w:val="auto"/>
                      <w:kern w:val="2"/>
                      <w:sz w:val="21"/>
                      <w:szCs w:val="21"/>
                      <w:highlight w:val="none"/>
                      <w:lang w:eastAsia="zh-CN"/>
                    </w:rPr>
                    <w:t>、</w:t>
                  </w:r>
                  <w:r>
                    <w:rPr>
                      <w:rFonts w:hint="eastAsia" w:ascii="Times New Roman" w:cs="Times New Roman"/>
                      <w:color w:val="auto"/>
                      <w:kern w:val="2"/>
                      <w:sz w:val="21"/>
                      <w:szCs w:val="21"/>
                      <w:highlight w:val="none"/>
                      <w:lang w:val="en-US" w:eastAsia="zh-CN"/>
                    </w:rPr>
                    <w:t>苯系物</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spacing w:val="-2"/>
                      <w:sz w:val="21"/>
                      <w:szCs w:val="21"/>
                      <w:highlight w:val="none"/>
                    </w:rPr>
                    <w:t>SO</w:t>
                  </w:r>
                  <w:r>
                    <w:rPr>
                      <w:rFonts w:hint="default" w:ascii="Times New Roman" w:hAnsi="Times New Roman" w:eastAsia="宋体" w:cs="Times New Roman"/>
                      <w:color w:val="auto"/>
                      <w:spacing w:val="-2"/>
                      <w:sz w:val="21"/>
                      <w:szCs w:val="21"/>
                      <w:highlight w:val="none"/>
                      <w:vertAlign w:val="subscript"/>
                    </w:rPr>
                    <w:t>2</w:t>
                  </w:r>
                  <w:r>
                    <w:rPr>
                      <w:rFonts w:hint="default" w:ascii="Times New Roman" w:hAnsi="Times New Roman" w:eastAsia="宋体" w:cs="Times New Roman"/>
                      <w:color w:val="auto"/>
                      <w:spacing w:val="-2"/>
                      <w:sz w:val="21"/>
                      <w:szCs w:val="21"/>
                      <w:highlight w:val="none"/>
                    </w:rPr>
                    <w:t>、NOx</w:t>
                  </w:r>
                </w:p>
              </w:tc>
              <w:tc>
                <w:tcPr>
                  <w:tcW w:w="547" w:type="pct"/>
                  <w:vAlign w:val="center"/>
                </w:tcPr>
                <w:p w14:paraId="5B0C880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continue"/>
                  <w:vAlign w:val="center"/>
                </w:tcPr>
                <w:p w14:paraId="6CE8188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124D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continue"/>
                  <w:vAlign w:val="center"/>
                </w:tcPr>
                <w:p w14:paraId="6DE9DFD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635" w:type="pct"/>
                  <w:vMerge w:val="continue"/>
                  <w:vAlign w:val="center"/>
                </w:tcPr>
                <w:p w14:paraId="15AC976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1794" w:type="pct"/>
                  <w:vAlign w:val="center"/>
                </w:tcPr>
                <w:p w14:paraId="1F7222A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rPr>
                    <w:t>臭气浓度</w:t>
                  </w:r>
                  <w:r>
                    <w:rPr>
                      <w:rFonts w:hint="eastAsia" w:ascii="Times New Roman" w:cs="Times New Roman"/>
                      <w:color w:val="auto"/>
                      <w:spacing w:val="-2"/>
                      <w:sz w:val="21"/>
                      <w:szCs w:val="21"/>
                      <w:highlight w:val="none"/>
                      <w:lang w:eastAsia="zh-CN"/>
                    </w:rPr>
                    <w:t>、</w:t>
                  </w:r>
                  <w:r>
                    <w:rPr>
                      <w:rFonts w:hint="eastAsia" w:ascii="Times New Roman" w:cs="Times New Roman"/>
                      <w:color w:val="auto"/>
                      <w:spacing w:val="-2"/>
                      <w:sz w:val="21"/>
                      <w:szCs w:val="21"/>
                      <w:highlight w:val="none"/>
                      <w:lang w:val="en-US" w:eastAsia="zh-CN"/>
                    </w:rPr>
                    <w:t>烟气黑度</w:t>
                  </w:r>
                </w:p>
              </w:tc>
              <w:tc>
                <w:tcPr>
                  <w:tcW w:w="547" w:type="pct"/>
                  <w:vAlign w:val="center"/>
                </w:tcPr>
                <w:p w14:paraId="404C783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47AE83F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0039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restart"/>
                  <w:vAlign w:val="center"/>
                </w:tcPr>
                <w:p w14:paraId="6FF3619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DA003</w:t>
                  </w:r>
                </w:p>
              </w:tc>
              <w:tc>
                <w:tcPr>
                  <w:tcW w:w="635" w:type="pct"/>
                  <w:vMerge w:val="restart"/>
                  <w:vAlign w:val="center"/>
                </w:tcPr>
                <w:p w14:paraId="24A11D1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1794" w:type="pct"/>
                  <w:vAlign w:val="center"/>
                </w:tcPr>
                <w:p w14:paraId="63F2CE8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eastAsia" w:ascii="Times New Roman" w:eastAsia="宋体" w:cs="Times New Roman"/>
                      <w:color w:val="auto"/>
                      <w:spacing w:val="-2"/>
                      <w:sz w:val="21"/>
                      <w:szCs w:val="21"/>
                      <w:highlight w:val="none"/>
                      <w:lang w:val="en-US" w:eastAsia="zh-CN"/>
                    </w:rPr>
                    <w:t>氟化物、颗粒物、</w:t>
                  </w:r>
                  <w:r>
                    <w:rPr>
                      <w:rFonts w:hint="default" w:ascii="Times New Roman" w:hAnsi="Times New Roman" w:eastAsia="宋体" w:cs="Times New Roman"/>
                      <w:color w:val="auto"/>
                      <w:spacing w:val="-2"/>
                      <w:sz w:val="21"/>
                      <w:szCs w:val="21"/>
                      <w:highlight w:val="none"/>
                    </w:rPr>
                    <w:t>SO</w:t>
                  </w:r>
                  <w:r>
                    <w:rPr>
                      <w:rFonts w:hint="default" w:ascii="Times New Roman" w:hAnsi="Times New Roman" w:eastAsia="宋体" w:cs="Times New Roman"/>
                      <w:color w:val="auto"/>
                      <w:spacing w:val="-2"/>
                      <w:sz w:val="21"/>
                      <w:szCs w:val="21"/>
                      <w:highlight w:val="none"/>
                      <w:vertAlign w:val="subscript"/>
                    </w:rPr>
                    <w:t>2</w:t>
                  </w:r>
                  <w:r>
                    <w:rPr>
                      <w:rFonts w:hint="default" w:ascii="Times New Roman" w:hAnsi="Times New Roman" w:eastAsia="宋体" w:cs="Times New Roman"/>
                      <w:color w:val="auto"/>
                      <w:spacing w:val="-2"/>
                      <w:sz w:val="21"/>
                      <w:szCs w:val="21"/>
                      <w:highlight w:val="none"/>
                    </w:rPr>
                    <w:t>、NOx</w:t>
                  </w:r>
                </w:p>
              </w:tc>
              <w:tc>
                <w:tcPr>
                  <w:tcW w:w="1405" w:type="dxa"/>
                  <w:vAlign w:val="center"/>
                </w:tcPr>
                <w:p w14:paraId="0670723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continue"/>
                  <w:vAlign w:val="center"/>
                </w:tcPr>
                <w:p w14:paraId="6D60189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0B5C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continue"/>
                  <w:vAlign w:val="center"/>
                </w:tcPr>
                <w:p w14:paraId="61F6715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35" w:type="pct"/>
                  <w:vMerge w:val="continue"/>
                  <w:vAlign w:val="center"/>
                </w:tcPr>
                <w:p w14:paraId="5659EEA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94" w:type="pct"/>
                  <w:vAlign w:val="center"/>
                </w:tcPr>
                <w:p w14:paraId="0DB6551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烟气黑度</w:t>
                  </w:r>
                </w:p>
              </w:tc>
              <w:tc>
                <w:tcPr>
                  <w:tcW w:w="1405" w:type="dxa"/>
                  <w:vAlign w:val="center"/>
                </w:tcPr>
                <w:p w14:paraId="575A6D4D">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2ABEB63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642D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Align w:val="center"/>
                </w:tcPr>
                <w:p w14:paraId="4333EC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DA004</w:t>
                  </w:r>
                </w:p>
              </w:tc>
              <w:tc>
                <w:tcPr>
                  <w:tcW w:w="635" w:type="pct"/>
                  <w:vAlign w:val="center"/>
                </w:tcPr>
                <w:p w14:paraId="3CF1524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1794" w:type="pct"/>
                  <w:vAlign w:val="center"/>
                </w:tcPr>
                <w:p w14:paraId="1863A02C">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油烟</w:t>
                  </w:r>
                </w:p>
              </w:tc>
              <w:tc>
                <w:tcPr>
                  <w:tcW w:w="547" w:type="pct"/>
                  <w:vAlign w:val="center"/>
                </w:tcPr>
                <w:p w14:paraId="2720191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1次/年</w:t>
                  </w:r>
                </w:p>
              </w:tc>
              <w:tc>
                <w:tcPr>
                  <w:tcW w:w="1385" w:type="pct"/>
                  <w:vMerge w:val="continue"/>
                  <w:vAlign w:val="center"/>
                </w:tcPr>
                <w:p w14:paraId="5F6C31D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4AB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6" w:type="pct"/>
                  <w:vAlign w:val="center"/>
                </w:tcPr>
                <w:p w14:paraId="11FE61C6">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厂界</w:t>
                  </w:r>
                </w:p>
              </w:tc>
              <w:tc>
                <w:tcPr>
                  <w:tcW w:w="635" w:type="pct"/>
                  <w:vAlign w:val="center"/>
                </w:tcPr>
                <w:p w14:paraId="61274A2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c>
                <w:tcPr>
                  <w:tcW w:w="1794" w:type="pct"/>
                  <w:vAlign w:val="center"/>
                </w:tcPr>
                <w:p w14:paraId="75D1FBC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rPr>
                    <w:t>颗粒物、苯系物、臭气浓度</w:t>
                  </w:r>
                  <w:r>
                    <w:rPr>
                      <w:rFonts w:hint="eastAsia" w:ascii="Times New Roman" w:cs="Times New Roman"/>
                      <w:color w:val="auto"/>
                      <w:spacing w:val="-2"/>
                      <w:sz w:val="21"/>
                      <w:szCs w:val="21"/>
                      <w:highlight w:val="none"/>
                      <w:lang w:eastAsia="zh-CN"/>
                    </w:rPr>
                    <w:t>、</w:t>
                  </w:r>
                  <w:r>
                    <w:rPr>
                      <w:rFonts w:hint="eastAsia" w:ascii="Times New Roman" w:cs="Times New Roman"/>
                      <w:color w:val="auto"/>
                      <w:spacing w:val="-2"/>
                      <w:sz w:val="21"/>
                      <w:szCs w:val="21"/>
                      <w:highlight w:val="none"/>
                      <w:lang w:val="en-US" w:eastAsia="zh-CN"/>
                    </w:rPr>
                    <w:t>氟化物</w:t>
                  </w:r>
                </w:p>
              </w:tc>
              <w:tc>
                <w:tcPr>
                  <w:tcW w:w="547" w:type="pct"/>
                  <w:vAlign w:val="center"/>
                </w:tcPr>
                <w:p w14:paraId="0BCDD8F4">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1次/半年</w:t>
                  </w:r>
                </w:p>
              </w:tc>
              <w:tc>
                <w:tcPr>
                  <w:tcW w:w="1385" w:type="pct"/>
                  <w:vAlign w:val="center"/>
                </w:tcPr>
                <w:p w14:paraId="005BE55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《排污单位自行监测技术指南 涂装》（HJ1086-2020）表3</w:t>
                  </w:r>
                </w:p>
              </w:tc>
            </w:tr>
            <w:tr w14:paraId="073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36" w:type="pct"/>
                  <w:vAlign w:val="center"/>
                </w:tcPr>
                <w:p w14:paraId="2FE24EE1">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涂装工段附近</w:t>
                  </w:r>
                </w:p>
              </w:tc>
              <w:tc>
                <w:tcPr>
                  <w:tcW w:w="635" w:type="pct"/>
                  <w:vAlign w:val="center"/>
                </w:tcPr>
                <w:p w14:paraId="6552705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rPr>
                    <w:t>/</w:t>
                  </w:r>
                </w:p>
              </w:tc>
              <w:tc>
                <w:tcPr>
                  <w:tcW w:w="1794" w:type="pct"/>
                  <w:vAlign w:val="center"/>
                </w:tcPr>
                <w:p w14:paraId="0022278B">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非甲烷总烃、颗粒物、苯系物、臭气浓度</w:t>
                  </w:r>
                </w:p>
              </w:tc>
              <w:tc>
                <w:tcPr>
                  <w:tcW w:w="547" w:type="pct"/>
                  <w:vAlign w:val="center"/>
                </w:tcPr>
                <w:p w14:paraId="2BC6EC6E">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1次/季度</w:t>
                  </w:r>
                </w:p>
              </w:tc>
              <w:tc>
                <w:tcPr>
                  <w:tcW w:w="1385" w:type="pct"/>
                  <w:vAlign w:val="center"/>
                </w:tcPr>
                <w:p w14:paraId="63D7D4FD">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《排污单位自行监测技术指南 涂装》（HJ1086-2020）表3</w:t>
                  </w:r>
                </w:p>
              </w:tc>
            </w:tr>
          </w:tbl>
          <w:p w14:paraId="47BFCEA3">
            <w:pPr>
              <w:widowControl w:val="0"/>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0"/>
                <w:sz w:val="24"/>
                <w:szCs w:val="24"/>
                <w:highlight w:val="none"/>
                <w:lang w:eastAsia="zh-CN"/>
              </w:rPr>
            </w:pPr>
          </w:p>
        </w:tc>
      </w:tr>
    </w:tbl>
    <w:p w14:paraId="0AE8F2DB">
      <w:pPr>
        <w:pStyle w:val="76"/>
        <w:rPr>
          <w:rFonts w:hint="eastAsia"/>
          <w:color w:val="auto"/>
          <w:highlight w:val="none"/>
        </w:rPr>
        <w:sectPr>
          <w:pgSz w:w="16840" w:h="11907" w:orient="landscape"/>
          <w:pgMar w:top="1417" w:right="1587" w:bottom="136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8627"/>
      </w:tblGrid>
      <w:tr w14:paraId="1C61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9" w:hRule="atLeast"/>
        </w:trPr>
        <w:tc>
          <w:tcPr>
            <w:tcW w:w="434" w:type="dxa"/>
            <w:noWrap w:val="0"/>
            <w:vAlign w:val="top"/>
          </w:tcPr>
          <w:p w14:paraId="418FC7EC">
            <w:pPr>
              <w:pStyle w:val="76"/>
              <w:rPr>
                <w:rFonts w:hint="default" w:ascii="Times New Roman" w:hAnsi="Times New Roman" w:cs="Times New Roman"/>
                <w:color w:val="auto"/>
                <w:highlight w:val="none"/>
                <w:vertAlign w:val="baseline"/>
              </w:rPr>
            </w:pPr>
          </w:p>
        </w:tc>
        <w:tc>
          <w:tcPr>
            <w:tcW w:w="8627" w:type="dxa"/>
            <w:noWrap w:val="0"/>
            <w:vAlign w:val="top"/>
          </w:tcPr>
          <w:p w14:paraId="19BDB98F">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p>
          <w:p w14:paraId="502D52E9">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auto"/>
                <w:spacing w:val="-4"/>
                <w:kern w:val="2"/>
                <w:sz w:val="24"/>
                <w:szCs w:val="24"/>
                <w:highlight w:val="none"/>
                <w:lang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2</w:t>
            </w:r>
            <w:r>
              <w:rPr>
                <w:rFonts w:hint="default" w:ascii="Times New Roman" w:hAnsi="Times New Roman" w:eastAsia="宋体" w:cs="Times New Roman"/>
                <w:b/>
                <w:bCs/>
                <w:snapToGrid/>
                <w:color w:val="auto"/>
                <w:spacing w:val="-4"/>
                <w:kern w:val="2"/>
                <w:sz w:val="24"/>
                <w:szCs w:val="24"/>
                <w:highlight w:val="none"/>
                <w:lang w:eastAsia="zh-CN"/>
              </w:rPr>
              <w:t>废气源强核算过程</w:t>
            </w:r>
          </w:p>
          <w:p w14:paraId="4884F660">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snapToGrid/>
                <w:color w:val="auto"/>
                <w:spacing w:val="-4"/>
                <w:kern w:val="2"/>
                <w:sz w:val="24"/>
                <w:szCs w:val="24"/>
                <w:highlight w:val="none"/>
                <w:lang w:val="en-US"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2</w:t>
            </w:r>
            <w:r>
              <w:rPr>
                <w:rFonts w:hint="default" w:ascii="Times New Roman" w:hAnsi="Times New Roman" w:eastAsia="宋体" w:cs="Times New Roman"/>
                <w:b/>
                <w:bCs/>
                <w:snapToGrid/>
                <w:color w:val="auto"/>
                <w:spacing w:val="-4"/>
                <w:kern w:val="2"/>
                <w:sz w:val="24"/>
                <w:szCs w:val="24"/>
                <w:highlight w:val="none"/>
                <w:lang w:eastAsia="zh-CN"/>
              </w:rPr>
              <w:t>.1</w:t>
            </w:r>
            <w:r>
              <w:rPr>
                <w:rFonts w:hint="default" w:ascii="Times New Roman" w:hAnsi="Times New Roman" w:eastAsia="宋体" w:cs="Times New Roman"/>
                <w:b/>
                <w:bCs/>
                <w:snapToGrid/>
                <w:color w:val="auto"/>
                <w:spacing w:val="-4"/>
                <w:kern w:val="2"/>
                <w:sz w:val="24"/>
                <w:szCs w:val="24"/>
                <w:highlight w:val="none"/>
                <w:lang w:val="en-US" w:eastAsia="zh-CN"/>
              </w:rPr>
              <w:t>机加工粉尘</w:t>
            </w:r>
          </w:p>
          <w:p w14:paraId="56F1241A">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auto"/>
                <w:spacing w:val="-4"/>
                <w:kern w:val="2"/>
                <w:sz w:val="24"/>
                <w:szCs w:val="24"/>
                <w:highlight w:val="none"/>
                <w:lang w:val="en-US" w:eastAsia="zh-CN"/>
              </w:rPr>
            </w:pPr>
            <w:r>
              <w:rPr>
                <w:rFonts w:hint="default" w:ascii="Times New Roman" w:hAnsi="Times New Roman" w:eastAsia="宋体" w:cs="Times New Roman"/>
                <w:b/>
                <w:bCs/>
                <w:snapToGrid/>
                <w:color w:val="auto"/>
                <w:spacing w:val="-4"/>
                <w:kern w:val="2"/>
                <w:sz w:val="24"/>
                <w:szCs w:val="24"/>
                <w:highlight w:val="none"/>
                <w:lang w:eastAsia="zh-CN"/>
              </w:rPr>
              <w:t>（</w:t>
            </w:r>
            <w:r>
              <w:rPr>
                <w:rFonts w:hint="default" w:ascii="Times New Roman" w:hAnsi="Times New Roman" w:eastAsia="宋体"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default" w:ascii="Times New Roman" w:hAnsi="Times New Roman" w:eastAsia="宋体" w:cs="Times New Roman"/>
                <w:b/>
                <w:bCs/>
                <w:snapToGrid/>
                <w:color w:val="auto"/>
                <w:spacing w:val="-4"/>
                <w:kern w:val="2"/>
                <w:sz w:val="24"/>
                <w:szCs w:val="24"/>
                <w:highlight w:val="none"/>
                <w:lang w:val="en-US" w:eastAsia="zh-CN"/>
              </w:rPr>
              <w:t>切割粉尘</w:t>
            </w:r>
          </w:p>
          <w:p w14:paraId="5C1BD6CB">
            <w:pPr>
              <w:widowControl w:val="0"/>
              <w:kinsoku/>
              <w:autoSpaceDE/>
              <w:autoSpaceDN/>
              <w:adjustRightInd/>
              <w:snapToGrid/>
              <w:spacing w:line="360" w:lineRule="auto"/>
              <w:ind w:firstLine="464"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spacing w:val="-4"/>
                <w:kern w:val="2"/>
                <w:sz w:val="24"/>
                <w:szCs w:val="24"/>
                <w:highlight w:val="none"/>
                <w:lang w:val="en-US" w:eastAsia="zh-CN"/>
              </w:rPr>
              <w:t>项目</w:t>
            </w:r>
            <w:r>
              <w:rPr>
                <w:rFonts w:hint="default" w:ascii="Times New Roman" w:hAnsi="Times New Roman" w:eastAsia="宋体" w:cs="Times New Roman"/>
                <w:snapToGrid/>
                <w:color w:val="auto"/>
                <w:spacing w:val="-4"/>
                <w:kern w:val="2"/>
                <w:sz w:val="24"/>
                <w:szCs w:val="24"/>
                <w:highlight w:val="none"/>
                <w:lang w:eastAsia="zh-CN"/>
              </w:rPr>
              <w:t>使用</w:t>
            </w:r>
            <w:r>
              <w:rPr>
                <w:rFonts w:hint="default" w:ascii="Times New Roman" w:hAnsi="Times New Roman" w:eastAsia="宋体" w:cs="Times New Roman"/>
                <w:snapToGrid/>
                <w:color w:val="auto"/>
                <w:spacing w:val="-4"/>
                <w:kern w:val="2"/>
                <w:sz w:val="24"/>
                <w:szCs w:val="24"/>
                <w:highlight w:val="none"/>
                <w:lang w:val="en-US" w:eastAsia="zh-CN"/>
              </w:rPr>
              <w:t>激光切割生产线、数控切割机</w:t>
            </w:r>
            <w:r>
              <w:rPr>
                <w:rFonts w:hint="default" w:ascii="Times New Roman" w:hAnsi="Times New Roman" w:eastAsia="宋体" w:cs="Times New Roman"/>
                <w:snapToGrid/>
                <w:color w:val="auto"/>
                <w:spacing w:val="-4"/>
                <w:kern w:val="2"/>
                <w:sz w:val="24"/>
                <w:szCs w:val="24"/>
                <w:highlight w:val="none"/>
                <w:lang w:eastAsia="zh-CN"/>
              </w:rPr>
              <w:t>对</w:t>
            </w:r>
            <w:r>
              <w:rPr>
                <w:rFonts w:hint="default" w:ascii="Times New Roman" w:hAnsi="Times New Roman" w:eastAsia="宋体" w:cs="Times New Roman"/>
                <w:snapToGrid/>
                <w:color w:val="auto"/>
                <w:spacing w:val="-4"/>
                <w:kern w:val="2"/>
                <w:sz w:val="24"/>
                <w:szCs w:val="24"/>
                <w:highlight w:val="none"/>
                <w:lang w:val="en-US" w:eastAsia="zh-CN"/>
              </w:rPr>
              <w:t>铝卷</w:t>
            </w:r>
            <w:r>
              <w:rPr>
                <w:rFonts w:hint="default" w:ascii="Times New Roman" w:hAnsi="Times New Roman" w:eastAsia="宋体" w:cs="Times New Roman"/>
                <w:snapToGrid/>
                <w:color w:val="auto"/>
                <w:spacing w:val="-4"/>
                <w:kern w:val="2"/>
                <w:sz w:val="24"/>
                <w:szCs w:val="24"/>
                <w:highlight w:val="none"/>
                <w:lang w:eastAsia="zh-CN"/>
              </w:rPr>
              <w:t>板进行</w:t>
            </w:r>
            <w:r>
              <w:rPr>
                <w:rFonts w:hint="default" w:ascii="Times New Roman" w:hAnsi="Times New Roman" w:eastAsia="宋体" w:cs="Times New Roman"/>
                <w:snapToGrid/>
                <w:color w:val="auto"/>
                <w:spacing w:val="-4"/>
                <w:kern w:val="2"/>
                <w:sz w:val="24"/>
                <w:szCs w:val="24"/>
                <w:highlight w:val="none"/>
                <w:lang w:val="en-US" w:eastAsia="zh-CN"/>
              </w:rPr>
              <w:t>开料</w:t>
            </w:r>
            <w:r>
              <w:rPr>
                <w:rFonts w:hint="default" w:ascii="Times New Roman" w:hAnsi="Times New Roman" w:eastAsia="宋体" w:cs="Times New Roman"/>
                <w:snapToGrid/>
                <w:color w:val="auto"/>
                <w:spacing w:val="-4"/>
                <w:kern w:val="2"/>
                <w:sz w:val="24"/>
                <w:szCs w:val="24"/>
                <w:highlight w:val="none"/>
                <w:lang w:eastAsia="zh-CN"/>
              </w:rPr>
              <w:t>，切割过程会产生粉尘，本项目切割</w:t>
            </w:r>
            <w:r>
              <w:rPr>
                <w:rFonts w:hint="default" w:ascii="Times New Roman" w:hAnsi="Times New Roman" w:eastAsia="宋体" w:cs="Times New Roman"/>
                <w:snapToGrid/>
                <w:color w:val="auto"/>
                <w:spacing w:val="-4"/>
                <w:kern w:val="2"/>
                <w:sz w:val="24"/>
                <w:szCs w:val="24"/>
                <w:highlight w:val="none"/>
                <w:lang w:val="en-US" w:eastAsia="zh-CN"/>
              </w:rPr>
              <w:t>铝卷8</w:t>
            </w:r>
            <w:r>
              <w:rPr>
                <w:rFonts w:hint="eastAsia" w:ascii="Times New Roman" w:hAnsi="Times New Roman" w:eastAsia="宋体" w:cs="Times New Roman"/>
                <w:snapToGrid/>
                <w:color w:val="auto"/>
                <w:spacing w:val="-4"/>
                <w:kern w:val="2"/>
                <w:sz w:val="24"/>
                <w:szCs w:val="24"/>
                <w:highlight w:val="none"/>
                <w:lang w:val="en-US" w:eastAsia="zh-CN"/>
              </w:rPr>
              <w:t>91</w:t>
            </w:r>
            <w:r>
              <w:rPr>
                <w:rFonts w:hint="default" w:ascii="Times New Roman" w:hAnsi="Times New Roman" w:eastAsia="宋体" w:cs="Times New Roman"/>
                <w:snapToGrid/>
                <w:color w:val="auto"/>
                <w:spacing w:val="-4"/>
                <w:kern w:val="2"/>
                <w:sz w:val="24"/>
                <w:szCs w:val="24"/>
                <w:highlight w:val="none"/>
                <w:lang w:eastAsia="zh-CN"/>
              </w:rPr>
              <w:t>0t/a，参考《排放源统计调查产排污核算方法和系数手册》—《33-37，431-434机械行业系数手册》中“04下料一钢板、铝板、铝合金板、其他金属材料-等离子切割工艺-颗粒物”的产污系数1.10kg/t原料计，则激光切割粉尘的产生量约为</w:t>
            </w:r>
            <w:r>
              <w:rPr>
                <w:rFonts w:hint="eastAsia" w:ascii="Times New Roman" w:hAnsi="Times New Roman" w:eastAsia="宋体" w:cs="Times New Roman"/>
                <w:snapToGrid/>
                <w:color w:val="auto"/>
                <w:spacing w:val="-4"/>
                <w:kern w:val="2"/>
                <w:sz w:val="24"/>
                <w:szCs w:val="24"/>
                <w:highlight w:val="none"/>
                <w:lang w:val="en-US" w:eastAsia="zh-CN"/>
              </w:rPr>
              <w:t>9.801</w:t>
            </w:r>
            <w:r>
              <w:rPr>
                <w:rFonts w:hint="default" w:ascii="Times New Roman" w:hAnsi="Times New Roman" w:eastAsia="宋体" w:cs="Times New Roman"/>
                <w:snapToGrid/>
                <w:color w:val="auto"/>
                <w:spacing w:val="-4"/>
                <w:kern w:val="2"/>
                <w:sz w:val="24"/>
                <w:szCs w:val="24"/>
                <w:highlight w:val="none"/>
                <w:lang w:eastAsia="zh-CN"/>
              </w:rPr>
              <w:t>t/a。由于金属粉尘比重较大，绝大部分</w:t>
            </w:r>
            <w:r>
              <w:rPr>
                <w:rFonts w:hint="eastAsia" w:cs="Times New Roman"/>
                <w:snapToGrid/>
                <w:color w:val="auto"/>
                <w:spacing w:val="-4"/>
                <w:kern w:val="2"/>
                <w:sz w:val="24"/>
                <w:szCs w:val="24"/>
                <w:highlight w:val="none"/>
                <w:lang w:eastAsia="zh-CN"/>
              </w:rPr>
              <w:t>迅速沉降到地面</w:t>
            </w:r>
            <w:r>
              <w:rPr>
                <w:rFonts w:hint="default" w:ascii="Times New Roman" w:hAnsi="Times New Roman" w:eastAsia="宋体" w:cs="Times New Roman"/>
                <w:snapToGrid/>
                <w:color w:val="auto"/>
                <w:spacing w:val="-4"/>
                <w:kern w:val="2"/>
                <w:sz w:val="24"/>
                <w:szCs w:val="24"/>
                <w:highlight w:val="none"/>
                <w:lang w:eastAsia="zh-CN"/>
              </w:rPr>
              <w:t>，参照《未纳入排污许可管理行业适用的排污系数、物料衡算方法（试行）》（原环境保护部公告2017年第81号）中“47锯材加工业”的系数，车间不装除尘设备的情况下，重力沉降法的效率为85%。金属比重大于木材，金属粉尘较木质粉尘更易沉降，沉降率按9</w:t>
            </w:r>
            <w:r>
              <w:rPr>
                <w:rFonts w:hint="default" w:ascii="Times New Roman" w:hAnsi="Times New Roman" w:eastAsia="宋体" w:cs="Times New Roman"/>
                <w:snapToGrid/>
                <w:color w:val="auto"/>
                <w:spacing w:val="-4"/>
                <w:kern w:val="2"/>
                <w:sz w:val="24"/>
                <w:szCs w:val="24"/>
                <w:highlight w:val="none"/>
                <w:lang w:val="en-US" w:eastAsia="zh-CN"/>
              </w:rPr>
              <w:t>5</w:t>
            </w:r>
            <w:r>
              <w:rPr>
                <w:rFonts w:hint="default" w:ascii="Times New Roman" w:hAnsi="Times New Roman" w:eastAsia="宋体" w:cs="Times New Roman"/>
                <w:snapToGrid/>
                <w:color w:val="auto"/>
                <w:spacing w:val="-4"/>
                <w:kern w:val="2"/>
                <w:sz w:val="24"/>
                <w:szCs w:val="24"/>
                <w:highlight w:val="none"/>
                <w:lang w:eastAsia="zh-CN"/>
              </w:rPr>
              <w:t>%计，仅</w:t>
            </w:r>
            <w:r>
              <w:rPr>
                <w:rFonts w:hint="default" w:ascii="Times New Roman" w:hAnsi="Times New Roman" w:eastAsia="宋体" w:cs="Times New Roman"/>
                <w:snapToGrid/>
                <w:color w:val="auto"/>
                <w:spacing w:val="-4"/>
                <w:kern w:val="2"/>
                <w:sz w:val="24"/>
                <w:szCs w:val="24"/>
                <w:highlight w:val="none"/>
                <w:lang w:val="en-US" w:eastAsia="zh-CN"/>
              </w:rPr>
              <w:t>5</w:t>
            </w:r>
            <w:r>
              <w:rPr>
                <w:rFonts w:hint="default" w:ascii="Times New Roman" w:hAnsi="Times New Roman" w:eastAsia="宋体" w:cs="Times New Roman"/>
                <w:snapToGrid/>
                <w:color w:val="auto"/>
                <w:spacing w:val="-4"/>
                <w:kern w:val="2"/>
                <w:sz w:val="24"/>
                <w:szCs w:val="24"/>
                <w:highlight w:val="none"/>
                <w:lang w:eastAsia="zh-CN"/>
              </w:rPr>
              <w:t>%</w:t>
            </w:r>
            <w:r>
              <w:rPr>
                <w:rFonts w:hint="eastAsia" w:cs="Times New Roman"/>
                <w:snapToGrid/>
                <w:color w:val="auto"/>
                <w:spacing w:val="-4"/>
                <w:kern w:val="2"/>
                <w:sz w:val="24"/>
                <w:szCs w:val="24"/>
                <w:highlight w:val="none"/>
                <w:lang w:eastAsia="zh-CN"/>
              </w:rPr>
              <w:t>。</w:t>
            </w:r>
            <w:r>
              <w:rPr>
                <w:rFonts w:hint="eastAsia" w:cs="Times New Roman"/>
                <w:snapToGrid/>
                <w:color w:val="auto"/>
                <w:spacing w:val="-4"/>
                <w:kern w:val="2"/>
                <w:sz w:val="24"/>
                <w:szCs w:val="24"/>
                <w:highlight w:val="none"/>
                <w:lang w:val="en-US" w:eastAsia="zh-CN"/>
              </w:rPr>
              <w:t>经沉降后</w:t>
            </w:r>
            <w:r>
              <w:rPr>
                <w:rFonts w:hint="default" w:ascii="Times New Roman" w:hAnsi="Times New Roman" w:eastAsia="宋体" w:cs="Times New Roman"/>
                <w:snapToGrid/>
                <w:color w:val="auto"/>
                <w:spacing w:val="-4"/>
                <w:kern w:val="2"/>
                <w:sz w:val="24"/>
                <w:szCs w:val="24"/>
                <w:highlight w:val="none"/>
                <w:lang w:eastAsia="zh-CN"/>
              </w:rPr>
              <w:t>无组织形式在车间内排放，则切割粉尘</w:t>
            </w:r>
            <w:r>
              <w:rPr>
                <w:rFonts w:hint="default" w:ascii="Times New Roman" w:hAnsi="Times New Roman" w:eastAsia="宋体" w:cs="Times New Roman"/>
                <w:snapToGrid/>
                <w:color w:val="auto"/>
                <w:spacing w:val="-4"/>
                <w:kern w:val="2"/>
                <w:sz w:val="24"/>
                <w:szCs w:val="24"/>
                <w:highlight w:val="none"/>
                <w:lang w:val="en-US" w:eastAsia="zh-CN"/>
              </w:rPr>
              <w:t>沉降量</w:t>
            </w:r>
            <w:r>
              <w:rPr>
                <w:rFonts w:hint="eastAsia" w:ascii="Times New Roman" w:hAnsi="Times New Roman" w:eastAsia="宋体" w:cs="Times New Roman"/>
                <w:snapToGrid/>
                <w:color w:val="auto"/>
                <w:spacing w:val="-4"/>
                <w:kern w:val="2"/>
                <w:sz w:val="24"/>
                <w:szCs w:val="24"/>
                <w:highlight w:val="none"/>
                <w:lang w:val="en-US" w:eastAsia="zh-CN"/>
              </w:rPr>
              <w:t>=9.801t/a×95%≈9.310</w:t>
            </w:r>
            <w:r>
              <w:rPr>
                <w:rFonts w:hint="default" w:ascii="Times New Roman" w:hAnsi="Times New Roman" w:eastAsia="宋体" w:cs="Times New Roman"/>
                <w:snapToGrid/>
                <w:color w:val="auto"/>
                <w:spacing w:val="-4"/>
                <w:kern w:val="2"/>
                <w:sz w:val="24"/>
                <w:szCs w:val="24"/>
                <w:highlight w:val="none"/>
                <w:lang w:eastAsia="zh-CN"/>
              </w:rPr>
              <w:t>t/a，无组织</w:t>
            </w:r>
            <w:r>
              <w:rPr>
                <w:rFonts w:hint="eastAsia" w:cs="Times New Roman"/>
                <w:snapToGrid/>
                <w:color w:val="auto"/>
                <w:spacing w:val="-4"/>
                <w:kern w:val="2"/>
                <w:sz w:val="24"/>
                <w:szCs w:val="24"/>
                <w:highlight w:val="none"/>
                <w:lang w:val="en-US" w:eastAsia="zh-CN"/>
              </w:rPr>
              <w:t>产生</w:t>
            </w:r>
            <w:r>
              <w:rPr>
                <w:rFonts w:hint="default" w:ascii="Times New Roman" w:hAnsi="Times New Roman" w:eastAsia="宋体" w:cs="Times New Roman"/>
                <w:snapToGrid/>
                <w:color w:val="auto"/>
                <w:spacing w:val="-4"/>
                <w:kern w:val="2"/>
                <w:sz w:val="24"/>
                <w:szCs w:val="24"/>
                <w:highlight w:val="none"/>
                <w:lang w:eastAsia="zh-CN"/>
              </w:rPr>
              <w:t>量</w:t>
            </w:r>
            <w:r>
              <w:rPr>
                <w:rFonts w:hint="eastAsia" w:ascii="Times New Roman" w:hAnsi="Times New Roman" w:eastAsia="宋体" w:cs="Times New Roman"/>
                <w:snapToGrid/>
                <w:color w:val="auto"/>
                <w:spacing w:val="-4"/>
                <w:kern w:val="2"/>
                <w:sz w:val="24"/>
                <w:szCs w:val="24"/>
                <w:highlight w:val="none"/>
                <w:lang w:val="en-US" w:eastAsia="zh-CN"/>
              </w:rPr>
              <w:t>=9.801t/a</w:t>
            </w:r>
            <w:r>
              <w:rPr>
                <w:rFonts w:hint="eastAsia" w:cs="Times New Roman"/>
                <w:snapToGrid/>
                <w:color w:val="auto"/>
                <w:spacing w:val="-4"/>
                <w:kern w:val="2"/>
                <w:sz w:val="24"/>
                <w:szCs w:val="24"/>
                <w:highlight w:val="none"/>
                <w:lang w:val="en-US" w:eastAsia="zh-CN"/>
              </w:rPr>
              <w:t>×5%≈</w:t>
            </w:r>
            <w:r>
              <w:rPr>
                <w:rFonts w:hint="eastAsia" w:ascii="Times New Roman" w:hAnsi="Times New Roman" w:eastAsia="宋体" w:cs="Times New Roman"/>
                <w:snapToGrid/>
                <w:color w:val="auto"/>
                <w:spacing w:val="-4"/>
                <w:kern w:val="2"/>
                <w:sz w:val="24"/>
                <w:szCs w:val="24"/>
                <w:highlight w:val="none"/>
                <w:lang w:val="en-US" w:eastAsia="zh-CN"/>
              </w:rPr>
              <w:t>0.49</w:t>
            </w:r>
            <w:r>
              <w:rPr>
                <w:rFonts w:hint="eastAsia" w:cs="Times New Roman"/>
                <w:snapToGrid/>
                <w:color w:val="auto"/>
                <w:spacing w:val="-4"/>
                <w:kern w:val="2"/>
                <w:sz w:val="24"/>
                <w:szCs w:val="24"/>
                <w:highlight w:val="none"/>
                <w:lang w:val="en-US" w:eastAsia="zh-CN"/>
              </w:rPr>
              <w:t>0</w:t>
            </w:r>
            <w:r>
              <w:rPr>
                <w:rFonts w:hint="default" w:ascii="Times New Roman" w:hAnsi="Times New Roman" w:eastAsia="宋体" w:cs="Times New Roman"/>
                <w:snapToGrid/>
                <w:color w:val="auto"/>
                <w:spacing w:val="-4"/>
                <w:kern w:val="2"/>
                <w:sz w:val="24"/>
                <w:szCs w:val="24"/>
                <w:highlight w:val="none"/>
                <w:lang w:eastAsia="zh-CN"/>
              </w:rPr>
              <w:t>t/a，每天工作</w:t>
            </w:r>
            <w:r>
              <w:rPr>
                <w:rFonts w:hint="default" w:ascii="Times New Roman" w:hAnsi="Times New Roman" w:eastAsia="宋体" w:cs="Times New Roman"/>
                <w:snapToGrid/>
                <w:color w:val="auto"/>
                <w:spacing w:val="-4"/>
                <w:kern w:val="2"/>
                <w:sz w:val="24"/>
                <w:szCs w:val="24"/>
                <w:highlight w:val="none"/>
                <w:lang w:val="en-US" w:eastAsia="zh-CN"/>
              </w:rPr>
              <w:t>8</w:t>
            </w:r>
            <w:r>
              <w:rPr>
                <w:rFonts w:hint="default" w:ascii="Times New Roman" w:hAnsi="Times New Roman" w:eastAsia="宋体" w:cs="Times New Roman"/>
                <w:snapToGrid/>
                <w:color w:val="auto"/>
                <w:spacing w:val="-4"/>
                <w:kern w:val="2"/>
                <w:sz w:val="24"/>
                <w:szCs w:val="24"/>
                <w:highlight w:val="none"/>
                <w:lang w:eastAsia="zh-CN"/>
              </w:rPr>
              <w:t>小时，年工作</w:t>
            </w:r>
            <w:r>
              <w:rPr>
                <w:rFonts w:hint="default" w:ascii="Times New Roman" w:hAnsi="Times New Roman" w:eastAsia="宋体" w:cs="Times New Roman"/>
                <w:snapToGrid/>
                <w:color w:val="auto"/>
                <w:spacing w:val="-4"/>
                <w:kern w:val="2"/>
                <w:sz w:val="24"/>
                <w:szCs w:val="24"/>
                <w:highlight w:val="none"/>
                <w:lang w:val="en-US" w:eastAsia="zh-CN"/>
              </w:rPr>
              <w:t>241</w:t>
            </w:r>
            <w:r>
              <w:rPr>
                <w:rFonts w:hint="default" w:ascii="Times New Roman" w:hAnsi="Times New Roman" w:eastAsia="宋体" w:cs="Times New Roman"/>
                <w:snapToGrid/>
                <w:color w:val="auto"/>
                <w:spacing w:val="-4"/>
                <w:kern w:val="2"/>
                <w:sz w:val="24"/>
                <w:szCs w:val="24"/>
                <w:highlight w:val="none"/>
                <w:lang w:eastAsia="zh-CN"/>
              </w:rPr>
              <w:t>天，全年工作时间为</w:t>
            </w:r>
            <w:r>
              <w:rPr>
                <w:rFonts w:hint="default" w:ascii="Times New Roman" w:hAnsi="Times New Roman" w:eastAsia="宋体" w:cs="Times New Roman"/>
                <w:snapToGrid/>
                <w:color w:val="auto"/>
                <w:spacing w:val="-4"/>
                <w:kern w:val="2"/>
                <w:sz w:val="24"/>
                <w:szCs w:val="24"/>
                <w:highlight w:val="none"/>
                <w:lang w:val="en-US" w:eastAsia="zh-CN"/>
              </w:rPr>
              <w:t>1928</w:t>
            </w:r>
            <w:r>
              <w:rPr>
                <w:rFonts w:hint="default" w:ascii="Times New Roman" w:hAnsi="Times New Roman" w:eastAsia="宋体" w:cs="Times New Roman"/>
                <w:snapToGrid/>
                <w:color w:val="auto"/>
                <w:spacing w:val="-4"/>
                <w:kern w:val="2"/>
                <w:sz w:val="24"/>
                <w:szCs w:val="24"/>
                <w:highlight w:val="none"/>
                <w:lang w:eastAsia="zh-CN"/>
              </w:rPr>
              <w:t>h，切割粉尘无组织排放速率约为</w:t>
            </w:r>
            <w:r>
              <w:rPr>
                <w:rFonts w:hint="default" w:ascii="Times New Roman" w:hAnsi="Times New Roman" w:eastAsia="宋体" w:cs="Times New Roman"/>
                <w:snapToGrid/>
                <w:color w:val="auto"/>
                <w:spacing w:val="-4"/>
                <w:kern w:val="2"/>
                <w:sz w:val="24"/>
                <w:szCs w:val="24"/>
                <w:highlight w:val="none"/>
                <w:lang w:val="en-US" w:eastAsia="zh-CN"/>
              </w:rPr>
              <w:t>0.</w:t>
            </w:r>
            <w:r>
              <w:rPr>
                <w:rFonts w:hint="eastAsia" w:ascii="Times New Roman" w:hAnsi="Times New Roman" w:eastAsia="宋体" w:cs="Times New Roman"/>
                <w:snapToGrid/>
                <w:color w:val="auto"/>
                <w:spacing w:val="-4"/>
                <w:kern w:val="2"/>
                <w:sz w:val="24"/>
                <w:szCs w:val="24"/>
                <w:highlight w:val="none"/>
                <w:lang w:val="en-US" w:eastAsia="zh-CN"/>
              </w:rPr>
              <w:t>25</w:t>
            </w:r>
            <w:r>
              <w:rPr>
                <w:rFonts w:hint="eastAsia" w:cs="Times New Roman"/>
                <w:snapToGrid/>
                <w:color w:val="auto"/>
                <w:spacing w:val="-4"/>
                <w:kern w:val="2"/>
                <w:sz w:val="24"/>
                <w:szCs w:val="24"/>
                <w:highlight w:val="none"/>
                <w:lang w:val="en-US" w:eastAsia="zh-CN"/>
              </w:rPr>
              <w:t>4</w:t>
            </w:r>
            <w:r>
              <w:rPr>
                <w:rFonts w:hint="default" w:ascii="Times New Roman" w:hAnsi="Times New Roman" w:eastAsia="宋体" w:cs="Times New Roman"/>
                <w:snapToGrid/>
                <w:color w:val="auto"/>
                <w:spacing w:val="-4"/>
                <w:kern w:val="2"/>
                <w:sz w:val="24"/>
                <w:szCs w:val="24"/>
                <w:highlight w:val="none"/>
                <w:lang w:eastAsia="zh-CN"/>
              </w:rPr>
              <w:t>kg/h。</w:t>
            </w:r>
          </w:p>
          <w:p w14:paraId="78624878">
            <w:pPr>
              <w:pStyle w:val="158"/>
              <w:keepNext w:val="0"/>
              <w:keepLines w:val="0"/>
              <w:suppressLineNumbers w:val="0"/>
              <w:snapToGrid/>
              <w:spacing w:before="0" w:beforeAutospacing="0" w:after="0" w:afterAutospacing="0"/>
              <w:ind w:left="0" w:right="0" w:firstLine="480"/>
              <w:rPr>
                <w:rFonts w:hint="default"/>
                <w:color w:val="auto"/>
                <w:lang w:val="en-US" w:eastAsia="zh-CN"/>
              </w:rPr>
            </w:pPr>
            <w:r>
              <w:rPr>
                <w:rFonts w:hint="eastAsia" w:ascii="Times New Roman" w:hAnsi="Times New Roman" w:eastAsia="宋体" w:cs="Times New Roman"/>
                <w:color w:val="auto"/>
                <w:highlight w:val="none"/>
                <w:lang w:val="en-US" w:eastAsia="zh-CN"/>
              </w:rPr>
              <w:t>考虑到加工工件的特殊性和切割粉尘收集系统的局限性，切割粉尘未处于密闭空间收集，根据《广东省工业源挥发性有机物减排量核算方法》（2023年修订版）中“表3.3-2废气收集集气效率参考值”的说明，外部集气罩的污染物逸散点控制风速不小于0.3m/s，废气收集效率按30%计。参考《滤筒式除尘器》（JB/T10341-2014），滤料的除尘效率应达到99.5%以上，本项目机器自带滤筒除尘器</w:t>
            </w:r>
            <w:r>
              <w:rPr>
                <w:rFonts w:hint="eastAsia"/>
                <w:color w:val="auto"/>
                <w:highlight w:val="none"/>
                <w:lang w:val="en-US" w:eastAsia="zh-CN"/>
              </w:rPr>
              <w:t>处理效率</w:t>
            </w:r>
            <w:r>
              <w:rPr>
                <w:rFonts w:hint="eastAsia" w:ascii="Times New Roman" w:hAnsi="Times New Roman" w:eastAsia="宋体" w:cs="Times New Roman"/>
                <w:color w:val="auto"/>
                <w:highlight w:val="none"/>
                <w:lang w:val="en-US" w:eastAsia="zh-CN"/>
              </w:rPr>
              <w:t>按9</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%计。则切割粉尘无组织排放量为0.490×30%×（1-90%）+0.490×（1-30%）=0.358t/a，无组织排放速率为0.186kg/h。</w:t>
            </w:r>
          </w:p>
          <w:p w14:paraId="12650D53">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（2）抛光打磨粉尘</w:t>
            </w:r>
          </w:p>
          <w:p w14:paraId="305EA7A7">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本项目金属粉尘主要来自金属原料抛光打磨过程，该工序主要使用</w:t>
            </w:r>
            <w:r>
              <w:rPr>
                <w:rFonts w:hint="eastAsia" w:cs="Times New Roman"/>
                <w:b w:val="0"/>
                <w:bCs w:val="0"/>
                <w:color w:val="auto"/>
                <w:sz w:val="24"/>
                <w:szCs w:val="24"/>
                <w:highlight w:val="none"/>
                <w:lang w:val="en-US" w:eastAsia="zh-CN"/>
              </w:rPr>
              <w:t>手磨机</w:t>
            </w:r>
            <w:r>
              <w:rPr>
                <w:rFonts w:hint="default" w:ascii="Times New Roman" w:hAnsi="Times New Roman" w:eastAsia="宋体" w:cs="Times New Roman"/>
                <w:b w:val="0"/>
                <w:bCs w:val="0"/>
                <w:color w:val="auto"/>
                <w:sz w:val="24"/>
                <w:szCs w:val="24"/>
                <w:highlight w:val="none"/>
                <w:lang w:val="en-US" w:eastAsia="zh-CN"/>
              </w:rPr>
              <w:t>在</w:t>
            </w:r>
            <w:r>
              <w:rPr>
                <w:rFonts w:hint="eastAsia" w:cs="Times New Roman"/>
                <w:b w:val="0"/>
                <w:bCs w:val="0"/>
                <w:color w:val="auto"/>
                <w:sz w:val="24"/>
                <w:szCs w:val="24"/>
                <w:highlight w:val="none"/>
                <w:lang w:val="en-US" w:eastAsia="zh-CN"/>
              </w:rPr>
              <w:t>工位上</w:t>
            </w:r>
            <w:r>
              <w:rPr>
                <w:rFonts w:hint="default" w:ascii="Times New Roman" w:hAnsi="Times New Roman" w:eastAsia="宋体" w:cs="Times New Roman"/>
                <w:b w:val="0"/>
                <w:bCs w:val="0"/>
                <w:color w:val="auto"/>
                <w:sz w:val="24"/>
                <w:szCs w:val="24"/>
                <w:highlight w:val="none"/>
                <w:lang w:val="en-US" w:eastAsia="zh-CN"/>
              </w:rPr>
              <w:t>进行。</w:t>
            </w:r>
          </w:p>
          <w:p w14:paraId="69D3AFC2">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参考“《排放源统计调查产排污核算方法和系数手册》33-37机械行业系数手册”中“预处理核算环节-预处理-干式预处理件：抛丸、喷砂、打磨”的产污系数作为</w:t>
            </w:r>
            <w:r>
              <w:rPr>
                <w:rFonts w:hint="default" w:ascii="Times New Roman" w:hAnsi="Times New Roman" w:eastAsia="宋体" w:cs="Times New Roman"/>
                <w:color w:val="auto"/>
                <w:sz w:val="24"/>
                <w:szCs w:val="24"/>
                <w:highlight w:val="none"/>
                <w:lang w:eastAsia="zh-CN"/>
              </w:rPr>
              <w:t>抛光打磨</w:t>
            </w:r>
            <w:r>
              <w:rPr>
                <w:rFonts w:hint="default" w:ascii="Times New Roman" w:hAnsi="Times New Roman" w:eastAsia="宋体" w:cs="Times New Roman"/>
                <w:color w:val="auto"/>
                <w:sz w:val="24"/>
                <w:szCs w:val="24"/>
                <w:highlight w:val="none"/>
              </w:rPr>
              <w:t>粉尘产污源强计算依据</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根据建设单位提供资料，</w:t>
            </w:r>
            <w:r>
              <w:rPr>
                <w:rFonts w:hint="default" w:ascii="Times New Roman" w:hAnsi="Times New Roman" w:eastAsia="宋体" w:cs="Times New Roman"/>
                <w:color w:val="auto"/>
                <w:sz w:val="24"/>
                <w:szCs w:val="24"/>
                <w:highlight w:val="none"/>
                <w:lang w:eastAsia="zh-CN"/>
              </w:rPr>
              <w:t>本项目</w:t>
            </w:r>
            <w:r>
              <w:rPr>
                <w:rFonts w:hint="eastAsia" w:cs="Times New Roman"/>
                <w:color w:val="auto"/>
                <w:sz w:val="24"/>
                <w:szCs w:val="24"/>
                <w:highlight w:val="none"/>
                <w:lang w:val="en-US" w:eastAsia="zh-CN"/>
              </w:rPr>
              <w:t>仅部分工件需要进行表面打磨和焊接口打磨，打磨量占比为12%，即打磨</w:t>
            </w:r>
            <w:r>
              <w:rPr>
                <w:rFonts w:hint="default" w:ascii="Times New Roman" w:hAnsi="Times New Roman" w:eastAsia="宋体" w:cs="Times New Roman"/>
                <w:b w:val="0"/>
                <w:bCs w:val="0"/>
                <w:color w:val="auto"/>
                <w:sz w:val="24"/>
                <w:szCs w:val="24"/>
                <w:highlight w:val="none"/>
                <w:lang w:val="en-US" w:eastAsia="zh-CN"/>
              </w:rPr>
              <w:t>原料量为8</w:t>
            </w:r>
            <w:r>
              <w:rPr>
                <w:rFonts w:hint="eastAsia" w:ascii="Times New Roman" w:hAnsi="Times New Roman" w:eastAsia="宋体" w:cs="Times New Roman"/>
                <w:b w:val="0"/>
                <w:bCs w:val="0"/>
                <w:color w:val="auto"/>
                <w:sz w:val="24"/>
                <w:szCs w:val="24"/>
                <w:highlight w:val="none"/>
                <w:lang w:val="en-US" w:eastAsia="zh-CN"/>
              </w:rPr>
              <w:t>91</w:t>
            </w:r>
            <w:r>
              <w:rPr>
                <w:rFonts w:hint="default" w:ascii="Times New Roman" w:hAnsi="Times New Roman" w:eastAsia="宋体" w:cs="Times New Roman"/>
                <w:b w:val="0"/>
                <w:bCs w:val="0"/>
                <w:color w:val="auto"/>
                <w:sz w:val="24"/>
                <w:szCs w:val="24"/>
                <w:highlight w:val="none"/>
                <w:lang w:val="en-US" w:eastAsia="zh-CN"/>
              </w:rPr>
              <w:t>0t/a</w:t>
            </w:r>
            <w:r>
              <w:rPr>
                <w:rFonts w:hint="eastAsia" w:cs="Times New Roman"/>
                <w:b w:val="0"/>
                <w:bCs w:val="0"/>
                <w:color w:val="auto"/>
                <w:sz w:val="24"/>
                <w:szCs w:val="24"/>
                <w:highlight w:val="none"/>
                <w:lang w:val="en-US" w:eastAsia="zh-CN"/>
              </w:rPr>
              <w:t>×12%=1069.2t/a</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抛光打磨粉尘产污系数</w:t>
            </w:r>
            <w:r>
              <w:rPr>
                <w:rFonts w:hint="default" w:ascii="Times New Roman" w:hAnsi="Times New Roman" w:eastAsia="宋体" w:cs="Times New Roman"/>
                <w:color w:val="auto"/>
                <w:sz w:val="24"/>
                <w:szCs w:val="24"/>
                <w:highlight w:val="none"/>
                <w:lang w:val="en-US" w:eastAsia="zh-CN"/>
              </w:rPr>
              <w:t>均取</w:t>
            </w:r>
            <w:r>
              <w:rPr>
                <w:rFonts w:hint="default" w:ascii="Times New Roman" w:hAnsi="Times New Roman" w:eastAsia="宋体" w:cs="Times New Roman"/>
                <w:color w:val="auto"/>
                <w:sz w:val="24"/>
                <w:szCs w:val="24"/>
                <w:highlight w:val="none"/>
                <w:lang w:eastAsia="zh-CN"/>
              </w:rPr>
              <w:t>2.19kg/t-原料。</w:t>
            </w:r>
            <w:r>
              <w:rPr>
                <w:rFonts w:hint="default" w:ascii="Times New Roman" w:hAnsi="Times New Roman" w:eastAsia="宋体" w:cs="Times New Roman"/>
                <w:color w:val="auto"/>
                <w:sz w:val="24"/>
                <w:szCs w:val="24"/>
                <w:highlight w:val="none"/>
                <w:lang w:val="en-US" w:eastAsia="zh-CN"/>
              </w:rPr>
              <w:t>本项目抛光打磨粉尘属于金属粉末，</w:t>
            </w:r>
            <w:r>
              <w:rPr>
                <w:rFonts w:hint="default" w:ascii="Times New Roman" w:hAnsi="Times New Roman" w:eastAsia="宋体" w:cs="Times New Roman"/>
                <w:color w:val="auto"/>
                <w:sz w:val="24"/>
                <w:szCs w:val="24"/>
                <w:highlight w:val="none"/>
              </w:rPr>
              <w:t>尘粒大于100微米，该类粉尘比重和粒径较大，一般80%沉降到工作台附近5m范围内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20%逸散到</w:t>
            </w:r>
            <w:r>
              <w:rPr>
                <w:rFonts w:hint="default" w:ascii="Times New Roman" w:hAnsi="Times New Roman" w:eastAsia="宋体" w:cs="Times New Roman"/>
                <w:color w:val="auto"/>
                <w:sz w:val="24"/>
                <w:szCs w:val="24"/>
                <w:highlight w:val="none"/>
                <w:lang w:val="en-US" w:eastAsia="zh-CN"/>
              </w:rPr>
              <w:t>车间</w:t>
            </w:r>
            <w:r>
              <w:rPr>
                <w:rFonts w:hint="default" w:ascii="Times New Roman" w:hAnsi="Times New Roman" w:eastAsia="宋体" w:cs="Times New Roman"/>
                <w:color w:val="auto"/>
                <w:sz w:val="24"/>
                <w:szCs w:val="24"/>
                <w:highlight w:val="none"/>
              </w:rPr>
              <w:t>空气中。</w:t>
            </w:r>
            <w:r>
              <w:rPr>
                <w:rFonts w:hint="default" w:ascii="Times New Roman" w:hAnsi="Times New Roman" w:eastAsia="宋体" w:cs="Times New Roman"/>
                <w:color w:val="auto"/>
                <w:sz w:val="24"/>
                <w:szCs w:val="24"/>
                <w:highlight w:val="none"/>
                <w:lang w:val="en-US" w:eastAsia="zh-CN"/>
              </w:rPr>
              <w:t>计算得出抛光打磨粉尘</w:t>
            </w:r>
            <w:r>
              <w:rPr>
                <w:rFonts w:hint="eastAsia" w:cs="Times New Roman"/>
                <w:color w:val="auto"/>
                <w:sz w:val="24"/>
                <w:szCs w:val="24"/>
                <w:highlight w:val="none"/>
                <w:lang w:val="en-US" w:eastAsia="zh-CN"/>
              </w:rPr>
              <w:t>无组织排放</w:t>
            </w:r>
            <w:r>
              <w:rPr>
                <w:rFonts w:hint="default" w:ascii="Times New Roman" w:hAnsi="Times New Roman" w:eastAsia="宋体" w:cs="Times New Roman"/>
                <w:color w:val="auto"/>
                <w:sz w:val="24"/>
                <w:szCs w:val="24"/>
                <w:highlight w:val="none"/>
                <w:lang w:val="en-US" w:eastAsia="zh-CN"/>
              </w:rPr>
              <w:t>量如下表所示。</w:t>
            </w:r>
          </w:p>
          <w:p w14:paraId="36B3C9DC">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color w:val="auto"/>
                <w:kern w:val="2"/>
                <w:sz w:val="21"/>
                <w:szCs w:val="21"/>
                <w:lang w:val="en-US" w:eastAsia="zh-CN" w:bidi="ar-SA"/>
              </w:rPr>
              <w:t>表4-8</w:t>
            </w:r>
            <w:r>
              <w:rPr>
                <w:rFonts w:hint="default" w:ascii="Times New Roman" w:hAnsi="Times New Roman" w:cs="Times New Roman"/>
                <w:b/>
                <w:bCs/>
                <w:color w:val="auto"/>
                <w:sz w:val="21"/>
                <w:szCs w:val="21"/>
                <w:highlight w:val="none"/>
                <w:lang w:val="en-US" w:eastAsia="zh-CN"/>
              </w:rPr>
              <w:t>本项目抛光打磨粉尘逸散到空气产生量</w:t>
            </w:r>
          </w:p>
          <w:tbl>
            <w:tblPr>
              <w:tblStyle w:val="48"/>
              <w:tblW w:w="85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301"/>
              <w:gridCol w:w="1412"/>
              <w:gridCol w:w="910"/>
              <w:gridCol w:w="832"/>
              <w:gridCol w:w="1600"/>
              <w:gridCol w:w="1600"/>
            </w:tblGrid>
            <w:tr w14:paraId="39E5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527" w:type="pct"/>
                  <w:tcBorders>
                    <w:tl2br w:val="nil"/>
                    <w:tr2bl w:val="nil"/>
                  </w:tcBorders>
                  <w:noWrap w:val="0"/>
                  <w:vAlign w:val="center"/>
                </w:tcPr>
                <w:p w14:paraId="4ACDCA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cs="Times New Roman"/>
                      <w:b/>
                      <w:bCs/>
                      <w:i w:val="0"/>
                      <w:iCs w:val="0"/>
                      <w:color w:val="auto"/>
                      <w:sz w:val="21"/>
                      <w:szCs w:val="21"/>
                      <w:highlight w:val="none"/>
                      <w:u w:val="none"/>
                      <w:lang w:val="en-US" w:eastAsia="zh-CN"/>
                    </w:rPr>
                    <w:t>废气类别</w:t>
                  </w:r>
                </w:p>
              </w:tc>
              <w:tc>
                <w:tcPr>
                  <w:tcW w:w="760" w:type="pct"/>
                  <w:tcBorders>
                    <w:tl2br w:val="nil"/>
                    <w:tr2bl w:val="nil"/>
                  </w:tcBorders>
                  <w:noWrap w:val="0"/>
                  <w:vAlign w:val="center"/>
                </w:tcPr>
                <w:p w14:paraId="07237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总产生量（t/a）</w:t>
                  </w:r>
                </w:p>
              </w:tc>
              <w:tc>
                <w:tcPr>
                  <w:tcW w:w="825" w:type="pct"/>
                  <w:tcBorders>
                    <w:tl2br w:val="nil"/>
                    <w:tr2bl w:val="nil"/>
                  </w:tcBorders>
                  <w:noWrap w:val="0"/>
                  <w:vAlign w:val="center"/>
                </w:tcPr>
                <w:p w14:paraId="0A29A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产生速率（kg/h）</w:t>
                  </w:r>
                </w:p>
              </w:tc>
              <w:tc>
                <w:tcPr>
                  <w:tcW w:w="531" w:type="pct"/>
                  <w:tcBorders>
                    <w:tl2br w:val="nil"/>
                    <w:tr2bl w:val="nil"/>
                  </w:tcBorders>
                  <w:noWrap w:val="0"/>
                  <w:vAlign w:val="center"/>
                </w:tcPr>
                <w:p w14:paraId="4FED43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沉降率</w:t>
                  </w:r>
                </w:p>
              </w:tc>
              <w:tc>
                <w:tcPr>
                  <w:tcW w:w="486" w:type="pct"/>
                  <w:tcBorders>
                    <w:tl2br w:val="nil"/>
                    <w:tr2bl w:val="nil"/>
                  </w:tcBorders>
                  <w:noWrap w:val="0"/>
                  <w:vAlign w:val="center"/>
                </w:tcPr>
                <w:p w14:paraId="0BDA2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沉降量（t/a）</w:t>
                  </w:r>
                </w:p>
              </w:tc>
              <w:tc>
                <w:tcPr>
                  <w:tcW w:w="934" w:type="pct"/>
                  <w:tcBorders>
                    <w:tl2br w:val="nil"/>
                    <w:tr2bl w:val="nil"/>
                  </w:tcBorders>
                  <w:noWrap w:val="0"/>
                  <w:vAlign w:val="center"/>
                </w:tcPr>
                <w:p w14:paraId="624156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粉尘</w:t>
                  </w:r>
                  <w:r>
                    <w:rPr>
                      <w:rFonts w:hint="eastAsia" w:cs="Times New Roman"/>
                      <w:b/>
                      <w:bCs/>
                      <w:i w:val="0"/>
                      <w:iCs w:val="0"/>
                      <w:color w:val="auto"/>
                      <w:kern w:val="0"/>
                      <w:sz w:val="21"/>
                      <w:szCs w:val="21"/>
                      <w:highlight w:val="none"/>
                      <w:u w:val="none"/>
                      <w:lang w:val="en-US" w:eastAsia="zh-CN" w:bidi="ar"/>
                    </w:rPr>
                    <w:t>无组织排放</w:t>
                  </w:r>
                  <w:r>
                    <w:rPr>
                      <w:rFonts w:hint="default" w:ascii="Times New Roman" w:hAnsi="Times New Roman" w:eastAsia="宋体" w:cs="Times New Roman"/>
                      <w:b/>
                      <w:bCs/>
                      <w:i w:val="0"/>
                      <w:iCs w:val="0"/>
                      <w:color w:val="auto"/>
                      <w:kern w:val="0"/>
                      <w:sz w:val="21"/>
                      <w:szCs w:val="21"/>
                      <w:highlight w:val="none"/>
                      <w:u w:val="none"/>
                      <w:lang w:val="en-US" w:eastAsia="zh-CN" w:bidi="ar"/>
                    </w:rPr>
                    <w:t>量（t/a）</w:t>
                  </w:r>
                </w:p>
              </w:tc>
              <w:tc>
                <w:tcPr>
                  <w:tcW w:w="934" w:type="pct"/>
                  <w:tcBorders>
                    <w:tl2br w:val="nil"/>
                    <w:tr2bl w:val="nil"/>
                  </w:tcBorders>
                  <w:noWrap w:val="0"/>
                  <w:vAlign w:val="center"/>
                </w:tcPr>
                <w:p w14:paraId="4E338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无组织排放速率（kg/h）</w:t>
                  </w:r>
                </w:p>
              </w:tc>
            </w:tr>
            <w:tr w14:paraId="6338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527" w:type="pct"/>
                  <w:tcBorders>
                    <w:tl2br w:val="nil"/>
                    <w:tr2bl w:val="nil"/>
                  </w:tcBorders>
                  <w:noWrap w:val="0"/>
                  <w:vAlign w:val="center"/>
                </w:tcPr>
                <w:p w14:paraId="5A236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bookmarkStart w:id="21" w:name="OLE_LINK29" w:colFirst="1" w:colLast="5"/>
                  <w:r>
                    <w:rPr>
                      <w:rFonts w:hint="default" w:ascii="Times New Roman" w:hAnsi="Times New Roman" w:eastAsia="宋体" w:cs="Times New Roman"/>
                      <w:b w:val="0"/>
                      <w:bCs w:val="0"/>
                      <w:i w:val="0"/>
                      <w:iCs w:val="0"/>
                      <w:color w:val="auto"/>
                      <w:kern w:val="0"/>
                      <w:sz w:val="21"/>
                      <w:szCs w:val="21"/>
                      <w:highlight w:val="none"/>
                      <w:u w:val="none"/>
                      <w:lang w:val="en-US" w:eastAsia="zh-CN" w:bidi="ar"/>
                    </w:rPr>
                    <w:t>打磨粉尘</w:t>
                  </w:r>
                </w:p>
              </w:tc>
              <w:tc>
                <w:tcPr>
                  <w:tcW w:w="760" w:type="pct"/>
                  <w:tcBorders>
                    <w:tl2br w:val="nil"/>
                    <w:tr2bl w:val="nil"/>
                  </w:tcBorders>
                  <w:noWrap w:val="0"/>
                  <w:vAlign w:val="center"/>
                </w:tcPr>
                <w:p w14:paraId="095214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2.342 </w:t>
                  </w:r>
                </w:p>
              </w:tc>
              <w:tc>
                <w:tcPr>
                  <w:tcW w:w="825" w:type="pct"/>
                  <w:tcBorders>
                    <w:tl2br w:val="nil"/>
                    <w:tr2bl w:val="nil"/>
                  </w:tcBorders>
                  <w:noWrap w:val="0"/>
                  <w:vAlign w:val="center"/>
                </w:tcPr>
                <w:p w14:paraId="7FDB59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1.214 </w:t>
                  </w:r>
                </w:p>
              </w:tc>
              <w:tc>
                <w:tcPr>
                  <w:tcW w:w="531" w:type="pct"/>
                  <w:tcBorders>
                    <w:tl2br w:val="nil"/>
                    <w:tr2bl w:val="nil"/>
                  </w:tcBorders>
                  <w:noWrap w:val="0"/>
                  <w:vAlign w:val="center"/>
                </w:tcPr>
                <w:p w14:paraId="592E99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486" w:type="pct"/>
                  <w:tcBorders>
                    <w:tl2br w:val="nil"/>
                    <w:tr2bl w:val="nil"/>
                  </w:tcBorders>
                  <w:noWrap w:val="0"/>
                  <w:vAlign w:val="center"/>
                </w:tcPr>
                <w:p w14:paraId="304597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1.8732 </w:t>
                  </w:r>
                </w:p>
              </w:tc>
              <w:tc>
                <w:tcPr>
                  <w:tcW w:w="934" w:type="pct"/>
                  <w:tcBorders>
                    <w:tl2br w:val="nil"/>
                    <w:tr2bl w:val="nil"/>
                  </w:tcBorders>
                  <w:noWrap/>
                  <w:vAlign w:val="center"/>
                </w:tcPr>
                <w:p w14:paraId="52844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0.4683 </w:t>
                  </w:r>
                </w:p>
              </w:tc>
              <w:tc>
                <w:tcPr>
                  <w:tcW w:w="934" w:type="pct"/>
                  <w:tcBorders>
                    <w:tl2br w:val="nil"/>
                    <w:tr2bl w:val="nil"/>
                  </w:tcBorders>
                  <w:noWrap/>
                  <w:vAlign w:val="center"/>
                </w:tcPr>
                <w:p w14:paraId="12EC17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0.243</w:t>
                  </w:r>
                </w:p>
              </w:tc>
            </w:tr>
            <w:bookmarkEnd w:id="21"/>
          </w:tbl>
          <w:p w14:paraId="41059B0C">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auto"/>
                <w:highlight w:val="none"/>
              </w:rPr>
            </w:pPr>
          </w:p>
          <w:p w14:paraId="54211C10">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auto"/>
                <w:highlight w:val="none"/>
              </w:rPr>
            </w:pPr>
          </w:p>
          <w:p w14:paraId="42F06430">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pacing w:val="-3"/>
                <w:sz w:val="24"/>
                <w:szCs w:val="24"/>
                <w:highlight w:val="none"/>
                <w:lang w:val="en-US" w:eastAsia="zh-CN"/>
              </w:rPr>
              <w:t>1</w:t>
            </w:r>
            <w:r>
              <w:rPr>
                <w:rFonts w:hint="default" w:ascii="Times New Roman" w:hAnsi="Times New Roman" w:eastAsia="宋体" w:cs="Times New Roman"/>
                <w:b/>
                <w:bCs/>
                <w:color w:val="auto"/>
                <w:spacing w:val="-3"/>
                <w:sz w:val="24"/>
                <w:szCs w:val="24"/>
                <w:highlight w:val="none"/>
              </w:rPr>
              <w:t>.</w:t>
            </w:r>
            <w:r>
              <w:rPr>
                <w:rFonts w:hint="eastAsia" w:cs="Times New Roman"/>
                <w:b/>
                <w:bCs/>
                <w:color w:val="auto"/>
                <w:spacing w:val="-3"/>
                <w:sz w:val="24"/>
                <w:szCs w:val="24"/>
                <w:highlight w:val="none"/>
                <w:lang w:val="en-US" w:eastAsia="zh-CN"/>
              </w:rPr>
              <w:t>2</w:t>
            </w:r>
            <w:r>
              <w:rPr>
                <w:rFonts w:hint="default" w:ascii="Times New Roman" w:hAnsi="Times New Roman" w:eastAsia="宋体" w:cs="Times New Roman"/>
                <w:b/>
                <w:bCs/>
                <w:color w:val="auto"/>
                <w:spacing w:val="-3"/>
                <w:sz w:val="24"/>
                <w:szCs w:val="24"/>
                <w:highlight w:val="none"/>
              </w:rPr>
              <w:t>.2</w:t>
            </w:r>
            <w:r>
              <w:rPr>
                <w:rFonts w:hint="default" w:ascii="Times New Roman" w:hAnsi="Times New Roman" w:eastAsia="宋体" w:cs="Times New Roman"/>
                <w:b/>
                <w:bCs/>
                <w:color w:val="auto"/>
                <w:sz w:val="24"/>
                <w:szCs w:val="24"/>
                <w:highlight w:val="none"/>
                <w:lang w:val="en-US" w:eastAsia="zh-CN"/>
              </w:rPr>
              <w:t>焊接烟尘</w:t>
            </w:r>
          </w:p>
          <w:p w14:paraId="15DB49F5">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项目需要对钣金制品工件进行焊接，焊接工序会产生焊接烟尘，焊接烟尘是</w:t>
            </w:r>
            <w:r>
              <w:rPr>
                <w:rFonts w:hint="default" w:ascii="Times New Roman" w:hAnsi="Times New Roman" w:eastAsia="宋体" w:cs="Times New Roman"/>
                <w:color w:val="auto"/>
                <w:sz w:val="24"/>
                <w:szCs w:val="24"/>
                <w:highlight w:val="none"/>
                <w:lang w:val="en-US" w:eastAsia="zh-CN"/>
              </w:rPr>
              <w:t>焊丝</w:t>
            </w:r>
            <w:r>
              <w:rPr>
                <w:rFonts w:hint="default" w:ascii="Times New Roman" w:hAnsi="Times New Roman" w:eastAsia="宋体" w:cs="Times New Roman"/>
                <w:color w:val="auto"/>
                <w:sz w:val="24"/>
                <w:szCs w:val="24"/>
                <w:highlight w:val="none"/>
              </w:rPr>
              <w:t>在加热条件下产生的蒸汽经氧化和冷凝而形成的，主要</w:t>
            </w:r>
            <w:r>
              <w:rPr>
                <w:rFonts w:hint="default" w:ascii="Times New Roman" w:hAnsi="Times New Roman" w:eastAsia="宋体" w:cs="Times New Roman"/>
                <w:color w:val="auto"/>
                <w:sz w:val="24"/>
                <w:szCs w:val="24"/>
                <w:highlight w:val="none"/>
                <w:lang w:val="en-US" w:eastAsia="zh-CN"/>
              </w:rPr>
              <w:t>污染物指标为颗粒物</w:t>
            </w:r>
            <w:r>
              <w:rPr>
                <w:rFonts w:hint="default" w:ascii="Times New Roman" w:hAnsi="Times New Roman" w:eastAsia="宋体" w:cs="Times New Roman"/>
                <w:color w:val="auto"/>
                <w:sz w:val="24"/>
                <w:szCs w:val="24"/>
                <w:highlight w:val="none"/>
                <w:lang w:eastAsia="zh-CN"/>
              </w:rPr>
              <w:t>。</w:t>
            </w:r>
          </w:p>
          <w:p w14:paraId="768D6E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本项目利用焊丝作为焊接材料，按单件产品焊接长度为0.5m（取钣金件长宽的平均值）、宽度为0.01m，厚度为0.001m计算，计算得单件产品所需焊丝为0.000005m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，项目设计年加工工件约</w:t>
            </w:r>
            <w:r>
              <w:rPr>
                <w:rFonts w:hint="eastAsia" w:ascii="Times New Roman" w:hAnsi="Times New Roman" w:cs="Times New Roman"/>
                <w:color w:val="auto"/>
                <w:sz w:val="24"/>
                <w:szCs w:val="24"/>
                <w:highlight w:val="none"/>
                <w:vertAlign w:val="baseline"/>
                <w:lang w:val="en-US" w:eastAsia="zh-CN"/>
              </w:rPr>
              <w:t>458.333</w:t>
            </w:r>
            <w:r>
              <w:rPr>
                <w:rFonts w:hint="default" w:ascii="Times New Roman" w:hAnsi="Times New Roman" w:cs="Times New Roman"/>
                <w:color w:val="auto"/>
                <w:sz w:val="24"/>
                <w:szCs w:val="24"/>
                <w:highlight w:val="none"/>
                <w:vertAlign w:val="baseline"/>
                <w:lang w:val="en-US" w:eastAsia="zh-CN"/>
              </w:rPr>
              <w:t>万件（年加工1</w:t>
            </w:r>
            <w:r>
              <w:rPr>
                <w:rFonts w:hint="eastAsia" w:ascii="Times New Roman" w:hAnsi="Times New Roman" w:cs="Times New Roman"/>
                <w:color w:val="auto"/>
                <w:sz w:val="24"/>
                <w:szCs w:val="24"/>
                <w:highlight w:val="none"/>
                <w:vertAlign w:val="baseline"/>
                <w:lang w:val="en-US" w:eastAsia="zh-CN"/>
              </w:rPr>
              <w:t>1</w:t>
            </w:r>
            <w:r>
              <w:rPr>
                <w:rFonts w:hint="default" w:ascii="Times New Roman" w:hAnsi="Times New Roman" w:cs="Times New Roman"/>
                <w:color w:val="auto"/>
                <w:sz w:val="24"/>
                <w:szCs w:val="24"/>
                <w:highlight w:val="none"/>
                <w:vertAlign w:val="baseline"/>
                <w:lang w:val="en-US" w:eastAsia="zh-CN"/>
              </w:rPr>
              <w:t>0万</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，单件工件按0.24</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折算），约</w:t>
            </w:r>
            <w:r>
              <w:rPr>
                <w:rFonts w:hint="default" w:ascii="Times New Roman" w:hAnsi="Times New Roman" w:cs="Times New Roman"/>
                <w:color w:val="auto"/>
                <w:sz w:val="24"/>
                <w:szCs w:val="24"/>
                <w:highlight w:val="none"/>
                <w:lang w:val="en-US" w:eastAsia="zh-CN"/>
              </w:rPr>
              <w:t>30%的产品需要进行焊接，</w:t>
            </w:r>
            <w:r>
              <w:rPr>
                <w:rFonts w:hint="eastAsia" w:ascii="Times New Roman" w:hAnsi="Times New Roman" w:cs="Times New Roman"/>
                <w:color w:val="auto"/>
                <w:sz w:val="24"/>
                <w:szCs w:val="24"/>
                <w:highlight w:val="none"/>
                <w:lang w:val="en-US" w:eastAsia="zh-CN"/>
              </w:rPr>
              <w:t>则</w:t>
            </w:r>
            <w:r>
              <w:rPr>
                <w:rFonts w:hint="default" w:ascii="Times New Roman" w:hAnsi="Times New Roman" w:cs="Times New Roman"/>
                <w:color w:val="auto"/>
                <w:sz w:val="24"/>
                <w:szCs w:val="24"/>
                <w:highlight w:val="none"/>
                <w:lang w:val="en-US" w:eastAsia="zh-CN"/>
              </w:rPr>
              <w:t>焊接工件</w:t>
            </w:r>
            <w:r>
              <w:rPr>
                <w:rFonts w:hint="eastAsia" w:ascii="Times New Roman" w:hAnsi="Times New Roman" w:cs="Times New Roman"/>
                <w:color w:val="auto"/>
                <w:sz w:val="24"/>
                <w:szCs w:val="24"/>
                <w:highlight w:val="none"/>
                <w:lang w:val="en-US" w:eastAsia="zh-CN"/>
              </w:rPr>
              <w:t>约为458.333万件×30%≈137.5</w:t>
            </w:r>
            <w:r>
              <w:rPr>
                <w:rFonts w:hint="default" w:ascii="Times New Roman" w:hAnsi="Times New Roman" w:cs="Times New Roman"/>
                <w:color w:val="auto"/>
                <w:sz w:val="24"/>
                <w:szCs w:val="24"/>
                <w:highlight w:val="none"/>
                <w:lang w:val="en-US" w:eastAsia="zh-CN"/>
              </w:rPr>
              <w:t>万件，</w:t>
            </w:r>
            <w:r>
              <w:rPr>
                <w:rFonts w:hint="default" w:ascii="Times New Roman" w:hAnsi="Times New Roman" w:cs="Times New Roman"/>
                <w:color w:val="auto"/>
                <w:sz w:val="24"/>
                <w:szCs w:val="24"/>
                <w:highlight w:val="none"/>
                <w:vertAlign w:val="baseline"/>
                <w:lang w:val="en-US" w:eastAsia="zh-CN"/>
              </w:rPr>
              <w:t>计算得出所需焊丝年用量</w:t>
            </w:r>
            <w:r>
              <w:rPr>
                <w:rFonts w:hint="eastAsia" w:ascii="Times New Roman" w:hAnsi="Times New Roman" w:cs="Times New Roman"/>
                <w:color w:val="auto"/>
                <w:sz w:val="24"/>
                <w:szCs w:val="24"/>
                <w:highlight w:val="none"/>
                <w:vertAlign w:val="baseline"/>
                <w:lang w:val="en-US" w:eastAsia="zh-CN"/>
              </w:rPr>
              <w:t>=137.5万件×</w:t>
            </w:r>
            <w:r>
              <w:rPr>
                <w:rFonts w:hint="default" w:ascii="Times New Roman" w:hAnsi="Times New Roman" w:cs="Times New Roman"/>
                <w:color w:val="auto"/>
                <w:sz w:val="24"/>
                <w:szCs w:val="24"/>
                <w:highlight w:val="none"/>
                <w:lang w:val="en-US" w:eastAsia="zh-CN"/>
              </w:rPr>
              <w:t>0.000005m</w:t>
            </w:r>
            <w:r>
              <w:rPr>
                <w:rFonts w:hint="default"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=6.875</w:t>
            </w:r>
            <w:r>
              <w:rPr>
                <w:rFonts w:hint="default" w:ascii="Times New Roman" w:hAnsi="Times New Roman" w:cs="Times New Roman"/>
                <w:color w:val="auto"/>
                <w:sz w:val="24"/>
                <w:szCs w:val="24"/>
                <w:highlight w:val="none"/>
                <w:vertAlign w:val="baseli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，铝焊丝密度按2.7t/m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计算，折合焊丝年用量为</w:t>
            </w:r>
            <w:r>
              <w:rPr>
                <w:rFonts w:hint="eastAsia" w:ascii="Times New Roman" w:hAnsi="Times New Roman" w:cs="Times New Roman"/>
                <w:color w:val="auto"/>
                <w:sz w:val="24"/>
                <w:szCs w:val="24"/>
                <w:highlight w:val="none"/>
                <w:vertAlign w:val="baseline"/>
                <w:lang w:val="en-US" w:eastAsia="zh-CN"/>
              </w:rPr>
              <w:t>18.5625</w:t>
            </w:r>
            <w:r>
              <w:rPr>
                <w:rFonts w:hint="default" w:ascii="Times New Roman" w:hAnsi="Times New Roman" w:cs="Times New Roman"/>
                <w:color w:val="auto"/>
                <w:sz w:val="24"/>
                <w:szCs w:val="24"/>
                <w:highlight w:val="none"/>
                <w:vertAlign w:val="baseline"/>
                <w:lang w:val="en-US" w:eastAsia="zh-CN"/>
              </w:rPr>
              <w:t>t。</w:t>
            </w:r>
          </w:p>
          <w:p w14:paraId="08E62447">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highlight w:val="none"/>
              </w:rPr>
              <w:t>参考“《排放源统计调查产排污核算方法和系数手册》33-37机械行业系数手册”中“焊接核算环节-焊接-焊接原料：实芯焊丝”的产污系数作为焊接烟尘产污源强计算依据。本项目焊接烟尘（颗粒物）产污系数为</w:t>
            </w:r>
            <w:r>
              <w:rPr>
                <w:rFonts w:hint="default" w:ascii="Times New Roman" w:hAnsi="Times New Roman" w:eastAsia="宋体" w:cs="Times New Roman"/>
                <w:color w:val="auto"/>
                <w:highlight w:val="none"/>
                <w:lang w:val="en-US" w:eastAsia="zh-CN"/>
              </w:rPr>
              <w:t>9.19</w:t>
            </w:r>
            <w:r>
              <w:rPr>
                <w:rFonts w:hint="default" w:ascii="Times New Roman" w:hAnsi="Times New Roman" w:eastAsia="宋体" w:cs="Times New Roman"/>
                <w:color w:val="auto"/>
                <w:highlight w:val="none"/>
              </w:rPr>
              <w:t>kg/t-原料</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经设备自带的移动式焊烟净化器处理后</w:t>
            </w:r>
            <w:r>
              <w:rPr>
                <w:rFonts w:hint="default" w:ascii="Times New Roman" w:hAnsi="Times New Roman" w:eastAsia="宋体" w:cs="Times New Roman"/>
                <w:color w:val="auto"/>
                <w:sz w:val="24"/>
                <w:szCs w:val="24"/>
                <w:highlight w:val="none"/>
              </w:rPr>
              <w:t>于车间内无组织排放</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项目年工作1928小时。</w:t>
            </w:r>
          </w:p>
          <w:p w14:paraId="4E5CFE7C">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考虑到工艺的特殊性和焊接烟尘收集系统的局限性，焊烟未处于密闭空间收集，</w:t>
            </w:r>
            <w:bookmarkStart w:id="22" w:name="OLE_LINK48"/>
            <w:r>
              <w:rPr>
                <w:rFonts w:hint="eastAsia" w:ascii="Times New Roman" w:hAnsi="Times New Roman" w:eastAsia="宋体" w:cs="Times New Roman"/>
                <w:color w:val="auto"/>
                <w:highlight w:val="none"/>
                <w:lang w:val="en-US" w:eastAsia="zh-CN"/>
              </w:rPr>
              <w:t>根据《广东省工业源挥发性有机物减排量核算方法》（2023年修订版）中“表3.3-2废气收集集气效率参考值”的说明，外部集气罩的污染物逸散点控制风速不小于0.3m/s，废气收集效率按30%计。</w:t>
            </w:r>
            <w:bookmarkEnd w:id="22"/>
          </w:p>
          <w:p w14:paraId="7BA4ECC9">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参考《滤筒式除尘器》（JB/T10341-2014），滤料的除尘效率应达到99.5%以上，本项目</w:t>
            </w:r>
            <w:r>
              <w:rPr>
                <w:rFonts w:hint="eastAsia"/>
                <w:color w:val="auto"/>
                <w:highlight w:val="none"/>
              </w:rPr>
              <w:t>移动式焊烟净化器</w:t>
            </w:r>
            <w:r>
              <w:rPr>
                <w:rFonts w:hint="eastAsia"/>
                <w:color w:val="auto"/>
                <w:highlight w:val="none"/>
                <w:lang w:val="en-US" w:eastAsia="zh-CN"/>
              </w:rPr>
              <w:t>处理效率</w:t>
            </w:r>
            <w:r>
              <w:rPr>
                <w:rFonts w:hint="eastAsia" w:ascii="Times New Roman" w:hAnsi="Times New Roman" w:eastAsia="宋体" w:cs="Times New Roman"/>
                <w:color w:val="auto"/>
                <w:highlight w:val="none"/>
                <w:lang w:val="en-US" w:eastAsia="zh-CN"/>
              </w:rPr>
              <w:t>按9</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%计。本项目焊接烟尘排放情况如下表所示。</w:t>
            </w:r>
          </w:p>
          <w:p w14:paraId="2CBC38DD">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9</w:t>
            </w:r>
            <w:r>
              <w:rPr>
                <w:rFonts w:hint="default" w:ascii="Times New Roman" w:hAnsi="Times New Roman" w:cs="Times New Roman"/>
                <w:b/>
                <w:bCs/>
                <w:color w:val="auto"/>
                <w:sz w:val="21"/>
                <w:szCs w:val="21"/>
                <w:highlight w:val="none"/>
                <w:lang w:val="en-US" w:eastAsia="zh-CN"/>
              </w:rPr>
              <w:t>本项目焊接烟尘产生情况</w:t>
            </w:r>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67"/>
              <w:gridCol w:w="917"/>
              <w:gridCol w:w="1050"/>
              <w:gridCol w:w="833"/>
              <w:gridCol w:w="700"/>
              <w:gridCol w:w="717"/>
              <w:gridCol w:w="966"/>
              <w:gridCol w:w="1072"/>
            </w:tblGrid>
            <w:tr w14:paraId="496F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731B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焊丝用量（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1267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产污系数（</w:t>
                  </w:r>
                  <w:r>
                    <w:rPr>
                      <w:rFonts w:hint="default" w:ascii="Times New Roman" w:hAnsi="Times New Roman" w:eastAsia="宋体" w:cs="Times New Roman"/>
                      <w:b/>
                      <w:bCs/>
                      <w:i w:val="0"/>
                      <w:iCs w:val="0"/>
                      <w:color w:val="auto"/>
                      <w:kern w:val="0"/>
                      <w:sz w:val="21"/>
                      <w:szCs w:val="21"/>
                      <w:u w:val="none"/>
                      <w:lang w:val="en-US" w:eastAsia="zh-CN" w:bidi="ar"/>
                    </w:rPr>
                    <w:t>kg/t-</w:t>
                  </w:r>
                  <w:r>
                    <w:rPr>
                      <w:rFonts w:hint="eastAsia" w:ascii="宋体" w:hAnsi="宋体" w:eastAsia="宋体" w:cs="宋体"/>
                      <w:b/>
                      <w:bCs/>
                      <w:i w:val="0"/>
                      <w:iCs w:val="0"/>
                      <w:color w:val="auto"/>
                      <w:kern w:val="0"/>
                      <w:sz w:val="21"/>
                      <w:szCs w:val="21"/>
                      <w:u w:val="none"/>
                      <w:lang w:val="en-US" w:eastAsia="zh-CN" w:bidi="ar"/>
                    </w:rPr>
                    <w:t>原料）</w:t>
                  </w:r>
                </w:p>
              </w:tc>
              <w:tc>
                <w:tcPr>
                  <w:tcW w:w="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6CB5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AF2D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3D9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年工作小时</w:t>
                  </w:r>
                  <w:r>
                    <w:rPr>
                      <w:rFonts w:hint="default" w:ascii="Times New Roman" w:hAnsi="Times New Roman" w:eastAsia="宋体" w:cs="Times New Roman"/>
                      <w:b/>
                      <w:bCs/>
                      <w:i w:val="0"/>
                      <w:iCs w:val="0"/>
                      <w:color w:val="auto"/>
                      <w:kern w:val="0"/>
                      <w:sz w:val="21"/>
                      <w:szCs w:val="21"/>
                      <w:u w:val="none"/>
                      <w:lang w:val="en-US" w:eastAsia="zh-CN" w:bidi="ar"/>
                    </w:rPr>
                    <w:t>h</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599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收集效率</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FA8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处理效率</w:t>
                  </w:r>
                </w:p>
              </w:tc>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E52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无组织排放</w:t>
                  </w:r>
                </w:p>
              </w:tc>
            </w:tr>
            <w:tr w14:paraId="5FF3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87C2">
                  <w:pPr>
                    <w:jc w:val="center"/>
                    <w:rPr>
                      <w:rFonts w:hint="eastAsia" w:ascii="宋体" w:hAnsi="宋体" w:eastAsia="宋体" w:cs="宋体"/>
                      <w:b/>
                      <w:bCs/>
                      <w:i w:val="0"/>
                      <w:iCs w:val="0"/>
                      <w:color w:val="auto"/>
                      <w:sz w:val="21"/>
                      <w:szCs w:val="21"/>
                      <w:u w:val="none"/>
                    </w:rPr>
                  </w:pP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FBFC">
                  <w:pPr>
                    <w:jc w:val="center"/>
                    <w:rPr>
                      <w:rFonts w:hint="eastAsia" w:ascii="宋体" w:hAnsi="宋体" w:eastAsia="宋体" w:cs="宋体"/>
                      <w:b/>
                      <w:bCs/>
                      <w:i w:val="0"/>
                      <w:iCs w:val="0"/>
                      <w:color w:val="auto"/>
                      <w:sz w:val="21"/>
                      <w:szCs w:val="21"/>
                      <w:u w:val="none"/>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6336">
                  <w:pPr>
                    <w:jc w:val="center"/>
                    <w:rPr>
                      <w:rFonts w:hint="eastAsia" w:ascii="宋体" w:hAnsi="宋体" w:eastAsia="宋体" w:cs="宋体"/>
                      <w:b/>
                      <w:bCs/>
                      <w:i w:val="0"/>
                      <w:iCs w:val="0"/>
                      <w:color w:val="auto"/>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A3AE">
                  <w:pPr>
                    <w:jc w:val="center"/>
                    <w:rPr>
                      <w:rFonts w:hint="eastAsia" w:ascii="宋体" w:hAnsi="宋体" w:eastAsia="宋体" w:cs="宋体"/>
                      <w:b/>
                      <w:bCs/>
                      <w:i w:val="0"/>
                      <w:iCs w:val="0"/>
                      <w:color w:val="auto"/>
                      <w:sz w:val="21"/>
                      <w:szCs w:val="21"/>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436B">
                  <w:pPr>
                    <w:jc w:val="center"/>
                    <w:rPr>
                      <w:rFonts w:hint="eastAsia" w:ascii="宋体" w:hAnsi="宋体" w:eastAsia="宋体" w:cs="宋体"/>
                      <w:b/>
                      <w:bCs/>
                      <w:i w:val="0"/>
                      <w:iCs w:val="0"/>
                      <w:color w:val="auto"/>
                      <w:sz w:val="21"/>
                      <w:szCs w:val="21"/>
                      <w:u w:val="none"/>
                    </w:rPr>
                  </w:pPr>
                </w:p>
              </w:tc>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93BB">
                  <w:pPr>
                    <w:jc w:val="center"/>
                    <w:rPr>
                      <w:rFonts w:hint="eastAsia" w:ascii="宋体" w:hAnsi="宋体" w:eastAsia="宋体" w:cs="宋体"/>
                      <w:b/>
                      <w:bCs/>
                      <w:i w:val="0"/>
                      <w:iCs w:val="0"/>
                      <w:color w:val="auto"/>
                      <w:sz w:val="21"/>
                      <w:szCs w:val="21"/>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7574">
                  <w:pPr>
                    <w:jc w:val="center"/>
                    <w:rPr>
                      <w:rFonts w:hint="eastAsia" w:ascii="宋体" w:hAnsi="宋体" w:eastAsia="宋体" w:cs="宋体"/>
                      <w:b/>
                      <w:bCs/>
                      <w:i w:val="0"/>
                      <w:iCs w:val="0"/>
                      <w:color w:val="auto"/>
                      <w:sz w:val="21"/>
                      <w:szCs w:val="21"/>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EB1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排放量（t/a）</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C0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排放速率（kg/h）</w:t>
                  </w:r>
                </w:p>
              </w:tc>
            </w:tr>
            <w:tr w14:paraId="5B59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90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18.5625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6D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42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0.171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EB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0.088 </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C3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C7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A9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46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3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r>
          </w:tbl>
          <w:p w14:paraId="0E747713">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66156AD7">
            <w:pPr>
              <w:widowControl w:val="0"/>
              <w:kinsoku/>
              <w:autoSpaceDE/>
              <w:autoSpaceDN/>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天然气燃烧废气</w:t>
            </w:r>
          </w:p>
          <w:p w14:paraId="5DD9DD7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GB"/>
              </w:rPr>
              <w:t>本项目</w:t>
            </w:r>
            <w:r>
              <w:rPr>
                <w:rFonts w:hint="eastAsia" w:cs="Times New Roman"/>
                <w:color w:val="auto"/>
                <w:sz w:val="24"/>
                <w:szCs w:val="24"/>
                <w:highlight w:val="none"/>
                <w:lang w:val="en-US" w:eastAsia="zh-CN"/>
              </w:rPr>
              <w:t>烘干、固化</w:t>
            </w:r>
            <w:r>
              <w:rPr>
                <w:rFonts w:hint="default" w:ascii="Times New Roman" w:hAnsi="Times New Roman" w:cs="Times New Roman"/>
                <w:color w:val="auto"/>
                <w:sz w:val="24"/>
                <w:szCs w:val="24"/>
                <w:highlight w:val="none"/>
                <w:lang w:val="en-US" w:eastAsia="zh-CN"/>
              </w:rPr>
              <w:t>工序</w:t>
            </w:r>
            <w:r>
              <w:rPr>
                <w:rFonts w:hint="default" w:ascii="Times New Roman" w:hAnsi="Times New Roman" w:cs="Times New Roman"/>
                <w:color w:val="auto"/>
                <w:sz w:val="24"/>
                <w:szCs w:val="24"/>
                <w:highlight w:val="none"/>
                <w:lang w:val="en-GB"/>
              </w:rPr>
              <w:t>以天然气为燃料</w:t>
            </w:r>
            <w:r>
              <w:rPr>
                <w:rFonts w:hint="eastAsia" w:cs="Times New Roman"/>
                <w:color w:val="auto"/>
                <w:sz w:val="24"/>
                <w:szCs w:val="24"/>
                <w:highlight w:val="none"/>
                <w:lang w:val="en-GB" w:eastAsia="zh-CN"/>
              </w:rPr>
              <w:t>，</w:t>
            </w:r>
            <w:r>
              <w:rPr>
                <w:rFonts w:hint="eastAsia" w:cs="Times New Roman"/>
                <w:color w:val="auto"/>
                <w:sz w:val="24"/>
                <w:szCs w:val="24"/>
                <w:highlight w:val="none"/>
                <w:lang w:val="en-US" w:eastAsia="zh-CN"/>
              </w:rPr>
              <w:t>年用量分别为44752m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和137496m</w:t>
            </w:r>
            <w:r>
              <w:rPr>
                <w:rFonts w:hint="eastAsia"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GB"/>
              </w:rPr>
              <w:t>，</w:t>
            </w:r>
            <w:r>
              <w:rPr>
                <w:rFonts w:hint="default" w:ascii="Times New Roman" w:hAnsi="Times New Roman" w:eastAsia="宋体" w:cs="Times New Roman"/>
                <w:color w:val="auto"/>
                <w:sz w:val="24"/>
                <w:szCs w:val="24"/>
                <w:highlight w:val="none"/>
                <w:lang w:val="en-US" w:eastAsia="zh-CN"/>
              </w:rPr>
              <w:t>本项目天然气用量</w:t>
            </w:r>
            <w:r>
              <w:rPr>
                <w:rFonts w:hint="eastAsia" w:cs="Times New Roman"/>
                <w:color w:val="auto"/>
                <w:sz w:val="24"/>
                <w:szCs w:val="24"/>
                <w:highlight w:val="none"/>
                <w:lang w:val="en-US" w:eastAsia="zh-CN"/>
              </w:rPr>
              <w:t>合计</w:t>
            </w:r>
            <w:r>
              <w:rPr>
                <w:rFonts w:hint="default" w:ascii="Times New Roman" w:hAnsi="Times New Roman" w:eastAsia="宋体" w:cs="Times New Roman"/>
                <w:color w:val="auto"/>
                <w:sz w:val="24"/>
                <w:szCs w:val="24"/>
                <w:highlight w:val="none"/>
                <w:lang w:val="en-US" w:eastAsia="zh-CN"/>
              </w:rPr>
              <w:t>为182248m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/a。本项目使用天然气属于《天然气》（GB17820-2018）中的二类气体，其含硫量≤100mg/m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。天然气燃烧过程中，氮氧化物、二氧化硫和工业废气量参考《排放源统计调查产排污核算方法和系数手册》中“机械行业系数手册”内“14涂装天然气工业炉窑”产污系数。</w:t>
            </w:r>
            <w:r>
              <w:rPr>
                <w:rFonts w:hint="default" w:ascii="Times New Roman" w:hAnsi="Times New Roman" w:cs="Times New Roman"/>
                <w:color w:val="auto"/>
                <w:kern w:val="0"/>
                <w:sz w:val="24"/>
                <w:szCs w:val="24"/>
                <w:highlight w:val="none"/>
                <w:lang w:bidi="ar"/>
              </w:rPr>
              <w:t>本项目</w:t>
            </w:r>
            <w:r>
              <w:rPr>
                <w:rFonts w:hint="eastAsia" w:cs="Times New Roman"/>
                <w:color w:val="auto"/>
                <w:kern w:val="0"/>
                <w:sz w:val="24"/>
                <w:szCs w:val="24"/>
                <w:highlight w:val="none"/>
                <w:lang w:val="en-US" w:eastAsia="zh-CN" w:bidi="ar"/>
              </w:rPr>
              <w:t>固化、烘干工序</w:t>
            </w:r>
            <w:r>
              <w:rPr>
                <w:rFonts w:hint="default" w:ascii="Times New Roman" w:hAnsi="Times New Roman" w:cs="Times New Roman"/>
                <w:color w:val="auto"/>
                <w:kern w:val="0"/>
                <w:sz w:val="24"/>
                <w:szCs w:val="24"/>
                <w:highlight w:val="none"/>
                <w:lang w:bidi="ar"/>
              </w:rPr>
              <w:t>年工作时间</w:t>
            </w:r>
            <w:r>
              <w:rPr>
                <w:rFonts w:hint="default" w:ascii="Times New Roman" w:hAnsi="Times New Roman" w:cs="Times New Roman"/>
                <w:color w:val="auto"/>
                <w:kern w:val="0"/>
                <w:sz w:val="24"/>
                <w:szCs w:val="24"/>
                <w:highlight w:val="none"/>
                <w:lang w:val="en-US" w:eastAsia="zh-CN" w:bidi="ar"/>
              </w:rPr>
              <w:t>1928</w:t>
            </w:r>
            <w:r>
              <w:rPr>
                <w:rFonts w:hint="default" w:ascii="Times New Roman" w:hAnsi="Times New Roman" w:cs="Times New Roman"/>
                <w:color w:val="auto"/>
                <w:kern w:val="0"/>
                <w:sz w:val="24"/>
                <w:szCs w:val="24"/>
                <w:highlight w:val="none"/>
                <w:lang w:bidi="ar"/>
              </w:rPr>
              <w:t>h</w:t>
            </w:r>
            <w:r>
              <w:rPr>
                <w:rFonts w:hint="default" w:ascii="Times New Roman" w:hAnsi="Times New Roman" w:cs="Times New Roman"/>
                <w:color w:val="auto"/>
                <w:kern w:val="0"/>
                <w:sz w:val="24"/>
                <w:szCs w:val="24"/>
                <w:highlight w:val="none"/>
                <w:lang w:eastAsia="zh-CN" w:bidi="ar"/>
              </w:rPr>
              <w:t>。</w:t>
            </w:r>
          </w:p>
          <w:p w14:paraId="2C3CB9E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燃烧机燃烧天然气的污染物产生情况如下：</w:t>
            </w:r>
          </w:p>
          <w:p w14:paraId="7F263F9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eastAsia="宋体" w:cs="Times New Roman"/>
                <w:b/>
                <w:color w:val="auto"/>
                <w:kern w:val="2"/>
                <w:sz w:val="21"/>
                <w:szCs w:val="21"/>
                <w:lang w:val="en-US" w:eastAsia="zh-CN" w:bidi="ar-SA"/>
              </w:rPr>
              <w:t>表4-1</w:t>
            </w:r>
            <w:r>
              <w:rPr>
                <w:rFonts w:hint="eastAsia" w:cs="Times New Roman"/>
                <w:b/>
                <w:color w:val="auto"/>
                <w:kern w:val="2"/>
                <w:sz w:val="21"/>
                <w:szCs w:val="21"/>
                <w:lang w:val="en-US" w:eastAsia="zh-CN" w:bidi="ar-SA"/>
              </w:rPr>
              <w:t>0</w:t>
            </w:r>
            <w:r>
              <w:rPr>
                <w:rFonts w:hint="default" w:ascii="Times New Roman" w:hAnsi="Times New Roman" w:cs="Times New Roman"/>
                <w:b/>
                <w:bCs/>
                <w:color w:val="auto"/>
                <w:sz w:val="21"/>
                <w:szCs w:val="21"/>
                <w:highlight w:val="none"/>
                <w:lang w:bidi="ar"/>
              </w:rPr>
              <w:t>天然气燃烧废气产生情况一览表</w:t>
            </w:r>
          </w:p>
          <w:tbl>
            <w:tblPr>
              <w:tblStyle w:val="48"/>
              <w:tblW w:w="946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1"/>
              <w:gridCol w:w="1172"/>
              <w:gridCol w:w="1262"/>
              <w:gridCol w:w="1185"/>
              <w:gridCol w:w="1172"/>
              <w:gridCol w:w="1172"/>
              <w:gridCol w:w="1172"/>
            </w:tblGrid>
            <w:tr w14:paraId="12B4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F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FF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废气产生点</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2E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天然气消耗量（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C4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参数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1D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产污系数</w:t>
                  </w:r>
                  <w:r>
                    <w:rPr>
                      <w:rFonts w:hint="eastAsia" w:ascii="宋体" w:hAnsi="宋体" w:eastAsia="宋体" w:cs="宋体"/>
                      <w:i w:val="0"/>
                      <w:iCs w:val="0"/>
                      <w:color w:val="auto"/>
                      <w:kern w:val="0"/>
                      <w:sz w:val="21"/>
                      <w:szCs w:val="21"/>
                      <w:u w:val="none"/>
                      <w:lang w:val="en-US" w:eastAsia="zh-CN" w:bidi="ar"/>
                    </w:rPr>
                    <w:t>万</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28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3D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r>
            <w:tr w14:paraId="7E45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1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33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表面预处理烘干烘道</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C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44752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39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工业废气量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58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5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27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11000 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4FAC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3D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98CD">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D9CE">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42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4A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CC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F5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r>
            <w:tr w14:paraId="5A71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AF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7E4D">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9629">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6E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C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0.00187</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42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BA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r>
            <w:tr w14:paraId="05FC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D1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2E52">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6182">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86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6B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0.000286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40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8B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33D5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B8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7F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喷漆烘干固化</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C6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137496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90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工业废气量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BE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C0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57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40000Nm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682F0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92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C9CC">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CF46">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19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EE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D1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8D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r>
            <w:tr w14:paraId="73CC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8A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7.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DD50">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CB91">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54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3F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0.00187</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A4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B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6002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AF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5480">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FCC1">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9E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FC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0.000286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83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69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r>
            <w:tr w14:paraId="1077F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6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42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FD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182248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A8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16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F9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E6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0.019 </w:t>
                  </w:r>
                </w:p>
              </w:tc>
            </w:tr>
            <w:tr w14:paraId="54F86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F1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295A">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EAE3">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AF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FD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6D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57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0.177 </w:t>
                  </w:r>
                </w:p>
              </w:tc>
            </w:tr>
            <w:tr w14:paraId="3AC5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91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02C">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4ED3">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D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D0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86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0.052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48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r>
            <w:tr w14:paraId="375A8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4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5C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注：①</w:t>
                  </w: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eastAsia" w:ascii="宋体" w:hAnsi="宋体" w:eastAsia="宋体" w:cs="宋体"/>
                      <w:i w:val="0"/>
                      <w:iCs w:val="0"/>
                      <w:color w:val="auto"/>
                      <w:kern w:val="0"/>
                      <w:sz w:val="21"/>
                      <w:szCs w:val="21"/>
                      <w:u w:val="none"/>
                      <w:lang w:val="en-US" w:eastAsia="zh-CN" w:bidi="ar"/>
                    </w:rPr>
                    <w:t>的产生系数为</w:t>
                  </w: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，其中</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为燃料中的含硫量，根据《天然气》（</w:t>
                  </w:r>
                  <w:r>
                    <w:rPr>
                      <w:rFonts w:hint="default" w:ascii="Times New Roman" w:hAnsi="Times New Roman" w:eastAsia="宋体" w:cs="Times New Roman"/>
                      <w:i w:val="0"/>
                      <w:iCs w:val="0"/>
                      <w:color w:val="auto"/>
                      <w:kern w:val="0"/>
                      <w:sz w:val="21"/>
                      <w:szCs w:val="21"/>
                      <w:u w:val="none"/>
                      <w:lang w:val="en-US" w:eastAsia="zh-CN" w:bidi="ar"/>
                    </w:rPr>
                    <w:t>GB17820-2018</w:t>
                  </w:r>
                  <w:r>
                    <w:rPr>
                      <w:rFonts w:hint="eastAsia" w:ascii="宋体" w:hAnsi="宋体" w:eastAsia="宋体" w:cs="宋体"/>
                      <w:i w:val="0"/>
                      <w:iCs w:val="0"/>
                      <w:color w:val="auto"/>
                      <w:kern w:val="0"/>
                      <w:sz w:val="21"/>
                      <w:szCs w:val="21"/>
                      <w:u w:val="none"/>
                      <w:lang w:val="en-US" w:eastAsia="zh-CN" w:bidi="ar"/>
                    </w:rPr>
                    <w:t>）中的二类标准含</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量最高不超</w:t>
                  </w:r>
                  <w:r>
                    <w:rPr>
                      <w:rFonts w:hint="default" w:ascii="Times New Roman" w:hAnsi="Times New Roman" w:eastAsia="宋体" w:cs="Times New Roman"/>
                      <w:i w:val="0"/>
                      <w:iCs w:val="0"/>
                      <w:color w:val="auto"/>
                      <w:kern w:val="0"/>
                      <w:sz w:val="21"/>
                      <w:szCs w:val="21"/>
                      <w:u w:val="none"/>
                      <w:lang w:val="en-US" w:eastAsia="zh-CN" w:bidi="ar"/>
                    </w:rPr>
                    <w:t>100mg/m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宋体" w:hAnsi="宋体" w:eastAsia="宋体" w:cs="宋体"/>
                      <w:i w:val="0"/>
                      <w:iCs w:val="0"/>
                      <w:color w:val="auto"/>
                      <w:kern w:val="0"/>
                      <w:sz w:val="21"/>
                      <w:szCs w:val="21"/>
                      <w:u w:val="none"/>
                      <w:lang w:val="en-US" w:eastAsia="zh-CN" w:bidi="ar"/>
                    </w:rPr>
                    <w:t>计算，即</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取</w:t>
                  </w: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w:t>
                  </w:r>
                </w:p>
              </w:tc>
            </w:tr>
          </w:tbl>
          <w:p w14:paraId="3616BE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固化工序</w:t>
            </w:r>
            <w:r>
              <w:rPr>
                <w:rFonts w:hint="default" w:ascii="Times New Roman" w:hAnsi="Times New Roman" w:cs="Times New Roman"/>
                <w:color w:val="auto"/>
                <w:sz w:val="24"/>
                <w:highlight w:val="none"/>
              </w:rPr>
              <w:t>燃烧机燃烧天然气产生的热烟气，经</w:t>
            </w:r>
            <w:r>
              <w:rPr>
                <w:rFonts w:hint="eastAsia" w:cs="Times New Roman"/>
                <w:color w:val="auto"/>
                <w:sz w:val="24"/>
                <w:highlight w:val="none"/>
                <w:lang w:val="en-US" w:eastAsia="zh-CN"/>
              </w:rPr>
              <w:t>固化</w:t>
            </w:r>
            <w:r>
              <w:rPr>
                <w:rFonts w:hint="default" w:ascii="Times New Roman" w:hAnsi="Times New Roman" w:cs="Times New Roman"/>
                <w:color w:val="auto"/>
                <w:sz w:val="24"/>
                <w:highlight w:val="none"/>
              </w:rPr>
              <w:t>通道首尾两端设置的集气罩收集，与通道设置的直连排风管一并引至15m高排气筒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DA00</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高空排放。</w:t>
            </w:r>
            <w:r>
              <w:rPr>
                <w:rFonts w:hint="eastAsia" w:cs="Times New Roman"/>
                <w:color w:val="auto"/>
                <w:sz w:val="24"/>
                <w:highlight w:val="none"/>
                <w:lang w:val="en-US" w:eastAsia="zh-CN"/>
              </w:rPr>
              <w:t>烘干工序</w:t>
            </w:r>
            <w:r>
              <w:rPr>
                <w:rFonts w:hint="default" w:ascii="Times New Roman" w:hAnsi="Times New Roman" w:cs="Times New Roman"/>
                <w:color w:val="auto"/>
                <w:sz w:val="24"/>
                <w:highlight w:val="none"/>
              </w:rPr>
              <w:t>燃烧机燃烧天然气产生的热烟气，经</w:t>
            </w:r>
            <w:r>
              <w:rPr>
                <w:rFonts w:hint="eastAsia" w:cs="Times New Roman"/>
                <w:color w:val="auto"/>
                <w:sz w:val="24"/>
                <w:highlight w:val="none"/>
                <w:lang w:val="en-US" w:eastAsia="zh-CN"/>
              </w:rPr>
              <w:t>烘干通道</w:t>
            </w:r>
            <w:r>
              <w:rPr>
                <w:rFonts w:hint="default" w:ascii="Times New Roman" w:hAnsi="Times New Roman" w:cs="Times New Roman"/>
                <w:color w:val="auto"/>
                <w:sz w:val="24"/>
                <w:highlight w:val="none"/>
              </w:rPr>
              <w:t>首尾两端设置的集气罩收集，与</w:t>
            </w:r>
            <w:r>
              <w:rPr>
                <w:rFonts w:hint="eastAsia" w:cs="Times New Roman"/>
                <w:color w:val="auto"/>
                <w:sz w:val="24"/>
                <w:highlight w:val="none"/>
                <w:lang w:val="en-US" w:eastAsia="zh-CN"/>
              </w:rPr>
              <w:t>烘干</w:t>
            </w:r>
            <w:r>
              <w:rPr>
                <w:rFonts w:hint="default" w:ascii="Times New Roman" w:hAnsi="Times New Roman" w:cs="Times New Roman"/>
                <w:color w:val="auto"/>
                <w:sz w:val="24"/>
                <w:highlight w:val="none"/>
              </w:rPr>
              <w:t>通道设置的直连排风管一并引至15m高排气筒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DA00</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高空排放。</w:t>
            </w:r>
          </w:p>
          <w:p w14:paraId="66BEC5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根据建设项目提供环保工程资料，</w:t>
            </w:r>
            <w:r>
              <w:rPr>
                <w:rFonts w:hint="eastAsia" w:cs="Times New Roman"/>
                <w:color w:val="auto"/>
                <w:sz w:val="24"/>
                <w:highlight w:val="none"/>
                <w:lang w:val="en-US" w:eastAsia="zh-CN"/>
              </w:rPr>
              <w:t>固化</w:t>
            </w:r>
            <w:r>
              <w:rPr>
                <w:rFonts w:hint="default" w:ascii="Times New Roman" w:hAnsi="Times New Roman" w:cs="Times New Roman"/>
                <w:color w:val="auto"/>
                <w:sz w:val="24"/>
                <w:highlight w:val="none"/>
                <w:lang w:val="en-US" w:eastAsia="zh-CN"/>
              </w:rPr>
              <w:t>通道</w:t>
            </w:r>
            <w:r>
              <w:rPr>
                <w:rFonts w:hint="default" w:ascii="Times New Roman" w:hAnsi="Times New Roman" w:cs="Times New Roman"/>
                <w:color w:val="auto"/>
                <w:sz w:val="24"/>
                <w:highlight w:val="none"/>
              </w:rPr>
              <w:t>集气罩尺寸配置及风量计算如下表所示。</w:t>
            </w:r>
          </w:p>
          <w:p w14:paraId="38943203">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kern w:val="2"/>
                <w:sz w:val="21"/>
                <w:szCs w:val="21"/>
                <w:lang w:val="en-US" w:eastAsia="zh-CN" w:bidi="ar"/>
              </w:rPr>
              <w:t>表4-1</w:t>
            </w:r>
            <w:r>
              <w:rPr>
                <w:rFonts w:hint="eastAsia" w:cs="Times New Roman"/>
                <w:b/>
                <w:bCs/>
                <w:color w:val="auto"/>
                <w:kern w:val="2"/>
                <w:sz w:val="21"/>
                <w:szCs w:val="21"/>
                <w:lang w:val="en-US" w:eastAsia="zh-CN" w:bidi="ar"/>
              </w:rPr>
              <w:t>1</w:t>
            </w:r>
            <w:r>
              <w:rPr>
                <w:rFonts w:hint="default" w:ascii="Times New Roman" w:hAnsi="Times New Roman" w:eastAsia="宋体" w:cs="Times New Roman"/>
                <w:b/>
                <w:bCs/>
                <w:color w:val="auto"/>
                <w:sz w:val="21"/>
                <w:szCs w:val="21"/>
                <w:highlight w:val="none"/>
                <w:lang w:val="en-US" w:eastAsia="zh-CN" w:bidi="ar"/>
              </w:rPr>
              <w:t>天然气燃烧</w:t>
            </w:r>
            <w:r>
              <w:rPr>
                <w:rFonts w:hint="default" w:ascii="Times New Roman" w:hAnsi="Times New Roman" w:eastAsia="宋体" w:cs="Times New Roman"/>
                <w:b/>
                <w:bCs/>
                <w:color w:val="auto"/>
                <w:sz w:val="21"/>
                <w:szCs w:val="21"/>
                <w:highlight w:val="none"/>
                <w:lang w:bidi="ar"/>
              </w:rPr>
              <w:t>废气集气罩风量一览表</w:t>
            </w:r>
          </w:p>
          <w:tbl>
            <w:tblPr>
              <w:tblStyle w:val="48"/>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5"/>
              <w:gridCol w:w="695"/>
              <w:gridCol w:w="659"/>
              <w:gridCol w:w="703"/>
              <w:gridCol w:w="670"/>
              <w:gridCol w:w="908"/>
              <w:gridCol w:w="878"/>
              <w:gridCol w:w="878"/>
              <w:gridCol w:w="675"/>
              <w:gridCol w:w="1128"/>
            </w:tblGrid>
            <w:tr w14:paraId="4808F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3" w:type="pct"/>
                  <w:vMerge w:val="restart"/>
                  <w:tcBorders>
                    <w:top w:val="single" w:color="000000" w:sz="4" w:space="0"/>
                    <w:left w:val="single" w:color="000000" w:sz="4" w:space="0"/>
                    <w:bottom w:val="single" w:color="000000" w:sz="4" w:space="0"/>
                    <w:right w:val="single" w:color="000000" w:sz="4" w:space="0"/>
                  </w:tcBorders>
                  <w:noWrap w:val="0"/>
                  <w:vAlign w:val="center"/>
                </w:tcPr>
                <w:p w14:paraId="41AC15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产污类别</w:t>
                  </w:r>
                </w:p>
              </w:tc>
              <w:tc>
                <w:tcPr>
                  <w:tcW w:w="41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8E84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产污设备</w:t>
                  </w:r>
                </w:p>
              </w:tc>
              <w:tc>
                <w:tcPr>
                  <w:tcW w:w="39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68F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设备数量</w:t>
                  </w:r>
                </w:p>
              </w:tc>
              <w:tc>
                <w:tcPr>
                  <w:tcW w:w="1878" w:type="pct"/>
                  <w:gridSpan w:val="4"/>
                  <w:tcBorders>
                    <w:top w:val="single" w:color="000000" w:sz="4" w:space="0"/>
                    <w:left w:val="single" w:color="000000" w:sz="4" w:space="0"/>
                    <w:bottom w:val="single" w:color="000000" w:sz="4" w:space="0"/>
                    <w:right w:val="single" w:color="000000" w:sz="4" w:space="0"/>
                  </w:tcBorders>
                  <w:noWrap w:val="0"/>
                  <w:vAlign w:val="center"/>
                </w:tcPr>
                <w:p w14:paraId="3D647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集气罩参数</w:t>
                  </w:r>
                </w:p>
              </w:tc>
              <w:tc>
                <w:tcPr>
                  <w:tcW w:w="522" w:type="pct"/>
                  <w:vMerge w:val="restart"/>
                  <w:tcBorders>
                    <w:top w:val="single" w:color="000000" w:sz="4" w:space="0"/>
                    <w:left w:val="single" w:color="000000" w:sz="4" w:space="0"/>
                    <w:bottom w:val="single" w:color="000000" w:sz="4" w:space="0"/>
                    <w:right w:val="single" w:color="000000" w:sz="4" w:space="0"/>
                  </w:tcBorders>
                  <w:noWrap w:val="0"/>
                  <w:vAlign w:val="center"/>
                </w:tcPr>
                <w:p w14:paraId="606F0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单个集气罩风量m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c>
                <w:tcPr>
                  <w:tcW w:w="401" w:type="pct"/>
                  <w:vMerge w:val="restart"/>
                  <w:tcBorders>
                    <w:top w:val="single" w:color="000000" w:sz="4" w:space="0"/>
                    <w:left w:val="single" w:color="000000" w:sz="4" w:space="0"/>
                    <w:bottom w:val="single" w:color="000000" w:sz="4" w:space="0"/>
                    <w:right w:val="single" w:color="000000" w:sz="4" w:space="0"/>
                  </w:tcBorders>
                  <w:noWrap w:val="0"/>
                  <w:vAlign w:val="center"/>
                </w:tcPr>
                <w:p w14:paraId="7D054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总集气罩数量</w:t>
                  </w:r>
                </w:p>
              </w:tc>
              <w:tc>
                <w:tcPr>
                  <w:tcW w:w="668" w:type="pct"/>
                  <w:vMerge w:val="restart"/>
                  <w:tcBorders>
                    <w:top w:val="single" w:color="000000" w:sz="4" w:space="0"/>
                    <w:left w:val="single" w:color="000000" w:sz="4" w:space="0"/>
                    <w:bottom w:val="single" w:color="000000" w:sz="4" w:space="0"/>
                    <w:right w:val="single" w:color="000000" w:sz="4" w:space="0"/>
                  </w:tcBorders>
                  <w:noWrap w:val="0"/>
                  <w:vAlign w:val="center"/>
                </w:tcPr>
                <w:p w14:paraId="56E16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集气罩计算总风量m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r>
            <w:tr w14:paraId="2019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BB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E23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8E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7EB3A0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长度m</w:t>
                  </w:r>
                </w:p>
              </w:tc>
              <w:tc>
                <w:tcPr>
                  <w:tcW w:w="398" w:type="pct"/>
                  <w:tcBorders>
                    <w:top w:val="single" w:color="000000" w:sz="4" w:space="0"/>
                    <w:left w:val="single" w:color="000000" w:sz="4" w:space="0"/>
                    <w:bottom w:val="single" w:color="000000" w:sz="4" w:space="0"/>
                    <w:right w:val="single" w:color="000000" w:sz="4" w:space="0"/>
                  </w:tcBorders>
                  <w:noWrap w:val="0"/>
                  <w:vAlign w:val="center"/>
                </w:tcPr>
                <w:p w14:paraId="3CFA99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宽度m</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9641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至罩口距离m</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3458C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控制风速m/s</w:t>
                  </w:r>
                </w:p>
              </w:tc>
              <w:tc>
                <w:tcPr>
                  <w:tcW w:w="5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B1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86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6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54E5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r>
            <w:tr w14:paraId="4F6E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723" w:type="pct"/>
                  <w:tcBorders>
                    <w:top w:val="single" w:color="000000" w:sz="4" w:space="0"/>
                    <w:left w:val="single" w:color="000000" w:sz="4" w:space="0"/>
                    <w:bottom w:val="single" w:color="000000" w:sz="4" w:space="0"/>
                    <w:right w:val="single" w:color="000000" w:sz="4" w:space="0"/>
                  </w:tcBorders>
                  <w:noWrap w:val="0"/>
                  <w:vAlign w:val="center"/>
                </w:tcPr>
                <w:p w14:paraId="5036D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天然气燃烧废气（DA00</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89AF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烘水通道</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95011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5A2EA6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w:t>
                  </w:r>
                </w:p>
              </w:tc>
              <w:tc>
                <w:tcPr>
                  <w:tcW w:w="669" w:type="dxa"/>
                  <w:tcBorders>
                    <w:top w:val="single" w:color="000000" w:sz="4" w:space="0"/>
                    <w:left w:val="single" w:color="000000" w:sz="4" w:space="0"/>
                    <w:bottom w:val="single" w:color="000000" w:sz="4" w:space="0"/>
                    <w:right w:val="single" w:color="000000" w:sz="4" w:space="0"/>
                  </w:tcBorders>
                  <w:noWrap/>
                  <w:vAlign w:val="center"/>
                </w:tcPr>
                <w:p w14:paraId="1907A9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0.5</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CBBA3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376059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45C56C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2419.2</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71F7A8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668" w:type="pct"/>
                  <w:tcBorders>
                    <w:top w:val="single" w:color="000000" w:sz="4" w:space="0"/>
                    <w:left w:val="single" w:color="000000" w:sz="4" w:space="0"/>
                    <w:bottom w:val="single" w:color="000000" w:sz="4" w:space="0"/>
                    <w:right w:val="single" w:color="000000" w:sz="4" w:space="0"/>
                  </w:tcBorders>
                  <w:noWrap/>
                  <w:vAlign w:val="center"/>
                </w:tcPr>
                <w:p w14:paraId="0249E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9676.8</w:t>
                  </w:r>
                </w:p>
              </w:tc>
            </w:tr>
            <w:tr w14:paraId="274AC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3" w:type="pct"/>
                  <w:tcBorders>
                    <w:top w:val="single" w:color="000000" w:sz="4" w:space="0"/>
                    <w:left w:val="single" w:color="000000" w:sz="4" w:space="0"/>
                    <w:bottom w:val="single" w:color="000000" w:sz="4" w:space="0"/>
                    <w:right w:val="single" w:color="000000" w:sz="4" w:space="0"/>
                  </w:tcBorders>
                  <w:noWrap w:val="0"/>
                  <w:vAlign w:val="center"/>
                </w:tcPr>
                <w:p w14:paraId="079872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天然气燃烧废气（DA00</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9A030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固化炉</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011913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79AA133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noWrap/>
                  <w:vAlign w:val="center"/>
                </w:tcPr>
                <w:p w14:paraId="739CD54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C51E38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0A6C701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0.5</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2A59A48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4536</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DDC82B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A25D92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36288</w:t>
                  </w:r>
                </w:p>
              </w:tc>
            </w:tr>
            <w:tr w14:paraId="20BE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482D3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注：在烘干通道两端各设置1只集气罩。</w:t>
                  </w:r>
                </w:p>
                <w:p w14:paraId="69585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59"/>
                      <w:rFonts w:hint="default" w:ascii="Times New Roman" w:hAnsi="Times New Roman" w:cs="Times New Roman"/>
                      <w:color w:val="auto"/>
                      <w:sz w:val="21"/>
                      <w:szCs w:val="21"/>
                      <w:highlight w:val="none"/>
                    </w:rPr>
                    <w:t>依据《简明通风设计手册》[主编：孙一坚（湖南大学），中国建筑工业出版社出版]，上吸式集气罩的排风量计算公式为：</w:t>
                  </w:r>
                </w:p>
                <w:p w14:paraId="1A030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630" w:firstLineChars="30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lang w:val="en-US" w:eastAsia="zh-CN"/>
                    </w:rPr>
                    <w:t>Q=</w:t>
                  </w:r>
                  <w:r>
                    <w:rPr>
                      <w:rFonts w:hint="default" w:ascii="Times New Roman" w:hAnsi="Times New Roman" w:cs="Times New Roman"/>
                      <w:color w:val="auto"/>
                      <w:sz w:val="21"/>
                      <w:szCs w:val="21"/>
                      <w:highlight w:val="none"/>
                    </w:rPr>
                    <w:t>K×P×H×</w:t>
                  </w:r>
                  <w:r>
                    <w:rPr>
                      <w:rFonts w:hint="default" w:ascii="Times New Roman" w:hAnsi="Times New Roman" w:eastAsia="宋体" w:cs="Times New Roman"/>
                      <w:b w:val="0"/>
                      <w:bCs w:val="0"/>
                      <w:color w:val="auto"/>
                      <w:sz w:val="21"/>
                      <w:szCs w:val="21"/>
                      <w:lang w:val="en-US" w:eastAsia="zh-CN"/>
                    </w:rPr>
                    <w:t>υ</w:t>
                  </w:r>
                  <w:r>
                    <w:rPr>
                      <w:rStyle w:val="53"/>
                      <w:rFonts w:hint="default" w:ascii="Times New Roman" w:hAnsi="Times New Roman" w:eastAsia="宋体" w:cs="Times New Roman"/>
                      <w:i w:val="0"/>
                      <w:iCs w:val="0"/>
                      <w:caps w:val="0"/>
                      <w:color w:val="auto"/>
                      <w:spacing w:val="0"/>
                      <w:sz w:val="21"/>
                      <w:szCs w:val="21"/>
                      <w:shd w:val="clear" w:color="auto" w:fill="FFFFFF"/>
                      <w:vertAlign w:val="subscript"/>
                    </w:rPr>
                    <w:t>x</w:t>
                  </w:r>
                  <w:r>
                    <w:rPr>
                      <w:rFonts w:hint="default" w:ascii="Times New Roman" w:hAnsi="Times New Roman" w:eastAsia="宋体" w:cs="Times New Roman"/>
                      <w:b w:val="0"/>
                      <w:bCs w:val="0"/>
                      <w:color w:val="auto"/>
                      <w:sz w:val="21"/>
                      <w:szCs w:val="21"/>
                      <w:lang w:val="en-US" w:eastAsia="zh-CN"/>
                    </w:rPr>
                    <w:t>×3600</w:t>
                  </w:r>
                </w:p>
                <w:p w14:paraId="31736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59"/>
                      <w:rFonts w:hint="default" w:ascii="Times New Roman" w:hAnsi="Times New Roman" w:cs="Times New Roman"/>
                      <w:color w:val="auto"/>
                      <w:sz w:val="21"/>
                      <w:szCs w:val="21"/>
                      <w:highlight w:val="none"/>
                    </w:rPr>
                  </w:pPr>
                  <w:r>
                    <w:rPr>
                      <w:rStyle w:val="159"/>
                      <w:rFonts w:hint="default" w:ascii="Times New Roman" w:hAnsi="Times New Roman" w:cs="Times New Roman"/>
                      <w:color w:val="auto"/>
                      <w:sz w:val="21"/>
                      <w:szCs w:val="21"/>
                      <w:highlight w:val="none"/>
                    </w:rPr>
                    <w:t>式中：</w:t>
                  </w:r>
                </w:p>
                <w:p w14:paraId="04734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62"/>
                      <w:rFonts w:hint="default" w:ascii="Times New Roman" w:hAnsi="Times New Roman" w:cs="Times New Roman"/>
                      <w:color w:val="auto"/>
                      <w:sz w:val="21"/>
                      <w:szCs w:val="21"/>
                      <w:highlight w:val="none"/>
                    </w:rPr>
                    <w:t>Q</w:t>
                  </w:r>
                  <w:r>
                    <w:rPr>
                      <w:rStyle w:val="159"/>
                      <w:rFonts w:hint="default" w:ascii="Times New Roman" w:hAnsi="Times New Roman" w:cs="Times New Roman"/>
                      <w:color w:val="auto"/>
                      <w:sz w:val="21"/>
                      <w:szCs w:val="21"/>
                      <w:highlight w:val="none"/>
                    </w:rPr>
                    <w:t>：集气罩排风量，</w:t>
                  </w:r>
                  <w:r>
                    <w:rPr>
                      <w:rStyle w:val="162"/>
                      <w:rFonts w:hint="default" w:ascii="Times New Roman" w:hAnsi="Times New Roman" w:cs="Times New Roman"/>
                      <w:color w:val="auto"/>
                      <w:sz w:val="21"/>
                      <w:szCs w:val="21"/>
                      <w:highlight w:val="none"/>
                    </w:rPr>
                    <w:t>m</w:t>
                  </w:r>
                  <w:r>
                    <w:rPr>
                      <w:rStyle w:val="162"/>
                      <w:rFonts w:hint="default" w:ascii="Times New Roman" w:hAnsi="Times New Roman" w:cs="Times New Roman"/>
                      <w:color w:val="auto"/>
                      <w:sz w:val="21"/>
                      <w:szCs w:val="21"/>
                      <w:highlight w:val="none"/>
                      <w:vertAlign w:val="superscript"/>
                    </w:rPr>
                    <w:t>3</w:t>
                  </w:r>
                  <w:r>
                    <w:rPr>
                      <w:rStyle w:val="162"/>
                      <w:rFonts w:hint="default" w:ascii="Times New Roman" w:hAnsi="Times New Roman" w:cs="Times New Roman"/>
                      <w:color w:val="auto"/>
                      <w:sz w:val="21"/>
                      <w:szCs w:val="21"/>
                      <w:highlight w:val="none"/>
                    </w:rPr>
                    <w:t>/h</w:t>
                  </w:r>
                  <w:r>
                    <w:rPr>
                      <w:rStyle w:val="159"/>
                      <w:rFonts w:hint="default" w:ascii="Times New Roman" w:hAnsi="Times New Roman" w:cs="Times New Roman"/>
                      <w:color w:val="auto"/>
                      <w:sz w:val="21"/>
                      <w:szCs w:val="21"/>
                      <w:highlight w:val="none"/>
                    </w:rPr>
                    <w:t>；</w:t>
                  </w:r>
                </w:p>
                <w:p w14:paraId="1B156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K：考虑沿高度分布不均匀的安全系数，通常取1.4；</w:t>
                  </w:r>
                </w:p>
                <w:p w14:paraId="0C94A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P：集气罩的周长，m；P=2（a+b），a和b分别为集气罩罩口的长宽尺寸，应确保集气罩罩口的长宽大于废气发生源的长宽，a和b可按照废气发生源长宽的110%～120%进行设计。</w:t>
                  </w:r>
                </w:p>
                <w:p w14:paraId="275F8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lang w:val="en-US" w:eastAsia="zh-CN"/>
                    </w:rPr>
                    <w:t>H：控制点（废气发生源）至罩口的距离，m；</w:t>
                  </w:r>
                  <w:r>
                    <w:rPr>
                      <w:rFonts w:hint="default" w:ascii="Times New Roman" w:hAnsi="Times New Roman" w:eastAsia="宋体" w:cs="Times New Roman"/>
                      <w:color w:val="auto"/>
                      <w:sz w:val="21"/>
                      <w:szCs w:val="21"/>
                      <w:highlight w:val="none"/>
                    </w:rPr>
                    <w:t>为确保集气罩对废气有较高的收集效率，H应尽可能小于集气罩长边0.3倍，</w:t>
                  </w:r>
                  <w:r>
                    <w:rPr>
                      <w:rFonts w:hint="default" w:ascii="Times New Roman" w:hAnsi="Times New Roman" w:eastAsia="宋体" w:cs="Times New Roman"/>
                      <w:color w:val="auto"/>
                      <w:sz w:val="21"/>
                      <w:szCs w:val="21"/>
                      <w:highlight w:val="none"/>
                      <w:lang w:eastAsia="zh-CN"/>
                    </w:rPr>
                    <w:t>即</w:t>
                  </w:r>
                  <w:r>
                    <w:rPr>
                      <w:rFonts w:hint="default" w:ascii="Times New Roman" w:hAnsi="Times New Roman" w:eastAsia="宋体" w:cs="Times New Roman"/>
                      <w:color w:val="auto"/>
                      <w:sz w:val="21"/>
                      <w:szCs w:val="21"/>
                      <w:highlight w:val="none"/>
                    </w:rPr>
                    <w:t>H≤0.3a。</w:t>
                  </w:r>
                </w:p>
                <w:p w14:paraId="582E5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62"/>
                      <w:rFonts w:hint="default" w:ascii="Times New Roman" w:hAnsi="Times New Roman" w:cs="Times New Roman"/>
                      <w:color w:val="auto"/>
                      <w:sz w:val="21"/>
                      <w:szCs w:val="21"/>
                      <w:highlight w:val="none"/>
                    </w:rPr>
                    <w:t>V</w:t>
                  </w:r>
                  <w:r>
                    <w:rPr>
                      <w:rStyle w:val="162"/>
                      <w:rFonts w:hint="default" w:ascii="Times New Roman" w:hAnsi="Times New Roman" w:cs="Times New Roman"/>
                      <w:color w:val="auto"/>
                      <w:sz w:val="21"/>
                      <w:szCs w:val="21"/>
                      <w:highlight w:val="none"/>
                      <w:vertAlign w:val="subscript"/>
                    </w:rPr>
                    <w:t>x</w:t>
                  </w:r>
                  <w:r>
                    <w:rPr>
                      <w:rStyle w:val="159"/>
                      <w:rFonts w:hint="default" w:ascii="Times New Roman" w:hAnsi="Times New Roman" w:cs="Times New Roman"/>
                      <w:color w:val="auto"/>
                      <w:sz w:val="21"/>
                      <w:szCs w:val="21"/>
                      <w:highlight w:val="none"/>
                    </w:rPr>
                    <w:t>：控制风速，m/s；本项目取0.</w:t>
                  </w:r>
                  <w:r>
                    <w:rPr>
                      <w:rStyle w:val="159"/>
                      <w:rFonts w:hint="default" w:ascii="Times New Roman" w:hAnsi="Times New Roman" w:cs="Times New Roman"/>
                      <w:color w:val="auto"/>
                      <w:sz w:val="21"/>
                      <w:szCs w:val="21"/>
                      <w:highlight w:val="none"/>
                      <w:lang w:val="en-US" w:eastAsia="zh-CN"/>
                    </w:rPr>
                    <w:t>5</w:t>
                  </w:r>
                  <w:r>
                    <w:rPr>
                      <w:rStyle w:val="159"/>
                      <w:rFonts w:hint="default" w:ascii="Times New Roman" w:hAnsi="Times New Roman" w:cs="Times New Roman"/>
                      <w:color w:val="auto"/>
                      <w:sz w:val="21"/>
                      <w:szCs w:val="21"/>
                      <w:highlight w:val="none"/>
                    </w:rPr>
                    <w:t>m/s</w:t>
                  </w:r>
                </w:p>
                <w:p w14:paraId="32AF8326">
                  <w:pPr>
                    <w:pStyle w:val="2"/>
                    <w:ind w:firstLine="420" w:firstLineChars="200"/>
                    <w:rPr>
                      <w:rFonts w:hint="default" w:eastAsia="宋体....."/>
                      <w:color w:val="auto"/>
                      <w:lang w:val="en-US" w:eastAsia="zh-CN"/>
                    </w:rPr>
                  </w:pPr>
                  <w:r>
                    <w:rPr>
                      <w:rStyle w:val="159"/>
                      <w:rFonts w:hint="eastAsia" w:ascii="Times New Roman" w:cs="Times New Roman"/>
                      <w:color w:val="auto"/>
                      <w:sz w:val="21"/>
                      <w:szCs w:val="21"/>
                      <w:highlight w:val="none"/>
                      <w:lang w:val="en-US" w:eastAsia="zh-CN"/>
                    </w:rPr>
                    <w:t>每个固化通道设置固化炉2个。</w:t>
                  </w:r>
                </w:p>
              </w:tc>
            </w:tr>
          </w:tbl>
          <w:p w14:paraId="217CB099">
            <w:pPr>
              <w:keepNext w:val="0"/>
              <w:keepLines w:val="0"/>
              <w:widowControl/>
              <w:numPr>
                <w:ilvl w:val="0"/>
                <w:numId w:val="0"/>
              </w:numPr>
              <w:suppressLineNumbers w:val="0"/>
              <w:tabs>
                <w:tab w:val="left" w:pos="0"/>
              </w:tabs>
              <w:spacing w:before="0" w:beforeAutospacing="0" w:after="0" w:afterAutospacing="0" w:line="240" w:lineRule="auto"/>
              <w:ind w:left="40" w:leftChars="0" w:right="0" w:rightChars="0"/>
              <w:jc w:val="both"/>
              <w:rPr>
                <w:rFonts w:hint="default" w:ascii="Times New Roman" w:hAnsi="Times New Roman" w:eastAsia="宋体" w:cs="Times New Roman"/>
                <w:b/>
                <w:bCs/>
                <w:color w:val="auto"/>
                <w:sz w:val="21"/>
                <w:szCs w:val="21"/>
                <w:highlight w:val="none"/>
                <w:lang w:bidi="ar"/>
              </w:rPr>
            </w:pPr>
          </w:p>
          <w:p w14:paraId="3487BF42">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72BD0D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eastAsia" w:cs="Times New Roman"/>
                <w:color w:val="auto"/>
                <w:sz w:val="24"/>
                <w:szCs w:val="24"/>
                <w:highlight w:val="none"/>
                <w:lang w:val="en-US" w:eastAsia="zh-CN"/>
              </w:rPr>
              <w:t>固化、烘干</w:t>
            </w:r>
            <w:r>
              <w:rPr>
                <w:rFonts w:hint="default" w:ascii="Times New Roman" w:hAnsi="Times New Roman" w:cs="Times New Roman"/>
                <w:color w:val="auto"/>
                <w:sz w:val="24"/>
                <w:szCs w:val="24"/>
                <w:highlight w:val="none"/>
              </w:rPr>
              <w:t>通道</w:t>
            </w:r>
            <w:r>
              <w:rPr>
                <w:rFonts w:hint="eastAsia" w:cs="Times New Roman"/>
                <w:color w:val="auto"/>
                <w:sz w:val="24"/>
                <w:szCs w:val="24"/>
                <w:highlight w:val="none"/>
                <w:lang w:val="en-US" w:eastAsia="zh-CN"/>
              </w:rPr>
              <w:t>分别</w:t>
            </w:r>
            <w:r>
              <w:rPr>
                <w:rFonts w:hint="default" w:ascii="Times New Roman" w:hAnsi="Times New Roman" w:cs="Times New Roman"/>
                <w:color w:val="auto"/>
                <w:sz w:val="24"/>
                <w:szCs w:val="24"/>
                <w:highlight w:val="none"/>
              </w:rPr>
              <w:t>设置</w:t>
            </w:r>
            <w:r>
              <w:rPr>
                <w:rFonts w:hint="default" w:ascii="Times New Roman" w:hAnsi="Times New Roman" w:cs="Times New Roman"/>
                <w:color w:val="auto"/>
                <w:sz w:val="24"/>
                <w:szCs w:val="24"/>
                <w:highlight w:val="none"/>
                <w:lang w:val="en-US" w:eastAsia="zh-CN"/>
              </w:rPr>
              <w:t>1条</w:t>
            </w:r>
            <w:r>
              <w:rPr>
                <w:rFonts w:hint="default" w:ascii="Times New Roman" w:hAnsi="Times New Roman" w:cs="Times New Roman"/>
                <w:color w:val="auto"/>
                <w:sz w:val="24"/>
                <w:szCs w:val="24"/>
                <w:highlight w:val="none"/>
              </w:rPr>
              <w:t>直连排风管</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参考《环境工程设计手册》中圆形分管的风量计算公式：</w:t>
            </w:r>
          </w:p>
          <w:p w14:paraId="36D28089">
            <w:pPr>
              <w:keepNext w:val="0"/>
              <w:keepLines w:val="0"/>
              <w:suppressLineNumbers w:val="0"/>
              <w:spacing w:before="0" w:beforeAutospacing="0" w:after="0" w:afterAutospacing="0" w:line="240" w:lineRule="auto"/>
              <w:ind w:left="420" w:leftChars="200" w:right="0"/>
              <w:jc w:val="center"/>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position w:val="-24"/>
                <w:sz w:val="24"/>
                <w:szCs w:val="24"/>
                <w:highlight w:val="none"/>
              </w:rPr>
              <w:object>
                <v:shape id="_x0000_i1027" o:spt="75" type="#_x0000_t75" style="height:31pt;width:80pt;" o:ole="t" filled="f" o:preferrelative="t" stroked="f" coordsize="21600,21600">
                  <v:path/>
                  <v:fill on="f" focussize="0,0"/>
                  <v:stroke on="f"/>
                  <v:imagedata r:id="rId25" o:title=""/>
                  <o:lock v:ext="edit" aspectratio="t"/>
                  <w10:wrap type="none"/>
                  <w10:anchorlock/>
                </v:shape>
                <o:OLEObject Type="Embed" ProgID="Equation.KSEE3" ShapeID="_x0000_i1027" DrawAspect="Content" ObjectID="_1468075727" r:id="rId24">
                  <o:LockedField>false</o:LockedField>
                </o:OLEObject>
              </w:object>
            </w:r>
          </w:p>
          <w:p w14:paraId="7A140F50">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式中：</w:t>
            </w:r>
          </w:p>
          <w:p w14:paraId="784D1183">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L---集气罩排风量，m</w:t>
            </w:r>
            <w:r>
              <w:rPr>
                <w:rFonts w:hint="default" w:ascii="Times New Roman" w:hAnsi="Times New Roman" w:cs="Times New Roman"/>
                <w:color w:val="auto"/>
                <w:sz w:val="24"/>
                <w:szCs w:val="24"/>
                <w:highlight w:val="none"/>
                <w:vertAlign w:val="superscript"/>
                <w:lang w:eastAsia="zh-CN"/>
              </w:rPr>
              <w:t>3</w:t>
            </w:r>
            <w:r>
              <w:rPr>
                <w:rFonts w:hint="default" w:ascii="Times New Roman" w:hAnsi="Times New Roman" w:cs="Times New Roman"/>
                <w:color w:val="auto"/>
                <w:sz w:val="24"/>
                <w:szCs w:val="24"/>
                <w:highlight w:val="none"/>
                <w:lang w:eastAsia="zh-CN"/>
              </w:rPr>
              <w:t>/h；</w:t>
            </w:r>
          </w:p>
          <w:p w14:paraId="075257A2">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D---分管直径，m，</w:t>
            </w:r>
            <w:r>
              <w:rPr>
                <w:rFonts w:hint="default" w:ascii="Times New Roman" w:hAnsi="Times New Roman" w:cs="Times New Roman"/>
                <w:color w:val="auto"/>
                <w:sz w:val="24"/>
                <w:szCs w:val="24"/>
                <w:highlight w:val="none"/>
                <w:lang w:val="en-US" w:eastAsia="zh-CN"/>
              </w:rPr>
              <w:t>本项目分管直径取0.15m</w:t>
            </w:r>
            <w:r>
              <w:rPr>
                <w:rFonts w:hint="default" w:ascii="Times New Roman" w:hAnsi="Times New Roman" w:cs="Times New Roman"/>
                <w:color w:val="auto"/>
                <w:sz w:val="24"/>
                <w:szCs w:val="24"/>
                <w:highlight w:val="none"/>
                <w:lang w:eastAsia="zh-CN"/>
              </w:rPr>
              <w:t>；</w:t>
            </w:r>
          </w:p>
          <w:p w14:paraId="62A7F1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V---断面平均风速，m/s，根据《简明通风设计手册》中表6-10一般通风系统风管内的风速，项目采用钢板及塑料风管，项目干管采用风速为14m/s，本项目断面平均风速取</w:t>
            </w:r>
            <w:r>
              <w:rPr>
                <w:rFonts w:hint="default" w:ascii="Times New Roman" w:hAnsi="Times New Roman" w:cs="Times New Roman"/>
                <w:color w:val="auto"/>
                <w:sz w:val="24"/>
                <w:szCs w:val="24"/>
                <w:highlight w:val="none"/>
                <w:lang w:val="en-US" w:eastAsia="zh-CN"/>
              </w:rPr>
              <w:t>14</w:t>
            </w:r>
            <w:r>
              <w:rPr>
                <w:rFonts w:hint="default" w:ascii="Times New Roman" w:hAnsi="Times New Roman" w:cs="Times New Roman"/>
                <w:color w:val="auto"/>
                <w:sz w:val="24"/>
                <w:szCs w:val="24"/>
                <w:highlight w:val="none"/>
                <w:lang w:eastAsia="zh-CN"/>
              </w:rPr>
              <w:t>m/s。</w:t>
            </w:r>
          </w:p>
          <w:p w14:paraId="116972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lang w:val="en-US" w:eastAsia="zh-CN"/>
              </w:rPr>
              <w:t>单条直连排风管风量=3600s×3.14÷4×0.15</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eastAsia="zh-CN"/>
              </w:rPr>
              <w:t>×14m/s=890.2m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vertAlign w:val="baseline"/>
                <w:lang w:val="en-US" w:eastAsia="zh-CN"/>
              </w:rPr>
              <w:t>/h</w:t>
            </w:r>
          </w:p>
          <w:p w14:paraId="0E1F0376">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本项目天然气燃烧废气收集风量统计如下表所示。</w:t>
            </w:r>
          </w:p>
          <w:p w14:paraId="32DFC56B">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color w:val="auto"/>
              </w:rPr>
            </w:pPr>
            <w:r>
              <w:rPr>
                <w:rFonts w:hint="default" w:ascii="Times New Roman" w:hAnsi="Times New Roman" w:eastAsia="宋体" w:cs="Times New Roman"/>
                <w:b/>
                <w:bCs/>
                <w:color w:val="auto"/>
                <w:kern w:val="2"/>
                <w:sz w:val="21"/>
                <w:szCs w:val="21"/>
                <w:lang w:val="en-US" w:eastAsia="zh-CN" w:bidi="ar"/>
              </w:rPr>
              <w:t>表4-1</w:t>
            </w:r>
            <w:r>
              <w:rPr>
                <w:rFonts w:hint="eastAsia" w:cs="Times New Roman"/>
                <w:b/>
                <w:bCs/>
                <w:color w:val="auto"/>
                <w:kern w:val="2"/>
                <w:sz w:val="21"/>
                <w:szCs w:val="21"/>
                <w:lang w:val="en-US" w:eastAsia="zh-CN" w:bidi="ar"/>
              </w:rPr>
              <w:t>2</w:t>
            </w:r>
            <w:r>
              <w:rPr>
                <w:rFonts w:hint="eastAsia" w:cs="Times New Roman"/>
                <w:b/>
                <w:bCs/>
                <w:color w:val="auto"/>
                <w:sz w:val="21"/>
                <w:szCs w:val="21"/>
                <w:highlight w:val="none"/>
                <w:lang w:val="en-US" w:eastAsia="zh-CN" w:bidi="ar"/>
              </w:rPr>
              <w:t>固化</w:t>
            </w:r>
            <w:r>
              <w:rPr>
                <w:rFonts w:hint="default" w:ascii="Times New Roman" w:hAnsi="Times New Roman" w:eastAsia="宋体" w:cs="Times New Roman"/>
                <w:b/>
                <w:bCs/>
                <w:color w:val="auto"/>
                <w:sz w:val="21"/>
                <w:szCs w:val="21"/>
                <w:highlight w:val="none"/>
                <w:lang w:val="en-US" w:eastAsia="zh-CN" w:bidi="ar"/>
              </w:rPr>
              <w:t>通道天然气燃烧废气合计收集风量一览表</w:t>
            </w:r>
          </w:p>
          <w:p w14:paraId="5FE740EE">
            <w:pPr>
              <w:pStyle w:val="2"/>
              <w:rPr>
                <w:rFonts w:hint="default"/>
                <w:color w:val="auto"/>
                <w:lang w:val="en-US" w:eastAsia="zh-CN"/>
              </w:rPr>
            </w:pPr>
          </w:p>
          <w:tbl>
            <w:tblPr>
              <w:tblStyle w:val="48"/>
              <w:tblW w:w="84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2"/>
              <w:gridCol w:w="2407"/>
              <w:gridCol w:w="1796"/>
              <w:gridCol w:w="2116"/>
            </w:tblGrid>
            <w:tr w14:paraId="3A9C3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26860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产污类别</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3E121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产污设备</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1EFF27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集气方式</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0D122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计算风量（m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r>
                    <w:rPr>
                      <w:rFonts w:hint="eastAsia" w:cs="Times New Roman"/>
                      <w:b/>
                      <w:bCs/>
                      <w:i w:val="0"/>
                      <w:iCs w:val="0"/>
                      <w:color w:val="auto"/>
                      <w:kern w:val="0"/>
                      <w:sz w:val="21"/>
                      <w:szCs w:val="21"/>
                      <w:highlight w:val="none"/>
                      <w:u w:val="none"/>
                      <w:vertAlign w:val="superscript"/>
                      <w:lang w:val="en-US" w:eastAsia="zh-CN" w:bidi="ar"/>
                    </w:rPr>
                    <w:t>①</w:t>
                  </w:r>
                </w:p>
              </w:tc>
            </w:tr>
            <w:tr w14:paraId="269E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7037B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w:t>
                  </w:r>
                  <w:r>
                    <w:rPr>
                      <w:rFonts w:hint="eastAsia" w:ascii="Times New Roman" w:hAnsi="Times New Roman" w:eastAsia="宋体" w:cs="Times New Roman"/>
                      <w:i w:val="0"/>
                      <w:iCs w:val="0"/>
                      <w:color w:val="auto"/>
                      <w:kern w:val="0"/>
                      <w:sz w:val="21"/>
                      <w:szCs w:val="21"/>
                      <w:highlight w:val="none"/>
                      <w:u w:val="none"/>
                      <w:lang w:val="en-US" w:eastAsia="zh-CN" w:bidi="ar"/>
                    </w:rPr>
                    <w:t>DA00</w:t>
                  </w:r>
                  <w:r>
                    <w:rPr>
                      <w:rFonts w:hint="eastAsia" w:cs="Times New Roman"/>
                      <w:i w:val="0"/>
                      <w:iCs w:val="0"/>
                      <w:color w:val="auto"/>
                      <w:kern w:val="0"/>
                      <w:sz w:val="21"/>
                      <w:szCs w:val="21"/>
                      <w:highlight w:val="none"/>
                      <w:u w:val="none"/>
                      <w:lang w:val="en-US" w:eastAsia="zh-CN" w:bidi="ar"/>
                    </w:rPr>
                    <w:t>3</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6FCB04E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cs="Times New Roman"/>
                      <w:i w:val="0"/>
                      <w:iCs w:val="0"/>
                      <w:color w:val="auto"/>
                      <w:kern w:val="0"/>
                      <w:sz w:val="21"/>
                      <w:szCs w:val="21"/>
                      <w:highlight w:val="none"/>
                      <w:u w:val="none"/>
                      <w:vertAlign w:val="superscript"/>
                      <w:lang w:val="en-US" w:eastAsia="zh-CN" w:bidi="ar"/>
                    </w:rPr>
                    <w:t>②</w:t>
                  </w:r>
                  <w:r>
                    <w:rPr>
                      <w:rFonts w:hint="default" w:ascii="Times New Roman" w:hAnsi="Times New Roman" w:eastAsia="宋体" w:cs="Times New Roman"/>
                      <w:i w:val="0"/>
                      <w:iCs w:val="0"/>
                      <w:color w:val="auto"/>
                      <w:kern w:val="0"/>
                      <w:sz w:val="21"/>
                      <w:szCs w:val="21"/>
                      <w:highlight w:val="none"/>
                      <w:u w:val="none"/>
                      <w:lang w:val="en-US" w:eastAsia="zh-CN" w:bidi="ar"/>
                    </w:rPr>
                    <w:t>烘水通道首尾两端</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3CDD6F5D">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集气罩</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68F5863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9676.8</w:t>
                  </w:r>
                </w:p>
              </w:tc>
            </w:tr>
            <w:tr w14:paraId="4DCA8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continue"/>
                  <w:tcBorders>
                    <w:left w:val="single" w:color="000000" w:sz="4" w:space="0"/>
                    <w:right w:val="single" w:color="000000" w:sz="4" w:space="0"/>
                  </w:tcBorders>
                  <w:noWrap w:val="0"/>
                  <w:vAlign w:val="center"/>
                </w:tcPr>
                <w:p w14:paraId="2EE60EF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0AFDE41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烘水通道</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1CB2C64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直连管道</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4C3073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890.2</w:t>
                  </w:r>
                </w:p>
              </w:tc>
            </w:tr>
            <w:tr w14:paraId="212A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064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w:t>
                  </w:r>
                  <w:r>
                    <w:rPr>
                      <w:rFonts w:hint="eastAsia" w:ascii="Times New Roman" w:hAnsi="Times New Roman" w:eastAsia="宋体" w:cs="Times New Roman"/>
                      <w:i w:val="0"/>
                      <w:iCs w:val="0"/>
                      <w:color w:val="auto"/>
                      <w:kern w:val="0"/>
                      <w:sz w:val="21"/>
                      <w:szCs w:val="21"/>
                      <w:highlight w:val="none"/>
                      <w:u w:val="none"/>
                      <w:lang w:val="en-US" w:eastAsia="zh-CN" w:bidi="ar"/>
                    </w:rPr>
                    <w:t>DA00</w:t>
                  </w:r>
                  <w:r>
                    <w:rPr>
                      <w:rFonts w:hint="eastAsia" w:cs="Times New Roman"/>
                      <w:i w:val="0"/>
                      <w:iCs w:val="0"/>
                      <w:color w:val="auto"/>
                      <w:kern w:val="0"/>
                      <w:sz w:val="21"/>
                      <w:szCs w:val="21"/>
                      <w:highlight w:val="none"/>
                      <w:u w:val="none"/>
                      <w:lang w:val="en-US" w:eastAsia="zh-CN" w:bidi="ar"/>
                    </w:rPr>
                    <w:t>2</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58BFBB17">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固化炉</w:t>
                  </w:r>
                  <w:r>
                    <w:rPr>
                      <w:rFonts w:hint="default" w:ascii="Times New Roman" w:hAnsi="Times New Roman" w:eastAsia="宋体" w:cs="Times New Roman"/>
                      <w:i w:val="0"/>
                      <w:iCs w:val="0"/>
                      <w:color w:val="auto"/>
                      <w:kern w:val="0"/>
                      <w:sz w:val="21"/>
                      <w:szCs w:val="21"/>
                      <w:highlight w:val="none"/>
                      <w:u w:val="none"/>
                      <w:lang w:val="en-US" w:eastAsia="zh-CN" w:bidi="ar"/>
                    </w:rPr>
                    <w:t>首尾两端</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04A1520F">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集气罩</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15CCCDE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36288</w:t>
                  </w:r>
                </w:p>
              </w:tc>
            </w:tr>
            <w:tr w14:paraId="30E2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continue"/>
                  <w:tcBorders>
                    <w:top w:val="single" w:color="000000" w:sz="4" w:space="0"/>
                    <w:left w:val="single" w:color="000000" w:sz="4" w:space="0"/>
                    <w:bottom w:val="single" w:color="000000" w:sz="4" w:space="0"/>
                    <w:right w:val="single" w:color="000000" w:sz="4" w:space="0"/>
                  </w:tcBorders>
                  <w:noWrap/>
                  <w:vAlign w:val="center"/>
                </w:tcPr>
                <w:p w14:paraId="48BBDE2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auto"/>
                      <w:sz w:val="21"/>
                      <w:szCs w:val="21"/>
                      <w:highlight w:val="none"/>
                      <w:u w:val="none"/>
                    </w:rPr>
                  </w:pPr>
                </w:p>
              </w:tc>
              <w:tc>
                <w:tcPr>
                  <w:tcW w:w="2407" w:type="dxa"/>
                  <w:tcBorders>
                    <w:top w:val="single" w:color="000000" w:sz="4" w:space="0"/>
                    <w:left w:val="single" w:color="000000" w:sz="4" w:space="0"/>
                    <w:bottom w:val="single" w:color="000000" w:sz="4" w:space="0"/>
                    <w:right w:val="single" w:color="000000" w:sz="4" w:space="0"/>
                  </w:tcBorders>
                  <w:noWrap/>
                  <w:vAlign w:val="center"/>
                </w:tcPr>
                <w:p w14:paraId="6C526C33">
                  <w:pPr>
                    <w:keepNext w:val="0"/>
                    <w:keepLines w:val="0"/>
                    <w:widowControl/>
                    <w:suppressLineNumbers w:val="0"/>
                    <w:spacing w:before="0" w:beforeAutospacing="0" w:after="0" w:afterAutospacing="0" w:line="240" w:lineRule="auto"/>
                    <w:ind w:left="0" w:leftChars="0" w:right="0" w:rightChars="0"/>
                    <w:jc w:val="center"/>
                    <w:textAlignment w:val="center"/>
                    <w:rPr>
                      <w:color w:val="auto"/>
                    </w:rPr>
                  </w:pPr>
                  <w:r>
                    <w:rPr>
                      <w:rFonts w:hint="eastAsia" w:ascii="Times New Roman" w:hAnsi="Times New Roman" w:eastAsia="宋体" w:cs="Times New Roman"/>
                      <w:i w:val="0"/>
                      <w:iCs w:val="0"/>
                      <w:color w:val="auto"/>
                      <w:kern w:val="0"/>
                      <w:sz w:val="21"/>
                      <w:szCs w:val="21"/>
                      <w:highlight w:val="none"/>
                      <w:u w:val="none"/>
                      <w:lang w:val="en-US" w:eastAsia="zh-CN" w:bidi="ar"/>
                    </w:rPr>
                    <w:t>固化</w:t>
                  </w:r>
                  <w:r>
                    <w:rPr>
                      <w:rFonts w:hint="eastAsia" w:cs="Times New Roman"/>
                      <w:i w:val="0"/>
                      <w:iCs w:val="0"/>
                      <w:color w:val="auto"/>
                      <w:kern w:val="0"/>
                      <w:sz w:val="21"/>
                      <w:szCs w:val="21"/>
                      <w:highlight w:val="none"/>
                      <w:u w:val="none"/>
                      <w:lang w:val="en-US" w:eastAsia="zh-CN" w:bidi="ar"/>
                    </w:rPr>
                    <w:t>通道</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1737B1F6">
                  <w:pPr>
                    <w:keepNext w:val="0"/>
                    <w:keepLines w:val="0"/>
                    <w:widowControl/>
                    <w:suppressLineNumbers w:val="0"/>
                    <w:spacing w:before="0" w:beforeAutospacing="0" w:after="0" w:afterAutospacing="0" w:line="240" w:lineRule="auto"/>
                    <w:ind w:left="0" w:leftChars="0" w:right="0" w:rightChars="0"/>
                    <w:jc w:val="center"/>
                    <w:textAlignment w:val="center"/>
                    <w:rPr>
                      <w:color w:val="auto"/>
                    </w:rPr>
                  </w:pPr>
                  <w:r>
                    <w:rPr>
                      <w:rFonts w:hint="default" w:ascii="Times New Roman" w:hAnsi="Times New Roman" w:eastAsia="宋体" w:cs="Times New Roman"/>
                      <w:i w:val="0"/>
                      <w:iCs w:val="0"/>
                      <w:color w:val="auto"/>
                      <w:kern w:val="0"/>
                      <w:sz w:val="21"/>
                      <w:szCs w:val="21"/>
                      <w:highlight w:val="none"/>
                      <w:u w:val="none"/>
                      <w:lang w:val="en-US" w:eastAsia="zh-CN" w:bidi="ar"/>
                    </w:rPr>
                    <w:t>直连管道</w:t>
                  </w:r>
                </w:p>
              </w:tc>
              <w:tc>
                <w:tcPr>
                  <w:tcW w:w="2116" w:type="dxa"/>
                  <w:tcBorders>
                    <w:top w:val="single" w:color="000000" w:sz="4" w:space="0"/>
                    <w:left w:val="single" w:color="000000" w:sz="4" w:space="0"/>
                    <w:bottom w:val="single" w:color="000000" w:sz="4" w:space="0"/>
                    <w:right w:val="single" w:color="000000" w:sz="4" w:space="0"/>
                  </w:tcBorders>
                  <w:noWrap/>
                  <w:vAlign w:val="center"/>
                </w:tcPr>
                <w:p w14:paraId="7415322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1780.4</w:t>
                  </w:r>
                </w:p>
              </w:tc>
            </w:tr>
            <w:tr w14:paraId="375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01" w:type="dxa"/>
                  <w:gridSpan w:val="4"/>
                  <w:tcBorders>
                    <w:top w:val="single" w:color="000000" w:sz="4" w:space="0"/>
                    <w:left w:val="single" w:color="000000" w:sz="4" w:space="0"/>
                    <w:bottom w:val="single" w:color="000000" w:sz="4" w:space="0"/>
                    <w:right w:val="single" w:color="000000" w:sz="4" w:space="0"/>
                  </w:tcBorders>
                  <w:noWrap/>
                  <w:vAlign w:val="center"/>
                </w:tcPr>
                <w:p w14:paraId="5C721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center"/>
                    <w:rPr>
                      <w:rFonts w:hint="eastAsia"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备注：</w:t>
                  </w:r>
                  <w:r>
                    <w:rPr>
                      <w:rFonts w:hint="eastAsia" w:cs="Times New Roman"/>
                      <w:b w:val="0"/>
                      <w:bCs w:val="0"/>
                      <w:i w:val="0"/>
                      <w:iCs w:val="0"/>
                      <w:color w:val="auto"/>
                      <w:kern w:val="0"/>
                      <w:sz w:val="21"/>
                      <w:szCs w:val="21"/>
                      <w:highlight w:val="none"/>
                      <w:u w:val="none"/>
                      <w:lang w:val="en-US" w:eastAsia="zh-CN" w:bidi="ar"/>
                    </w:rPr>
                    <w:t>①</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本环评考虑到风阻损失等，</w:t>
                  </w:r>
                  <w:r>
                    <w:rPr>
                      <w:rFonts w:hint="eastAsia" w:cs="Times New Roman"/>
                      <w:b w:val="0"/>
                      <w:bCs w:val="0"/>
                      <w:i w:val="0"/>
                      <w:iCs w:val="0"/>
                      <w:color w:val="auto"/>
                      <w:kern w:val="0"/>
                      <w:sz w:val="21"/>
                      <w:szCs w:val="21"/>
                      <w:highlight w:val="none"/>
                      <w:u w:val="none"/>
                      <w:lang w:val="en-US" w:eastAsia="zh-CN" w:bidi="ar"/>
                    </w:rPr>
                    <w:t>DA003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保守设计风量取11000m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/h</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eastAsia" w:cs="Times New Roman"/>
                      <w:b w:val="0"/>
                      <w:bCs w:val="0"/>
                      <w:i w:val="0"/>
                      <w:iCs w:val="0"/>
                      <w:color w:val="auto"/>
                      <w:kern w:val="0"/>
                      <w:sz w:val="21"/>
                      <w:szCs w:val="21"/>
                      <w:highlight w:val="none"/>
                      <w:u w:val="none"/>
                      <w:lang w:val="en-US" w:eastAsia="zh-CN" w:bidi="ar"/>
                    </w:rPr>
                    <w:t>DA002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保守设计风量取</w:t>
                  </w:r>
                  <w:r>
                    <w:rPr>
                      <w:rFonts w:hint="eastAsia" w:cs="Times New Roman"/>
                      <w:b w:val="0"/>
                      <w:bCs w:val="0"/>
                      <w:i w:val="0"/>
                      <w:iCs w:val="0"/>
                      <w:color w:val="auto"/>
                      <w:kern w:val="0"/>
                      <w:sz w:val="21"/>
                      <w:szCs w:val="21"/>
                      <w:highlight w:val="none"/>
                      <w:u w:val="none"/>
                      <w:lang w:val="en-US" w:eastAsia="zh-CN" w:bidi="ar"/>
                    </w:rPr>
                    <w:t>400</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/h</w:t>
                  </w:r>
                  <w:r>
                    <w:rPr>
                      <w:rFonts w:hint="default" w:ascii="Times New Roman" w:hAnsi="Times New Roman" w:cs="Times New Roman"/>
                      <w:b w:val="0"/>
                      <w:bCs w:val="0"/>
                      <w:i w:val="0"/>
                      <w:iCs w:val="0"/>
                      <w:color w:val="auto"/>
                      <w:kern w:val="0"/>
                      <w:sz w:val="21"/>
                      <w:szCs w:val="21"/>
                      <w:highlight w:val="none"/>
                      <w:u w:val="none"/>
                      <w:lang w:val="en-US" w:eastAsia="zh-CN" w:bidi="ar"/>
                    </w:rPr>
                    <w:t>，且已包含天然气自身产生的工业废气量</w:t>
                  </w:r>
                  <w:r>
                    <w:rPr>
                      <w:rFonts w:hint="eastAsia" w:cs="Times New Roman"/>
                      <w:b w:val="0"/>
                      <w:bCs w:val="0"/>
                      <w:i w:val="0"/>
                      <w:iCs w:val="0"/>
                      <w:color w:val="auto"/>
                      <w:kern w:val="0"/>
                      <w:sz w:val="21"/>
                      <w:szCs w:val="21"/>
                      <w:highlight w:val="none"/>
                      <w:u w:val="none"/>
                      <w:lang w:val="en-US" w:eastAsia="zh-CN" w:bidi="ar"/>
                    </w:rPr>
                    <w:t>；</w:t>
                  </w:r>
                </w:p>
                <w:p w14:paraId="2F6412D7">
                  <w:pPr>
                    <w:pStyle w:val="2"/>
                    <w:rPr>
                      <w:rFonts w:hint="default"/>
                      <w:color w:val="auto"/>
                      <w:lang w:val="en-US" w:eastAsia="zh-CN"/>
                    </w:rPr>
                  </w:pPr>
                  <w:r>
                    <w:rPr>
                      <w:rFonts w:hint="eastAsia" w:cs="Times New Roman"/>
                      <w:b w:val="0"/>
                      <w:bCs w:val="0"/>
                      <w:i w:val="0"/>
                      <w:iCs w:val="0"/>
                      <w:color w:val="auto"/>
                      <w:kern w:val="0"/>
                      <w:sz w:val="21"/>
                      <w:szCs w:val="21"/>
                      <w:highlight w:val="none"/>
                      <w:u w:val="none"/>
                      <w:lang w:val="en-US" w:eastAsia="zh-CN" w:bidi="ar"/>
                    </w:rPr>
                    <w:t>②预处理线采用隧道式挂具输送系统，该隧道与烘水通道相连，构成密闭通道。</w:t>
                  </w:r>
                </w:p>
              </w:tc>
            </w:tr>
          </w:tbl>
          <w:p w14:paraId="31B65BA6">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2A0725B5">
            <w:pPr>
              <w:pStyle w:val="158"/>
              <w:keepNext w:val="0"/>
              <w:keepLines w:val="0"/>
              <w:suppressLineNumbers w:val="0"/>
              <w:snapToGrid/>
              <w:spacing w:before="0" w:beforeAutospacing="0" w:after="0" w:afterAutospacing="0"/>
              <w:ind w:left="0" w:right="0" w:firstLine="480"/>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根据前文废气产生量和风量计算，本项目燃烧废气产排情况如下表所示。</w:t>
            </w:r>
          </w:p>
          <w:p w14:paraId="4FEBE8F6">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3</w:t>
            </w:r>
            <w:r>
              <w:rPr>
                <w:rFonts w:hint="default" w:ascii="Times New Roman" w:hAnsi="Times New Roman" w:eastAsia="宋体" w:cs="Times New Roman"/>
                <w:b/>
                <w:bCs/>
                <w:color w:val="auto"/>
                <w:sz w:val="21"/>
                <w:szCs w:val="21"/>
                <w:highlight w:val="none"/>
                <w:lang w:val="en-US" w:eastAsia="zh-CN"/>
              </w:rPr>
              <w:t>本项目燃烧废气产排情况一览表</w:t>
            </w:r>
          </w:p>
          <w:tbl>
            <w:tblPr>
              <w:tblStyle w:val="48"/>
              <w:tblW w:w="834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9"/>
              <w:gridCol w:w="1344"/>
              <w:gridCol w:w="1329"/>
              <w:gridCol w:w="1076"/>
              <w:gridCol w:w="1076"/>
              <w:gridCol w:w="1076"/>
              <w:gridCol w:w="1076"/>
            </w:tblGrid>
            <w:tr w14:paraId="0CBE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81E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B90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9D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827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DB1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03B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10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r>
            <w:tr w14:paraId="4394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31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产生总量（</w:t>
                  </w:r>
                  <w:r>
                    <w:rPr>
                      <w:rFonts w:hint="default" w:ascii="Times New Roman" w:hAnsi="Times New Roman" w:eastAsia="宋体" w:cs="Times New Roman"/>
                      <w:i w:val="0"/>
                      <w:iCs w:val="0"/>
                      <w:color w:val="auto"/>
                      <w:kern w:val="0"/>
                      <w:sz w:val="21"/>
                      <w:szCs w:val="21"/>
                      <w:u w:val="none"/>
                      <w:lang w:val="en-US" w:eastAsia="zh-CN" w:bidi="ar"/>
                    </w:rPr>
                    <w:t>t/a</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F4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D8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DD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B8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13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E9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3CD2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5C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产生速率（</w:t>
                  </w:r>
                  <w:r>
                    <w:rPr>
                      <w:rFonts w:hint="default" w:ascii="Times New Roman" w:hAnsi="Times New Roman" w:eastAsia="宋体" w:cs="Times New Roman"/>
                      <w:i w:val="0"/>
                      <w:iCs w:val="0"/>
                      <w:color w:val="auto"/>
                      <w:kern w:val="0"/>
                      <w:sz w:val="21"/>
                      <w:szCs w:val="21"/>
                      <w:u w:val="none"/>
                      <w:lang w:val="en-US" w:eastAsia="zh-CN" w:bidi="ar"/>
                    </w:rPr>
                    <w:t>kg/h</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4D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3B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82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17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8C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10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21CF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7B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废气量</w:t>
                  </w:r>
                </w:p>
              </w:tc>
              <w:tc>
                <w:tcPr>
                  <w:tcW w:w="3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DD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11000m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EA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40000m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4DE4A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16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排气筒编号</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E0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DA003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C4A6">
                  <w:pPr>
                    <w:jc w:val="center"/>
                    <w:rPr>
                      <w:rFonts w:hint="default" w:ascii="Times New Roman" w:hAnsi="Times New Roman" w:eastAsia="宋体" w:cs="Times New Roman"/>
                      <w:i w:val="0"/>
                      <w:iCs w:val="0"/>
                      <w:color w:val="auto"/>
                      <w:sz w:val="21"/>
                      <w:szCs w:val="21"/>
                      <w:u w:val="none"/>
                    </w:rPr>
                  </w:pP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7A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DA002</w:t>
                  </w:r>
                </w:p>
              </w:tc>
            </w:tr>
            <w:tr w14:paraId="6AF1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510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AF0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6899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7C3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562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41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6F1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r>
            <w:tr w14:paraId="10F5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B0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B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3D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0C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A4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0D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C6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71A4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D5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排放速率（</w:t>
                  </w:r>
                  <w:r>
                    <w:rPr>
                      <w:rFonts w:hint="default" w:ascii="Times New Roman" w:hAnsi="Times New Roman" w:eastAsia="宋体" w:cs="Times New Roman"/>
                      <w:i w:val="0"/>
                      <w:iCs w:val="0"/>
                      <w:color w:val="auto"/>
                      <w:kern w:val="0"/>
                      <w:sz w:val="21"/>
                      <w:szCs w:val="21"/>
                      <w:u w:val="none"/>
                      <w:lang w:val="en-US" w:eastAsia="zh-CN" w:bidi="ar"/>
                    </w:rPr>
                    <w:t>kg/h</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B5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F9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C2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97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6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ED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2A780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15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D9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1C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68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A4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ED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48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r>
          </w:tbl>
          <w:p w14:paraId="4041A44C">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6A1DBAB3">
            <w:pPr>
              <w:keepNext w:val="0"/>
              <w:keepLines w:val="0"/>
              <w:suppressLineNumbers w:val="0"/>
              <w:spacing w:before="0" w:beforeAutospacing="0" w:after="0" w:afterAutospacing="0" w:line="360" w:lineRule="auto"/>
              <w:ind w:left="0" w:right="0" w:firstLine="470" w:firstLineChars="200"/>
              <w:rPr>
                <w:b/>
                <w:bCs/>
                <w:color w:val="auto"/>
                <w:sz w:val="24"/>
                <w:szCs w:val="24"/>
                <w:highlight w:val="none"/>
              </w:rPr>
            </w:pPr>
            <w:r>
              <w:rPr>
                <w:rFonts w:hint="eastAsia" w:cs="Times New Roman"/>
                <w:b/>
                <w:bCs/>
                <w:color w:val="auto"/>
                <w:spacing w:val="-3"/>
                <w:sz w:val="24"/>
                <w:szCs w:val="24"/>
                <w:highlight w:val="none"/>
                <w:lang w:val="en-US" w:eastAsia="zh-CN"/>
              </w:rPr>
              <w:t>1</w:t>
            </w:r>
            <w:r>
              <w:rPr>
                <w:rFonts w:hint="default" w:ascii="Times New Roman" w:hAnsi="Times New Roman" w:cs="Times New Roman"/>
                <w:b/>
                <w:bCs/>
                <w:color w:val="auto"/>
                <w:spacing w:val="-3"/>
                <w:sz w:val="24"/>
                <w:szCs w:val="24"/>
                <w:highlight w:val="none"/>
                <w:lang w:val="en-US" w:eastAsia="zh-CN"/>
              </w:rPr>
              <w:t>.</w:t>
            </w:r>
            <w:r>
              <w:rPr>
                <w:rFonts w:hint="eastAsia" w:cs="Times New Roman"/>
                <w:b/>
                <w:bCs/>
                <w:color w:val="auto"/>
                <w:spacing w:val="-3"/>
                <w:sz w:val="24"/>
                <w:szCs w:val="24"/>
                <w:highlight w:val="none"/>
                <w:lang w:val="en-US" w:eastAsia="zh-CN"/>
              </w:rPr>
              <w:t>2</w:t>
            </w:r>
            <w:r>
              <w:rPr>
                <w:rFonts w:hint="default" w:ascii="Times New Roman" w:hAnsi="Times New Roman" w:cs="Times New Roman"/>
                <w:b/>
                <w:bCs/>
                <w:color w:val="auto"/>
                <w:spacing w:val="-3"/>
                <w:sz w:val="24"/>
                <w:szCs w:val="24"/>
                <w:highlight w:val="none"/>
                <w:lang w:val="en-US" w:eastAsia="zh-CN"/>
              </w:rPr>
              <w:t>.4</w:t>
            </w:r>
            <w:r>
              <w:rPr>
                <w:b/>
                <w:bCs/>
                <w:color w:val="auto"/>
                <w:sz w:val="24"/>
                <w:szCs w:val="24"/>
                <w:highlight w:val="none"/>
              </w:rPr>
              <w:t>静电喷粉粉尘</w:t>
            </w:r>
          </w:p>
          <w:p w14:paraId="22D76E13">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项目使用喷枪在密闭喷粉房对工件进行喷粉处理，喷粉过程中未附着的环氧/聚酯粉末涂料粉末会形成粉尘，其主要污染物为颗粒物。</w:t>
            </w:r>
          </w:p>
          <w:p w14:paraId="7D43ABE6">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喷粉房本身可视作集尘室，喷粉过程中保持密闭，同样采用“密闭工作台（集尘室）+大旋风+滤芯式二级回收系统”系统处理，即静电喷粉粉尘收集效率为90%，收集后可回用于静电喷粉工序，考虑到少量粉末附着在滤芯内，收集回用率取99%；静电喷粉粉尘未收集部分沉降在喷粉房内，沉降率取80%，最终处理后的静电喷粉粉尘于车间内无组织排放。</w:t>
            </w:r>
          </w:p>
          <w:p w14:paraId="11AFD1C6">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本项目的喷粉粉末</w:t>
            </w:r>
            <w:r>
              <w:rPr>
                <w:rFonts w:hint="eastAsia"/>
                <w:color w:val="auto"/>
                <w:sz w:val="24"/>
                <w:szCs w:val="24"/>
                <w:highlight w:val="none"/>
                <w:lang w:val="en-US" w:eastAsia="zh-CN"/>
              </w:rPr>
              <w:t>一次</w:t>
            </w:r>
            <w:r>
              <w:rPr>
                <w:color w:val="auto"/>
                <w:sz w:val="24"/>
                <w:szCs w:val="24"/>
                <w:highlight w:val="none"/>
              </w:rPr>
              <w:t>上粉率为70%，综合利用率为95.54%，使用的环氧粉末涂料粉总量为</w:t>
            </w:r>
            <w:r>
              <w:rPr>
                <w:rFonts w:hint="eastAsia"/>
                <w:color w:val="auto"/>
                <w:sz w:val="24"/>
                <w:szCs w:val="24"/>
                <w:highlight w:val="none"/>
                <w:lang w:val="en-US" w:eastAsia="zh-CN"/>
              </w:rPr>
              <w:t>105.857</w:t>
            </w:r>
            <w:r>
              <w:rPr>
                <w:color w:val="auto"/>
                <w:sz w:val="24"/>
                <w:szCs w:val="24"/>
                <w:highlight w:val="none"/>
              </w:rPr>
              <w:t>t/a，粉末喷涂工件附着量为：</w:t>
            </w:r>
            <w:r>
              <w:rPr>
                <w:rFonts w:hint="eastAsia"/>
                <w:color w:val="auto"/>
                <w:sz w:val="24"/>
                <w:szCs w:val="24"/>
                <w:highlight w:val="none"/>
                <w:lang w:val="en-US" w:eastAsia="zh-CN"/>
              </w:rPr>
              <w:t>105.857</w:t>
            </w:r>
            <w:r>
              <w:rPr>
                <w:color w:val="auto"/>
                <w:sz w:val="24"/>
                <w:szCs w:val="24"/>
                <w:highlight w:val="none"/>
              </w:rPr>
              <w:t>/a×95.54%=</w:t>
            </w:r>
            <w:r>
              <w:rPr>
                <w:rFonts w:hint="eastAsia"/>
                <w:color w:val="auto"/>
                <w:sz w:val="24"/>
                <w:szCs w:val="24"/>
                <w:highlight w:val="none"/>
                <w:lang w:val="en-US" w:eastAsia="zh-CN"/>
              </w:rPr>
              <w:t>101.136</w:t>
            </w:r>
            <w:r>
              <w:rPr>
                <w:color w:val="auto"/>
                <w:sz w:val="24"/>
                <w:szCs w:val="24"/>
                <w:highlight w:val="none"/>
              </w:rPr>
              <w:t>t/a。</w:t>
            </w:r>
          </w:p>
          <w:p w14:paraId="61F27B1F">
            <w:pPr>
              <w:pageBreakBefore w:val="0"/>
              <w:wordWrap w:val="0"/>
              <w:topLinePunct/>
              <w:bidi w:val="0"/>
              <w:spacing w:beforeAutospacing="0" w:afterAutospacing="0"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静电喷涂工位均接入“密闭工作台（集尘室）+大旋风+滤芯式二级回收系统”系统；该系统除尘效率参考《简明通风设计手册》（孙一坚主编）中“第三节 惯性及旋风除尘器”P361内容可知，高效旋风除尘器除尘效率可达90%以上，保守取值为90%；滤芯过滤器主要部件为转翼式滤芯筒，由“二 滤筒式除尘器”p407内容可知，其实测除尘效率为99.2%～99.9%（重量法），保守取值为99%。综上，“大旋风+滤芯式二级回收系统”总处理效率为：1-（1-90%）×（1-99%）×100%=99.9%，保守取值99%</w:t>
            </w:r>
            <w:r>
              <w:rPr>
                <w:rFonts w:hint="eastAsia"/>
                <w:color w:val="auto"/>
                <w:sz w:val="24"/>
                <w:szCs w:val="24"/>
                <w:highlight w:val="none"/>
                <w:lang w:eastAsia="zh-CN"/>
              </w:rPr>
              <w:t>。</w:t>
            </w:r>
          </w:p>
          <w:p w14:paraId="3E6BB551">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在收集效率为90%、</w:t>
            </w:r>
            <w:r>
              <w:rPr>
                <w:rFonts w:hint="eastAsia"/>
                <w:color w:val="auto"/>
                <w:sz w:val="24"/>
                <w:szCs w:val="24"/>
                <w:highlight w:val="none"/>
                <w:lang w:eastAsia="zh-CN"/>
              </w:rPr>
              <w:t>收集回用效率为</w:t>
            </w:r>
            <w:r>
              <w:rPr>
                <w:color w:val="auto"/>
                <w:sz w:val="24"/>
                <w:szCs w:val="24"/>
                <w:highlight w:val="none"/>
              </w:rPr>
              <w:t>99%的情况下，设回收利用过程未附着量为Xt/a，则有</w:t>
            </w:r>
            <w:r>
              <w:rPr>
                <w:rFonts w:hint="eastAsia"/>
                <w:color w:val="auto"/>
                <w:sz w:val="24"/>
                <w:szCs w:val="24"/>
                <w:highlight w:val="none"/>
                <w:lang w:val="en-US" w:eastAsia="zh-CN"/>
              </w:rPr>
              <w:t>105.857</w:t>
            </w:r>
            <w:r>
              <w:rPr>
                <w:color w:val="auto"/>
                <w:sz w:val="24"/>
                <w:szCs w:val="24"/>
                <w:highlight w:val="none"/>
              </w:rPr>
              <w:t>t/a+（0.9×0.99）Xt/a=</w:t>
            </w:r>
            <w:r>
              <w:rPr>
                <w:rFonts w:hint="eastAsia"/>
                <w:color w:val="auto"/>
                <w:sz w:val="24"/>
                <w:szCs w:val="24"/>
                <w:highlight w:val="none"/>
                <w:lang w:val="en-US" w:eastAsia="zh-CN"/>
              </w:rPr>
              <w:t>101.136</w:t>
            </w:r>
            <w:r>
              <w:rPr>
                <w:color w:val="auto"/>
                <w:sz w:val="24"/>
                <w:szCs w:val="24"/>
                <w:highlight w:val="none"/>
              </w:rPr>
              <w:t>t/a+Xt/a，解得回收利用过程未附着量X=</w:t>
            </w:r>
            <w:r>
              <w:rPr>
                <w:rFonts w:hint="eastAsia"/>
                <w:color w:val="auto"/>
                <w:sz w:val="24"/>
                <w:szCs w:val="24"/>
                <w:highlight w:val="none"/>
                <w:lang w:val="en-US" w:eastAsia="zh-CN"/>
              </w:rPr>
              <w:t>43.314</w:t>
            </w:r>
            <w:r>
              <w:rPr>
                <w:color w:val="auto"/>
                <w:sz w:val="24"/>
                <w:szCs w:val="24"/>
                <w:highlight w:val="none"/>
              </w:rPr>
              <w:t>t/a。</w:t>
            </w:r>
          </w:p>
          <w:p w14:paraId="7C4BAEA4">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对应收集量为：</w:t>
            </w:r>
            <w:r>
              <w:rPr>
                <w:rFonts w:hint="eastAsia"/>
                <w:color w:val="auto"/>
                <w:sz w:val="24"/>
                <w:szCs w:val="24"/>
                <w:highlight w:val="none"/>
                <w:lang w:val="en-US" w:eastAsia="zh-CN"/>
              </w:rPr>
              <w:t>43.314</w:t>
            </w:r>
            <w:r>
              <w:rPr>
                <w:color w:val="auto"/>
                <w:sz w:val="24"/>
                <w:szCs w:val="24"/>
                <w:highlight w:val="none"/>
              </w:rPr>
              <w:t>t/a×0.9=</w:t>
            </w:r>
            <w:r>
              <w:rPr>
                <w:rFonts w:hint="eastAsia"/>
                <w:color w:val="auto"/>
                <w:sz w:val="24"/>
                <w:szCs w:val="24"/>
                <w:highlight w:val="none"/>
                <w:lang w:val="en-US" w:eastAsia="zh-CN"/>
              </w:rPr>
              <w:t>38.983</w:t>
            </w:r>
            <w:r>
              <w:rPr>
                <w:color w:val="auto"/>
                <w:sz w:val="24"/>
                <w:szCs w:val="24"/>
                <w:highlight w:val="none"/>
              </w:rPr>
              <w:t>t/a；收集回用量为：</w:t>
            </w:r>
            <w:r>
              <w:rPr>
                <w:rFonts w:hint="eastAsia"/>
                <w:color w:val="auto"/>
                <w:sz w:val="24"/>
                <w:szCs w:val="24"/>
                <w:highlight w:val="none"/>
                <w:lang w:val="en-US" w:eastAsia="zh-CN"/>
              </w:rPr>
              <w:t>38.983</w:t>
            </w:r>
            <w:r>
              <w:rPr>
                <w:color w:val="auto"/>
                <w:sz w:val="24"/>
                <w:szCs w:val="24"/>
                <w:highlight w:val="none"/>
              </w:rPr>
              <w:t>t/a×0.99=</w:t>
            </w:r>
            <w:r>
              <w:rPr>
                <w:rFonts w:hint="eastAsia"/>
                <w:color w:val="auto"/>
                <w:sz w:val="24"/>
                <w:szCs w:val="24"/>
                <w:highlight w:val="none"/>
                <w:lang w:val="en-US" w:eastAsia="zh-CN"/>
              </w:rPr>
              <w:t>38.593</w:t>
            </w:r>
            <w:r>
              <w:rPr>
                <w:color w:val="auto"/>
                <w:sz w:val="24"/>
                <w:szCs w:val="24"/>
                <w:highlight w:val="none"/>
              </w:rPr>
              <w:t>t/a；未收集量为：</w:t>
            </w:r>
            <w:r>
              <w:rPr>
                <w:rFonts w:hint="eastAsia"/>
                <w:color w:val="auto"/>
                <w:sz w:val="24"/>
                <w:szCs w:val="24"/>
                <w:highlight w:val="none"/>
                <w:lang w:val="en-US" w:eastAsia="zh-CN"/>
              </w:rPr>
              <w:t>43.314</w:t>
            </w:r>
            <w:r>
              <w:rPr>
                <w:color w:val="auto"/>
                <w:sz w:val="24"/>
                <w:szCs w:val="24"/>
                <w:highlight w:val="none"/>
              </w:rPr>
              <w:t>t/a</w:t>
            </w:r>
            <w:r>
              <w:rPr>
                <w:rFonts w:hint="eastAsia"/>
                <w:color w:val="auto"/>
                <w:sz w:val="24"/>
                <w:szCs w:val="24"/>
                <w:highlight w:val="none"/>
                <w:lang w:val="en-US" w:eastAsia="zh-CN"/>
              </w:rPr>
              <w:t>-38.983</w:t>
            </w:r>
            <w:r>
              <w:rPr>
                <w:color w:val="auto"/>
                <w:sz w:val="24"/>
                <w:szCs w:val="24"/>
                <w:highlight w:val="none"/>
              </w:rPr>
              <w:t>t/a=</w:t>
            </w:r>
            <w:r>
              <w:rPr>
                <w:rFonts w:hint="eastAsia"/>
                <w:color w:val="auto"/>
                <w:sz w:val="24"/>
                <w:szCs w:val="24"/>
                <w:highlight w:val="none"/>
                <w:lang w:val="en-US" w:eastAsia="zh-CN"/>
              </w:rPr>
              <w:t>4.331</w:t>
            </w:r>
            <w:r>
              <w:rPr>
                <w:color w:val="auto"/>
                <w:sz w:val="24"/>
                <w:szCs w:val="24"/>
                <w:highlight w:val="none"/>
              </w:rPr>
              <w:t>t/a，地面沉降量为：</w:t>
            </w:r>
            <w:r>
              <w:rPr>
                <w:rFonts w:hint="eastAsia"/>
                <w:color w:val="auto"/>
                <w:sz w:val="24"/>
                <w:szCs w:val="24"/>
                <w:highlight w:val="none"/>
                <w:lang w:val="en-US" w:eastAsia="zh-CN"/>
              </w:rPr>
              <w:t>4.331</w:t>
            </w:r>
            <w:r>
              <w:rPr>
                <w:color w:val="auto"/>
                <w:sz w:val="24"/>
                <w:szCs w:val="24"/>
                <w:highlight w:val="none"/>
              </w:rPr>
              <w:t>t/a×80%=</w:t>
            </w:r>
            <w:r>
              <w:rPr>
                <w:rFonts w:hint="eastAsia"/>
                <w:color w:val="auto"/>
                <w:sz w:val="24"/>
                <w:szCs w:val="24"/>
                <w:highlight w:val="none"/>
                <w:lang w:val="en-US" w:eastAsia="zh-CN"/>
              </w:rPr>
              <w:t>3.465</w:t>
            </w:r>
            <w:r>
              <w:rPr>
                <w:color w:val="auto"/>
                <w:sz w:val="24"/>
                <w:szCs w:val="24"/>
                <w:highlight w:val="none"/>
              </w:rPr>
              <w:t>t/a。最终静电喷粉粉尘无组织排放量为：（</w:t>
            </w:r>
            <w:r>
              <w:rPr>
                <w:rFonts w:hint="eastAsia"/>
                <w:color w:val="auto"/>
                <w:sz w:val="24"/>
                <w:szCs w:val="24"/>
                <w:highlight w:val="none"/>
                <w:lang w:val="en-US" w:eastAsia="zh-CN"/>
              </w:rPr>
              <w:t>4.331</w:t>
            </w:r>
            <w:r>
              <w:rPr>
                <w:color w:val="auto"/>
                <w:sz w:val="24"/>
                <w:szCs w:val="24"/>
                <w:highlight w:val="none"/>
              </w:rPr>
              <w:t>-</w:t>
            </w:r>
            <w:r>
              <w:rPr>
                <w:rFonts w:hint="eastAsia"/>
                <w:color w:val="auto"/>
                <w:sz w:val="24"/>
                <w:szCs w:val="24"/>
                <w:highlight w:val="none"/>
                <w:lang w:val="en-US" w:eastAsia="zh-CN"/>
              </w:rPr>
              <w:t>3.465</w:t>
            </w:r>
            <w:r>
              <w:rPr>
                <w:color w:val="auto"/>
                <w:sz w:val="24"/>
                <w:szCs w:val="24"/>
                <w:highlight w:val="none"/>
              </w:rPr>
              <w:t>）t/a+（</w:t>
            </w:r>
            <w:r>
              <w:rPr>
                <w:rFonts w:hint="eastAsia"/>
                <w:color w:val="auto"/>
                <w:sz w:val="24"/>
                <w:szCs w:val="24"/>
                <w:highlight w:val="none"/>
                <w:lang w:val="en-US" w:eastAsia="zh-CN"/>
              </w:rPr>
              <w:t>38.983-38.593</w:t>
            </w:r>
            <w:r>
              <w:rPr>
                <w:color w:val="auto"/>
                <w:sz w:val="24"/>
                <w:szCs w:val="24"/>
                <w:highlight w:val="none"/>
              </w:rPr>
              <w:t>）t/a=</w:t>
            </w:r>
            <w:r>
              <w:rPr>
                <w:rFonts w:hint="eastAsia"/>
                <w:color w:val="auto"/>
                <w:sz w:val="24"/>
                <w:szCs w:val="24"/>
                <w:highlight w:val="none"/>
                <w:lang w:val="en-US" w:eastAsia="zh-CN"/>
              </w:rPr>
              <w:t>1.256</w:t>
            </w:r>
            <w:r>
              <w:rPr>
                <w:color w:val="auto"/>
                <w:sz w:val="24"/>
                <w:szCs w:val="24"/>
                <w:highlight w:val="none"/>
              </w:rPr>
              <w:t>t/a。</w:t>
            </w:r>
          </w:p>
          <w:p w14:paraId="0FA6C0FE">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粉末涂料平衡详见下图。</w:t>
            </w:r>
          </w:p>
          <w:p w14:paraId="29C09DB8">
            <w:pPr>
              <w:pStyle w:val="56"/>
              <w:rPr>
                <w:rFonts w:hint="eastAsia" w:eastAsia="宋体"/>
                <w:color w:val="auto"/>
                <w:lang w:eastAsia="zh-CN"/>
              </w:rPr>
            </w:pPr>
            <w:r>
              <w:rPr>
                <w:color w:val="auto"/>
                <w:sz w:val="32"/>
              </w:rPr>
              <mc:AlternateContent>
                <mc:Choice Requires="wpc">
                  <w:drawing>
                    <wp:inline distT="0" distB="0" distL="114300" distR="114300">
                      <wp:extent cx="5336540" cy="3593465"/>
                      <wp:effectExtent l="0" t="0" r="0" b="0"/>
                      <wp:docPr id="169" name="画布 169"/>
                      <wp:cNvGraphicFramePr/>
                      <a:graphic xmlns:a="http://schemas.openxmlformats.org/drawingml/2006/main">
                        <a:graphicData uri="http://schemas.microsoft.com/office/word/2010/wordprocessingCanvas">
                          <wpc:wpc>
                            <wpc:bg/>
                            <wpc:whole/>
                            <wps:wsp>
                              <wps:cNvPr id="170" name="文本框 170"/>
                              <wps:cNvSpPr txBox="1"/>
                              <wps:spPr>
                                <a:xfrm>
                                  <a:off x="130175" y="989965"/>
                                  <a:ext cx="885825"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w:t>
                                    </w:r>
                                    <w:r>
                                      <w:rPr>
                                        <w:rFonts w:hint="eastAsia" w:ascii="Times New Roman" w:cs="Times New Roman"/>
                                        <w:sz w:val="21"/>
                                        <w:szCs w:val="21"/>
                                        <w:lang w:val="en-US" w:eastAsia="zh-CN"/>
                                      </w:rPr>
                                      <w:t>5.857</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5" name="文本框 295"/>
                              <wps:cNvSpPr txBox="1"/>
                              <wps:spPr>
                                <a:xfrm>
                                  <a:off x="1484630" y="65405"/>
                                  <a:ext cx="8674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工件附着量101.136</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6" name="文本框 296"/>
                              <wps:cNvSpPr txBox="1"/>
                              <wps:spPr>
                                <a:xfrm>
                                  <a:off x="1484630" y="1551305"/>
                                  <a:ext cx="924560" cy="619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回收利用过程未附着量43.314</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7" name="文本框 297"/>
                              <wps:cNvSpPr txBox="1"/>
                              <wps:spPr>
                                <a:xfrm>
                                  <a:off x="2955925" y="2475230"/>
                                  <a:ext cx="9055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收集量38.9827</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8" name="文本框 298"/>
                              <wps:cNvSpPr txBox="1"/>
                              <wps:spPr>
                                <a:xfrm>
                                  <a:off x="2956560" y="1370330"/>
                                  <a:ext cx="904240" cy="419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地面沉降量3.4651</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9" name="文本框 299"/>
                              <wps:cNvSpPr txBox="1"/>
                              <wps:spPr>
                                <a:xfrm>
                                  <a:off x="2961005" y="522605"/>
                                  <a:ext cx="895985" cy="381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4.3314</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0" name="文本框 300"/>
                              <wps:cNvSpPr txBox="1"/>
                              <wps:spPr>
                                <a:xfrm>
                                  <a:off x="4255135" y="1179830"/>
                                  <a:ext cx="87757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1.256</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1" name="肘形连接符 301"/>
                              <wps:cNvCnPr>
                                <a:stCxn id="170" idx="3"/>
                                <a:endCxn id="295" idx="1"/>
                              </wps:cNvCnPr>
                              <wps:spPr>
                                <a:xfrm flipV="1">
                                  <a:off x="1016000" y="313055"/>
                                  <a:ext cx="468630" cy="92456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2" name="肘形连接符 302"/>
                              <wps:cNvCnPr>
                                <a:stCxn id="170" idx="3"/>
                                <a:endCxn id="296" idx="1"/>
                              </wps:cNvCnPr>
                              <wps:spPr>
                                <a:xfrm>
                                  <a:off x="1016000" y="1237615"/>
                                  <a:ext cx="468630" cy="62357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3" name="肘形连接符 303"/>
                              <wps:cNvCnPr>
                                <a:stCxn id="296" idx="3"/>
                                <a:endCxn id="297" idx="1"/>
                              </wps:cNvCnPr>
                              <wps:spPr>
                                <a:xfrm>
                                  <a:off x="2409190" y="1861185"/>
                                  <a:ext cx="546735" cy="861695"/>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4" name="肘形连接符 304"/>
                              <wps:cNvCnPr>
                                <a:stCxn id="296" idx="3"/>
                                <a:endCxn id="299" idx="1"/>
                              </wps:cNvCnPr>
                              <wps:spPr>
                                <a:xfrm flipV="1">
                                  <a:off x="2409190" y="713105"/>
                                  <a:ext cx="551815" cy="1148080"/>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5" name="直接箭头连接符 305"/>
                              <wps:cNvCnPr>
                                <a:stCxn id="299" idx="2"/>
                                <a:endCxn id="298" idx="0"/>
                              </wps:cNvCnPr>
                              <wps:spPr>
                                <a:xfrm flipH="1">
                                  <a:off x="3408680" y="9036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6" name="肘形连接符 306"/>
                              <wps:cNvCnPr>
                                <a:stCxn id="299" idx="3"/>
                                <a:endCxn id="300" idx="1"/>
                              </wps:cNvCnPr>
                              <wps:spPr>
                                <a:xfrm>
                                  <a:off x="3856990" y="713105"/>
                                  <a:ext cx="398145" cy="714375"/>
                                </a:xfrm>
                                <a:prstGeom prst="bentConnector3">
                                  <a:avLst>
                                    <a:gd name="adj1" fmla="val 5008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7" name="肘形连接符 307"/>
                              <wps:cNvCnPr>
                                <a:stCxn id="297" idx="3"/>
                                <a:endCxn id="300" idx="1"/>
                              </wps:cNvCnPr>
                              <wps:spPr>
                                <a:xfrm flipV="1">
                                  <a:off x="3861435" y="1427480"/>
                                  <a:ext cx="393700" cy="129540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8" name="肘形连接符 308"/>
                              <wps:cNvCnPr/>
                              <wps:spPr>
                                <a:xfrm rot="5400000" flipH="1">
                                  <a:off x="1248410" y="796290"/>
                                  <a:ext cx="1485265" cy="2835275"/>
                                </a:xfrm>
                                <a:prstGeom prst="bentConnector3">
                                  <a:avLst>
                                    <a:gd name="adj1" fmla="val -1603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9" name="文本框 309"/>
                              <wps:cNvSpPr txBox="1"/>
                              <wps:spPr>
                                <a:xfrm>
                                  <a:off x="4035425" y="200914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A6430">
                                    <w:pPr>
                                      <w:rPr>
                                        <w:rFonts w:hint="default" w:eastAsia="宋体"/>
                                        <w:lang w:val="en-US" w:eastAsia="zh-CN"/>
                                      </w:rPr>
                                    </w:pPr>
                                    <w:r>
                                      <w:rPr>
                                        <w:rFonts w:hint="eastAsia"/>
                                        <w:lang w:val="en-US" w:eastAsia="zh-CN"/>
                                      </w:rPr>
                                      <w:t>0.3898t/a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0" name="文本框 310"/>
                              <wps:cNvSpPr txBox="1"/>
                              <wps:spPr>
                                <a:xfrm>
                                  <a:off x="141605" y="255905"/>
                                  <a:ext cx="85280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CEB21">
                                    <w:pPr>
                                      <w:rPr>
                                        <w:rFonts w:hint="default" w:eastAsia="宋体"/>
                                        <w:lang w:val="en-US" w:eastAsia="zh-CN"/>
                                      </w:rPr>
                                    </w:pPr>
                                    <w:r>
                                      <w:rPr>
                                        <w:rFonts w:hint="eastAsia"/>
                                        <w:lang w:val="en-US" w:eastAsia="zh-CN"/>
                                      </w:rPr>
                                      <w:t>105.857t/a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1" name="文本框 311"/>
                              <wps:cNvSpPr txBox="1"/>
                              <wps:spPr>
                                <a:xfrm>
                                  <a:off x="988060" y="2919730"/>
                                  <a:ext cx="130619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5042A">
                                    <w:pPr>
                                      <w:rPr>
                                        <w:rFonts w:hint="default" w:eastAsia="宋体"/>
                                        <w:lang w:val="en-US" w:eastAsia="zh-CN"/>
                                      </w:rPr>
                                    </w:pPr>
                                    <w:r>
                                      <w:rPr>
                                        <w:rFonts w:hint="eastAsia"/>
                                        <w:lang w:val="en-US" w:eastAsia="zh-CN"/>
                                      </w:rPr>
                                      <w:t>回用38.593t/a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2" name="文本框 312"/>
                              <wps:cNvSpPr txBox="1"/>
                              <wps:spPr>
                                <a:xfrm>
                                  <a:off x="3951605" y="77978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0E33D">
                                    <w:pPr>
                                      <w:rPr>
                                        <w:rFonts w:hint="default" w:eastAsia="宋体"/>
                                        <w:lang w:val="en-US" w:eastAsia="zh-CN"/>
                                      </w:rPr>
                                    </w:pPr>
                                    <w:r>
                                      <w:rPr>
                                        <w:rFonts w:hint="eastAsia"/>
                                        <w:lang w:val="en-US" w:eastAsia="zh-CN"/>
                                      </w:rPr>
                                      <w:t>0.8863t/a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3" name="直接箭头连接符 313"/>
                              <wps:cNvCnPr/>
                              <wps:spPr>
                                <a:xfrm flipH="1">
                                  <a:off x="513080" y="4845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82.95pt;width:420.2pt;" coordsize="5336540,3593465" editas="canvas"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">
                      <o:lock v:ext="edit" aspectratio="f"/>
                      <v:shape id="_x0000_s1026" o:spid="_x0000_s1026" style="position:absolute;left:0;top:0;height:3593465;width:5336540;" filled="f" stroked="f" coordsize="21600,21600"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">
                        <v:fill on="f" focussize="0,0"/>
                        <v:stroke on="f"/>
                        <v:imagedata o:title=""/>
                        <o:lock v:ext="edit" aspectratio="f"/>
                      </v:shape>
                      <v:shape id="_x0000_s1026" o:spid="_x0000_s1026" o:spt="202" type="#_x0000_t202" style="position:absolute;left:130175;top:989965;height:495300;width:88582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Fs6YjllAgAAxAQAAA4AAAAAAAAAAQAgAAAAIwEAAGRycy9lMm9Eb2MueG1sUEsFBgAA&#10;AAAGAAYAWQEAAPoFAAAAAA==&#10;">
                        <v:fill on="t" focussize="0,0"/>
                        <v:stroke weight="0.5pt" color="#000000 [3204]" joinstyle="round"/>
                        <v:imagedata o:title=""/>
                        <o:lock v:ext="edit" aspectratio="f"/>
                        <v:textbo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w:t>
                              </w:r>
                              <w:r>
                                <w:rPr>
                                  <w:rFonts w:hint="eastAsia" w:ascii="Times New Roman" w:cs="Times New Roman"/>
                                  <w:sz w:val="21"/>
                                  <w:szCs w:val="21"/>
                                  <w:lang w:val="en-US" w:eastAsia="zh-CN"/>
                                </w:rPr>
                                <w:t>5.857</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1484630;top:65405;height:495300;width:8674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0akZgIAAMQEAAAOAAAAAAAAAAEAIAAAACMBAABkcnMvZTJvRG9jLnhtbFBLBQYA&#10;AAAABgAGAFkBAAD7BQAAAAA=&#10;">
                        <v:fill on="t" focussize="0,0"/>
                        <v:stroke weight="0.5pt" color="#000000 [3204]" joinstyle="round"/>
                        <v:imagedata o:title=""/>
                        <o:lock v:ext="edit" aspectratio="f"/>
                        <v:textbo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工件附着量101.136</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1484630;top:1551305;height:619125;width:92456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D/v77HZgIAAMYEAAAOAAAAAAAAAAEAIAAAACMBAABkcnMvZTJvRG9jLnhtbFBLBQYA&#10;AAAABgAGAFkBAAD7BQAAAAA=&#10;">
                        <v:fill on="t" focussize="0,0"/>
                        <v:stroke weight="0.5pt" color="#000000 [3204]" joinstyle="round"/>
                        <v:imagedata o:title=""/>
                        <o:lock v:ext="edit" aspectratio="f"/>
                        <v:textbo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回收利用过程未附着量43.314</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5925;top:2475230;height:495300;width:9055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x4+lJ1AAAAAUBAAAPAAAAAAAAAAEAIAAAACIAAABkcnMvZG93bnJldi54bWxQSwECFAAU&#10;AAAACACHTuJANTgXdGcCAADGBAAADgAAAAAAAAABACAAAAAjAQAAZHJzL2Uyb0RvYy54bWxQSwUG&#10;AAAAAAYABgBZAQAA/AUAAAAA&#10;">
                        <v:fill on="t" focussize="0,0"/>
                        <v:stroke weight="0.5pt" color="#000000 [3204]" joinstyle="round"/>
                        <v:imagedata o:title=""/>
                        <o:lock v:ext="edit" aspectratio="f"/>
                        <v:textbo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收集量38.9827</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6560;top:1370330;height:419100;width:90424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nT3mxlAgAAxgQAAA4AAAAAAAAAAQAgAAAAIwEAAGRycy9lMm9Eb2MueG1sUEsFBgAA&#10;AAAGAAYAWQEAAPoFAAAAAA==&#10;">
                        <v:fill on="t" focussize="0,0"/>
                        <v:stroke weight="0.5pt" color="#000000 [3204]" joinstyle="round"/>
                        <v:imagedata o:title=""/>
                        <o:lock v:ext="edit" aspectratio="f"/>
                        <v:textbo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地面沉降量3.4651</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61005;top:522605;height:381000;width:89598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V7uR6ZgIAAMUEAAAOAAAAAAAAAAEAIAAAACMBAABkcnMvZTJvRG9jLnhtbFBLBQYA&#10;AAAABgAGAFkBAAD7BQAAAAA=&#10;">
                        <v:fill on="t" focussize="0,0"/>
                        <v:stroke weight="0.5pt" color="#000000 [3204]" joinstyle="round"/>
                        <v:imagedata o:title=""/>
                        <o:lock v:ext="edit" aspectratio="f"/>
                        <v:textbo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4.3314</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4255135;top:1179830;height:495300;width:87757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YL0qtlAgAAxgQAAA4AAAAAAAAAAQAgAAAAIwEAAGRycy9lMm9Eb2MueG1sUEsFBgAA&#10;AAAGAAYAWQEAAPoFAAAAAA==&#10;">
                        <v:fill on="t" focussize="0,0"/>
                        <v:stroke weight="0.5pt" color="#000000 [3204]" joinstyle="round"/>
                        <v:imagedata o:title=""/>
                        <o:lock v:ext="edit" aspectratio="f"/>
                        <v:textbo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1.256</w:t>
                              </w:r>
                              <w:r>
                                <w:rPr>
                                  <w:rFonts w:hint="default" w:ascii="Times New Roman" w:hAnsi="Times New Roman" w:cs="Times New Roman"/>
                                  <w:sz w:val="21"/>
                                  <w:szCs w:val="21"/>
                                  <w:lang w:val="en-US" w:eastAsia="zh-CN"/>
                                </w:rPr>
                                <w:t>t/a</w:t>
                              </w:r>
                            </w:p>
                          </w:txbxContent>
                        </v:textbox>
                      </v:shape>
                      <v:shape id="_x0000_s1026" o:spid="_x0000_s1026" o:spt="34" type="#_x0000_t34" style="position:absolute;left:1016000;top:313055;flip:y;height:924560;width:46863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Cr4ZA1gAAAAUBAAAPAAAAAAAAAAEAIAAAACIAAABkcnMv&#10;ZG93bnJldi54bWxQSwECFAAUAAAACACHTuJAzK9Urz4CAABLBAAADgAAAAAAAAABACAAAAAlAQAA&#10;ZHJzL2Uyb0RvYy54bWxQSwUGAAAAAAYABgBZAQAA1QUAAAAA&#10;" adj="10800">
                        <v:fill on="f" focussize="0,0"/>
                        <v:stroke color="#000000 [3213]" joinstyle="round" endarrow="open"/>
                        <v:imagedata o:title=""/>
                        <o:lock v:ext="edit" aspectratio="f"/>
                      </v:shape>
                      <v:shape id="_x0000_s1026" o:spid="_x0000_s1026" o:spt="34" type="#_x0000_t34" style="position:absolute;left:1016000;top:1237615;height:623570;width:468630;" filled="f" stroked="t" coordsize="21600,21600" o:gfxdata="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ygbnE1gAAAAUBAAAPAAAAAAAAAAEAIAAAACIAAABkcnMvZG93bnJldi54&#10;bWxQSwECFAAUAAAACACHTuJAsFg1KjUCAABCBAAADgAAAAAAAAABACAAAAAlAQAAZHJzL2Uyb0Rv&#10;Yy54bWxQSwUGAAAAAAYABgBZAQAAzAUAAAAA&#10;" adj="10800">
                        <v:fill on="f" focussize="0,0"/>
                        <v:stroke color="#000000 [3213]" joinstyle="round" endarrow="open"/>
                        <v:imagedata o:title=""/>
                        <o:lock v:ext="edit" aspectratio="f"/>
                      </v:shape>
                      <v:shape id="_x0000_s1026" o:spid="_x0000_s1026" o:spt="34" type="#_x0000_t34" style="position:absolute;left:2409190;top:1861185;height:861695;width:546735;" filled="f" stroked="t" coordsize="21600,21600" o:gfxdata="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AFZdvYAAAABQEAAA8AAAAAAAAAAQAgAAAAIgAAAGRycy9kb3ducmV2&#10;LnhtbFBLAQIUABQAAAAIAIdO4kAjeDecNQIAAEIEAAAOAAAAAAAAAAEAIAAAACcBAABkcnMvZTJv&#10;RG9jLnhtbFBLBQYAAAAABgAGAFkBAADOBQAAAAA=&#10;" adj="10813">
                        <v:fill on="f" focussize="0,0"/>
                        <v:stroke color="#000000 [3213]" joinstyle="round" endarrow="open"/>
                        <v:imagedata o:title=""/>
                        <o:lock v:ext="edit" aspectratio="f"/>
                      </v:shape>
                      <v:shape id="_x0000_s1026" o:spid="_x0000_s1026" o:spt="34" type="#_x0000_t34" style="position:absolute;left:2409190;top:713105;flip:y;height:1148080;width:551815;" filled="f" stroked="t" coordsize="21600,21600" o:gfxdata="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4UWqdQAAAAFAQAADwAAAAAAAAABACAAAAAiAAAAZHJzL2Rv&#10;d25yZXYueG1sUEsBAhQAFAAAAAgAh07iQGsaUHs+AgAATAQAAA4AAAAAAAAAAQAgAAAAIwEAAGRy&#10;cy9lMm9Eb2MueG1sUEsFBgAAAAAGAAYAWQEAANMFAAAAAA==&#10;" adj="10813">
                        <v:fill on="f" focussize="0,0"/>
                        <v:stroke color="#000000 [3213]" joinstyle="round" endarrow="open"/>
                        <v:imagedata o:title=""/>
                        <o:lock v:ext="edit" aspectratio="f"/>
                      </v:shape>
                      <v:shape id="_x0000_s1026" o:spid="_x0000_s1026" o:spt="32" type="#_x0000_t32" style="position:absolute;left:3408680;top:9036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fwrVHVAAAABQEAAA8AAAAAAAAAAQAgAAAAIgAAAGRycy9kb3ducmV2LnhtbFBLAQIUABQA&#10;AAAIAIdO4kAexL2ALAIAACUEAAAOAAAAAAAAAAEAIAAAACQBAABkcnMvZTJvRG9jLnhtbFBLBQYA&#10;AAAABgAGAFkBAADCBQAAAAA=&#10;">
                        <v:fill on="f" focussize="0,0"/>
                        <v:stroke color="#000000 [3213]" joinstyle="round" endarrow="open"/>
                        <v:imagedata o:title=""/>
                        <o:lock v:ext="edit" aspectratio="f"/>
                      </v:shape>
                      <v:shape id="_x0000_s1026" o:spid="_x0000_s1026" o:spt="34" type="#_x0000_t34" style="position:absolute;left:3856990;top:713105;height:714375;width:398145;" filled="f" stroked="t" coordsize="21600,21600" o:gfxdata="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uavZNcAAAAFAQAADwAAAAAAAAABACAAAAAiAAAAZHJzL2Rvd25yZXYu&#10;eG1sUEsBAhQAFAAAAAgAh07iQCH71FU1AgAAQQQAAA4AAAAAAAAAAQAgAAAAJgEAAGRycy9lMm9E&#10;b2MueG1sUEsFBgAAAAAGAAYAWQEAAM0FAAAAAA==&#10;" adj="10817">
                        <v:fill on="f" focussize="0,0"/>
                        <v:stroke color="#000000 [3213]" joinstyle="round" endarrow="open"/>
                        <v:imagedata o:title=""/>
                        <o:lock v:ext="edit" aspectratio="f"/>
                      </v:shape>
                      <v:shape id="_x0000_s1026" o:spid="_x0000_s1026" o:spt="34" type="#_x0000_t34" style="position:absolute;left:3861435;top:1427480;flip:y;height:1295400;width:39370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q+GQNYAAAAFAQAADwAAAAAAAAABACAAAAAiAAAAZHJz&#10;L2Rvd25yZXYueG1sUEsBAhQAFAAAAAgAh07iQInCl/k/AgAATQQAAA4AAAAAAAAAAQAgAAAAJQEA&#10;AGRycy9lMm9Eb2MueG1sUEsFBgAAAAAGAAYAWQEAANYFAAAAAA==&#10;" adj="10800">
                        <v:fill on="f" focussize="0,0"/>
                        <v:stroke color="#000000 [3213]" joinstyle="round" endarrow="open"/>
                        <v:imagedata o:title=""/>
                        <o:lock v:ext="edit" aspectratio="f"/>
                      </v:shape>
                      <v:shape id="_x0000_s1026" o:spid="_x0000_s1026" o:spt="34" type="#_x0000_t34" style="position:absolute;left:1248410;top:796290;flip:x;height:2835275;width:1485265;rotation:-5898240f;" filled="f" stroked="t" coordsize="21600,21600" o:gfxdata="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2PlaQ1gAAAAUBAAAPAAAAAAAAAAEAIAAAACIAAABkcnMvZG93bnJldi54bWxQSwEC&#10;FAAUAAAACACHTuJA/6aTCi8CAAAYBAAADgAAAAAAAAABACAAAAAlAQAAZHJzL2Uyb0RvYy54bWxQ&#10;SwUGAAAAAAYABgBZAQAAxgUAAAAA&#10;" adj="-3463">
                        <v:fill on="f" focussize="0,0"/>
                        <v:stroke color="#000000 [3213]" joinstyle="round" endarrow="open"/>
                        <v:imagedata o:title=""/>
                        <o:lock v:ext="edit" aspectratio="f"/>
                      </v:shape>
                      <v:shape id="_x0000_s1026" o:spid="_x0000_s1026" o:spt="202" type="#_x0000_t202" style="position:absolute;left:4035425;top:200914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4vUAX9gAAAAFAQAADwAAAAAAAAABACAA&#10;AAAiAAAAZHJzL2Rvd25yZXYueG1sUEsBAhQAFAAAAAgAh07iQBmCn+dGAgAAdQQAAA4AAAAAAAAA&#10;AQAgAAAAJwEAAGRycy9lMm9Eb2MueG1sUEsFBgAAAAAGAAYAWQEAAN8FAAAAAA==&#10;">
                        <v:fill on="f" focussize="0,0"/>
                        <v:stroke on="f" weight="0.5pt"/>
                        <v:imagedata o:title=""/>
                        <o:lock v:ext="edit" aspectratio="f"/>
                        <v:textbox>
                          <w:txbxContent>
                            <w:p w14:paraId="617A6430">
                              <w:pPr>
                                <w:rPr>
                                  <w:rFonts w:hint="default" w:eastAsia="宋体"/>
                                  <w:lang w:val="en-US" w:eastAsia="zh-CN"/>
                                </w:rPr>
                              </w:pPr>
                              <w:r>
                                <w:rPr>
                                  <w:rFonts w:hint="eastAsia"/>
                                  <w:lang w:val="en-US" w:eastAsia="zh-CN"/>
                                </w:rPr>
                                <w:t>0.3898t/a</w:t>
                              </w:r>
                            </w:p>
                          </w:txbxContent>
                        </v:textbox>
                      </v:shape>
                      <v:shape id="_x0000_s1026" o:spid="_x0000_s1026" o:spt="202" type="#_x0000_t202" style="position:absolute;left:141605;top:255905;height:238125;width:85280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i9QBf2AAAAAUBAAAPAAAAAAAAAAEAIAAA&#10;ACIAAABkcnMvZG93bnJldi54bWxQSwECFAAUAAAACACHTuJAsXJha0UCAABzBAAADgAAAAAAAAAB&#10;ACAAAAAnAQAAZHJzL2Uyb0RvYy54bWxQSwUGAAAAAAYABgBZAQAA3gUAAAAA&#10;">
                        <v:fill on="f" focussize="0,0"/>
                        <v:stroke on="f" weight="0.5pt"/>
                        <v:imagedata o:title=""/>
                        <o:lock v:ext="edit" aspectratio="f"/>
                        <v:textbox>
                          <w:txbxContent>
                            <w:p w14:paraId="5FFCEB21">
                              <w:pPr>
                                <w:rPr>
                                  <w:rFonts w:hint="default" w:eastAsia="宋体"/>
                                  <w:lang w:val="en-US" w:eastAsia="zh-CN"/>
                                </w:rPr>
                              </w:pPr>
                              <w:r>
                                <w:rPr>
                                  <w:rFonts w:hint="eastAsia"/>
                                  <w:lang w:val="en-US" w:eastAsia="zh-CN"/>
                                </w:rPr>
                                <w:t>105.857t/a</w:t>
                              </w:r>
                            </w:p>
                          </w:txbxContent>
                        </v:textbox>
                      </v:shape>
                      <v:shape id="_x0000_s1026" o:spid="_x0000_s1026" o:spt="202" type="#_x0000_t202" style="position:absolute;left:988060;top:2919730;height:269875;width:130619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4vUAX9gAAAAFAQAADwAAAAAAAAAB&#10;ACAAAAAiAAAAZHJzL2Rvd25yZXYueG1sUEsBAhQAFAAAAAgAh07iQPWwxYRJAgAAdQQAAA4AAAAA&#10;AAAAAQAgAAAAJwEAAGRycy9lMm9Eb2MueG1sUEsFBgAAAAAGAAYAWQEAAOIFAAAAAA==&#10;">
                        <v:fill on="f" focussize="0,0"/>
                        <v:stroke on="f" weight="0.5pt"/>
                        <v:imagedata o:title=""/>
                        <o:lock v:ext="edit" aspectratio="f"/>
                        <v:textbox>
                          <w:txbxContent>
                            <w:p w14:paraId="31E5042A">
                              <w:pPr>
                                <w:rPr>
                                  <w:rFonts w:hint="default" w:eastAsia="宋体"/>
                                  <w:lang w:val="en-US" w:eastAsia="zh-CN"/>
                                </w:rPr>
                              </w:pPr>
                              <w:r>
                                <w:rPr>
                                  <w:rFonts w:hint="eastAsia"/>
                                  <w:lang w:val="en-US" w:eastAsia="zh-CN"/>
                                </w:rPr>
                                <w:t>回用38.593t/a</w:t>
                              </w:r>
                            </w:p>
                          </w:txbxContent>
                        </v:textbox>
                      </v:shape>
                      <v:shape id="_x0000_s1026" o:spid="_x0000_s1026" o:spt="202" type="#_x0000_t202" style="position:absolute;left:3951605;top:77978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i9QBf2AAAAAUBAAAPAAAAAAAAAAEA&#10;IAAAACIAAABkcnMvZG93bnJldi54bWxQSwECFAAUAAAACACHTuJA9Rn1PEgCAAB0BAAADgAAAAAA&#10;AAABACAAAAAnAQAAZHJzL2Uyb0RvYy54bWxQSwUGAAAAAAYABgBZAQAA4QUAAAAA&#10;">
                        <v:fill on="f" focussize="0,0"/>
                        <v:stroke on="f" weight="0.5pt"/>
                        <v:imagedata o:title=""/>
                        <o:lock v:ext="edit" aspectratio="f"/>
                        <v:textbox>
                          <w:txbxContent>
                            <w:p w14:paraId="78E0E33D">
                              <w:pPr>
                                <w:rPr>
                                  <w:rFonts w:hint="default" w:eastAsia="宋体"/>
                                  <w:lang w:val="en-US" w:eastAsia="zh-CN"/>
                                </w:rPr>
                              </w:pPr>
                              <w:r>
                                <w:rPr>
                                  <w:rFonts w:hint="eastAsia"/>
                                  <w:lang w:val="en-US" w:eastAsia="zh-CN"/>
                                </w:rPr>
                                <w:t>0.8863t/a</w:t>
                              </w:r>
                            </w:p>
                          </w:txbxContent>
                        </v:textbox>
                      </v:shape>
                      <v:shape id="_x0000_s1026" o:spid="_x0000_s1026" o:spt="32" type="#_x0000_t32" style="position:absolute;left:513080;top:4845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fwrVHVAAAABQEAAA8AAAAAAAAAAQAgAAAA&#10;IgAAAGRycy9kb3ducmV2LnhtbFBLAQIUABQAAAAIAIdO4kA0huzRDgIAAOADAAAOAAAAAAAAAAEA&#10;IAAAACQBAABkcnMvZTJvRG9jLnhtbFBLBQYAAAAABgAGAFkBAACkBQAAAAA=&#10;">
                        <v:fill on="f" focussize="0,0"/>
                        <v:stroke color="#000000 [3213]" joinstyle="round" endarrow="open"/>
                        <v:imagedata o:title=""/>
                        <o:lock v:ext="edit" aspectratio="f"/>
                      </v:shape>
                      <w10:wrap type="none"/>
                      <w10:anchorlock/>
                    </v:group>
                  </w:pict>
                </mc:Fallback>
              </mc:AlternateContent>
            </w:r>
          </w:p>
          <w:p w14:paraId="046C42DF">
            <w:pPr>
              <w:pageBreakBefore w:val="0"/>
              <w:widowControl/>
              <w:wordWrap w:val="0"/>
              <w:topLinePunct/>
              <w:bidi w:val="0"/>
              <w:spacing w:beforeAutospacing="0" w:afterAutospacing="0"/>
              <w:jc w:val="center"/>
              <w:rPr>
                <w:color w:val="auto"/>
                <w:sz w:val="21"/>
                <w:szCs w:val="21"/>
                <w:highlight w:val="none"/>
              </w:rPr>
            </w:pPr>
            <w:r>
              <w:rPr>
                <w:b/>
                <w:bCs/>
                <w:color w:val="auto"/>
                <w:sz w:val="21"/>
                <w:szCs w:val="21"/>
                <w:highlight w:val="none"/>
                <w:lang w:bidi="ar"/>
              </w:rPr>
              <w:t>图</w:t>
            </w:r>
            <w:r>
              <w:rPr>
                <w:rFonts w:hint="eastAsia"/>
                <w:b/>
                <w:bCs/>
                <w:color w:val="auto"/>
                <w:sz w:val="21"/>
                <w:szCs w:val="21"/>
                <w:highlight w:val="none"/>
                <w:lang w:val="en-US" w:eastAsia="zh-CN" w:bidi="ar"/>
              </w:rPr>
              <w:t xml:space="preserve">4-1 </w:t>
            </w:r>
            <w:r>
              <w:rPr>
                <w:b/>
                <w:bCs/>
                <w:color w:val="auto"/>
                <w:sz w:val="21"/>
                <w:szCs w:val="21"/>
                <w:highlight w:val="none"/>
                <w:lang w:bidi="ar"/>
              </w:rPr>
              <w:t>粉末涂料平衡图</w:t>
            </w:r>
          </w:p>
          <w:p w14:paraId="2DE70AC1">
            <w:pPr>
              <w:pStyle w:val="158"/>
              <w:pageBreakBefore w:val="0"/>
              <w:wordWrap w:val="0"/>
              <w:topLinePunct/>
              <w:bidi w:val="0"/>
              <w:snapToGrid/>
              <w:spacing w:beforeAutospacing="0" w:afterAutospacing="0"/>
              <w:ind w:firstLine="482"/>
              <w:outlineLvl w:val="9"/>
              <w:rPr>
                <w:b/>
                <w:bCs/>
                <w:color w:val="auto"/>
                <w:highlight w:val="none"/>
              </w:rPr>
            </w:pPr>
            <w:bookmarkStart w:id="23" w:name="_Toc32051"/>
            <w:bookmarkStart w:id="24" w:name="_Toc15801"/>
            <w:r>
              <w:rPr>
                <w:rFonts w:hint="eastAsia"/>
                <w:b/>
                <w:bCs/>
                <w:color w:val="auto"/>
                <w:highlight w:val="none"/>
                <w:lang w:val="en-US" w:eastAsia="zh-CN"/>
              </w:rPr>
              <w:t>1.2.5</w:t>
            </w:r>
            <w:r>
              <w:rPr>
                <w:b/>
                <w:bCs/>
                <w:color w:val="auto"/>
                <w:highlight w:val="none"/>
              </w:rPr>
              <w:t>有机废气</w:t>
            </w:r>
            <w:bookmarkEnd w:id="23"/>
            <w:bookmarkEnd w:id="24"/>
          </w:p>
          <w:p w14:paraId="0D31A8F7">
            <w:pPr>
              <w:pStyle w:val="158"/>
              <w:wordWrap w:val="0"/>
              <w:topLinePunct/>
              <w:snapToGrid/>
              <w:ind w:firstLine="480"/>
              <w:rPr>
                <w:color w:val="auto"/>
                <w:highlight w:val="none"/>
              </w:rPr>
            </w:pPr>
            <w:r>
              <w:rPr>
                <w:color w:val="auto"/>
                <w:highlight w:val="none"/>
              </w:rPr>
              <w:t>铝单板喷漆过程中</w:t>
            </w:r>
            <w:r>
              <w:rPr>
                <w:rFonts w:hint="eastAsia"/>
                <w:color w:val="auto"/>
                <w:highlight w:val="none"/>
              </w:rPr>
              <w:t>废气产生节点</w:t>
            </w:r>
            <w:r>
              <w:rPr>
                <w:color w:val="auto"/>
                <w:highlight w:val="none"/>
              </w:rPr>
              <w:t>包含调漆、喷漆、流平、烘干、固化工序</w:t>
            </w:r>
            <w:r>
              <w:rPr>
                <w:rFonts w:hint="eastAsia"/>
                <w:color w:val="auto"/>
                <w:highlight w:val="none"/>
              </w:rPr>
              <w:t>，产生的废气污染物为漆雾和有机废气。</w:t>
            </w:r>
          </w:p>
          <w:p w14:paraId="5461E9F8">
            <w:pPr>
              <w:pStyle w:val="158"/>
              <w:wordWrap w:val="0"/>
              <w:topLinePunct/>
              <w:snapToGrid/>
              <w:ind w:firstLine="480"/>
              <w:rPr>
                <w:color w:val="auto"/>
                <w:highlight w:val="none"/>
              </w:rPr>
            </w:pPr>
            <w:r>
              <w:rPr>
                <w:rFonts w:hint="eastAsia" w:ascii="宋体" w:hAnsi="宋体" w:cs="宋体"/>
                <w:color w:val="auto"/>
                <w:highlight w:val="none"/>
              </w:rPr>
              <w:t>①</w:t>
            </w:r>
            <w:r>
              <w:rPr>
                <w:rFonts w:hint="eastAsia"/>
                <w:color w:val="auto"/>
                <w:highlight w:val="none"/>
              </w:rPr>
              <w:t>漆雾</w:t>
            </w:r>
          </w:p>
          <w:p w14:paraId="6CF964E7">
            <w:pPr>
              <w:pStyle w:val="158"/>
              <w:pageBreakBefore w:val="0"/>
              <w:wordWrap w:val="0"/>
              <w:topLinePunct/>
              <w:bidi w:val="0"/>
              <w:snapToGrid/>
              <w:spacing w:beforeAutospacing="0" w:afterAutospacing="0"/>
              <w:ind w:firstLine="480"/>
              <w:rPr>
                <w:color w:val="auto"/>
                <w:highlight w:val="none"/>
              </w:rPr>
            </w:pPr>
            <w:r>
              <w:rPr>
                <w:color w:val="auto"/>
                <w:highlight w:val="none"/>
              </w:rPr>
              <w:t>本项目铝单板喷漆过程中会产生漆雾（颗粒物）。</w:t>
            </w:r>
          </w:p>
          <w:p w14:paraId="743D96A2">
            <w:pPr>
              <w:pStyle w:val="158"/>
              <w:pageBreakBefore w:val="0"/>
              <w:wordWrap w:val="0"/>
              <w:topLinePunct/>
              <w:bidi w:val="0"/>
              <w:snapToGrid/>
              <w:spacing w:beforeAutospacing="0" w:afterAutospacing="0"/>
              <w:ind w:firstLine="480"/>
              <w:rPr>
                <w:color w:val="auto"/>
                <w:highlight w:val="none"/>
              </w:rPr>
            </w:pPr>
            <w:r>
              <w:rPr>
                <w:color w:val="auto"/>
                <w:highlight w:val="none"/>
              </w:rPr>
              <w:t>根据《</w:t>
            </w:r>
            <w:r>
              <w:rPr>
                <w:rFonts w:hint="eastAsia"/>
                <w:color w:val="auto"/>
                <w:highlight w:val="none"/>
                <w:lang w:eastAsia="zh-CN"/>
              </w:rPr>
              <w:t>环境保护产品技术要求工业粉尘湿式除尘装置</w:t>
            </w:r>
            <w:r>
              <w:rPr>
                <w:color w:val="auto"/>
                <w:highlight w:val="none"/>
              </w:rPr>
              <w:t>》（HJ/T285-2006）的要求，</w:t>
            </w:r>
            <w:r>
              <w:rPr>
                <w:rFonts w:hint="eastAsia"/>
                <w:color w:val="auto"/>
                <w:highlight w:val="none"/>
                <w:lang w:eastAsia="zh-CN"/>
              </w:rPr>
              <w:t>水帘柜</w:t>
            </w:r>
            <w:r>
              <w:rPr>
                <w:color w:val="auto"/>
                <w:highlight w:val="none"/>
              </w:rPr>
              <w:t>、喷淋塔属于以喷淋、冲激、水膜为原理类的第Ⅰ类湿式除尘装置，处理效率应不低于80%，本次评价取80%。</w:t>
            </w:r>
            <w:r>
              <w:rPr>
                <w:color w:val="auto"/>
                <w:kern w:val="0"/>
                <w:highlight w:val="none"/>
              </w:rPr>
              <w:t>干式过滤</w:t>
            </w:r>
            <w:r>
              <w:rPr>
                <w:color w:val="auto"/>
                <w:highlight w:val="none"/>
              </w:rPr>
              <w:t>采用多层化学纤维过滤棉，去除漆雾，并进行气水分离。根据《广东省表面涂装（汽车制造业）挥发性有机废气治理技术指南》，干式漆雾捕集系统（过滤棉、无纺布、石灰石为滤料、静电漆雾捕集装置）对漆雾的处理效率可达95%以上，本次评价取95%。综上</w:t>
            </w:r>
            <w:r>
              <w:rPr>
                <w:color w:val="auto"/>
                <w:kern w:val="0"/>
                <w:highlight w:val="none"/>
              </w:rPr>
              <w:t>，</w:t>
            </w:r>
            <w:r>
              <w:rPr>
                <w:color w:val="auto"/>
                <w:highlight w:val="none"/>
              </w:rPr>
              <w:t>漆雾的</w:t>
            </w:r>
            <w:r>
              <w:rPr>
                <w:color w:val="auto"/>
                <w:kern w:val="0"/>
                <w:highlight w:val="none"/>
              </w:rPr>
              <w:t>综合治理效率η=1-（1-80%）</w:t>
            </w:r>
            <w:r>
              <w:rPr>
                <w:color w:val="auto"/>
                <w:highlight w:val="none"/>
              </w:rPr>
              <w:t>×</w:t>
            </w:r>
            <w:r>
              <w:rPr>
                <w:color w:val="auto"/>
                <w:kern w:val="0"/>
                <w:highlight w:val="none"/>
              </w:rPr>
              <w:t>（1-80%）</w:t>
            </w:r>
            <w:r>
              <w:rPr>
                <w:color w:val="auto"/>
                <w:highlight w:val="none"/>
              </w:rPr>
              <w:t>×</w:t>
            </w:r>
            <w:r>
              <w:rPr>
                <w:color w:val="auto"/>
                <w:kern w:val="0"/>
                <w:highlight w:val="none"/>
              </w:rPr>
              <w:t>（1-95%）×</w:t>
            </w:r>
            <w:r>
              <w:rPr>
                <w:color w:val="auto"/>
                <w:highlight w:val="none"/>
              </w:rPr>
              <w:t>100%</w:t>
            </w:r>
            <w:r>
              <w:rPr>
                <w:color w:val="auto"/>
                <w:kern w:val="0"/>
                <w:highlight w:val="none"/>
              </w:rPr>
              <w:t>=99.8%</w:t>
            </w:r>
            <w:r>
              <w:rPr>
                <w:rFonts w:hint="eastAsia"/>
                <w:color w:val="auto"/>
                <w:kern w:val="0"/>
                <w:highlight w:val="none"/>
                <w:lang w:eastAsia="zh-CN"/>
              </w:rPr>
              <w:t>，本环评保守取值</w:t>
            </w:r>
            <w:r>
              <w:rPr>
                <w:rFonts w:hint="eastAsia"/>
                <w:color w:val="auto"/>
                <w:kern w:val="0"/>
                <w:highlight w:val="none"/>
                <w:lang w:val="en-US" w:eastAsia="zh-CN"/>
              </w:rPr>
              <w:t>99%</w:t>
            </w:r>
            <w:r>
              <w:rPr>
                <w:color w:val="auto"/>
                <w:kern w:val="0"/>
                <w:highlight w:val="none"/>
              </w:rPr>
              <w:t>。</w:t>
            </w:r>
            <w:r>
              <w:rPr>
                <w:rFonts w:hint="eastAsia"/>
                <w:color w:val="auto"/>
                <w:highlight w:val="none"/>
              </w:rPr>
              <w:t>收集效率取90%</w:t>
            </w:r>
            <w:r>
              <w:rPr>
                <w:color w:val="auto"/>
                <w:highlight w:val="none"/>
              </w:rPr>
              <w:t>。漆雾经以上废气治理设施收集处理后形成漆渣，收集后作为危废处理。</w:t>
            </w:r>
          </w:p>
          <w:p w14:paraId="3AFC1ADD">
            <w:pPr>
              <w:pStyle w:val="158"/>
              <w:wordWrap w:val="0"/>
              <w:topLinePunct/>
              <w:snapToGrid/>
              <w:spacing w:line="240" w:lineRule="auto"/>
              <w:ind w:firstLine="0" w:firstLineChars="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 xml:space="preserve">4-14  </w:t>
            </w:r>
            <w:r>
              <w:rPr>
                <w:b/>
                <w:bCs/>
                <w:color w:val="auto"/>
                <w:sz w:val="21"/>
                <w:szCs w:val="21"/>
                <w:highlight w:val="none"/>
              </w:rPr>
              <w:t xml:space="preserve"> 项目漆雾</w:t>
            </w:r>
            <w:r>
              <w:rPr>
                <w:rFonts w:hint="eastAsia"/>
                <w:b/>
                <w:bCs/>
                <w:color w:val="auto"/>
                <w:sz w:val="21"/>
                <w:szCs w:val="21"/>
                <w:highlight w:val="none"/>
              </w:rPr>
              <w:t>产排</w:t>
            </w:r>
            <w:r>
              <w:rPr>
                <w:b/>
                <w:bCs/>
                <w:color w:val="auto"/>
                <w:sz w:val="21"/>
                <w:szCs w:val="21"/>
                <w:highlight w:val="none"/>
              </w:rPr>
              <w:t>核算表</w:t>
            </w:r>
          </w:p>
          <w:tbl>
            <w:tblPr>
              <w:tblStyle w:val="48"/>
              <w:tblW w:w="497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7"/>
              <w:gridCol w:w="844"/>
              <w:gridCol w:w="990"/>
              <w:gridCol w:w="700"/>
              <w:gridCol w:w="925"/>
              <w:gridCol w:w="747"/>
              <w:gridCol w:w="992"/>
              <w:gridCol w:w="880"/>
              <w:gridCol w:w="803"/>
              <w:gridCol w:w="727"/>
            </w:tblGrid>
            <w:tr w14:paraId="4471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14:paraId="0BD0776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原料名称</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07DA2C5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年用量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99" w:type="pct"/>
                  <w:tcBorders>
                    <w:top w:val="single" w:color="000000" w:sz="4" w:space="0"/>
                    <w:left w:val="single" w:color="000000" w:sz="4" w:space="0"/>
                    <w:bottom w:val="single" w:color="000000" w:sz="4" w:space="0"/>
                    <w:right w:val="single" w:color="000000" w:sz="4" w:space="0"/>
                  </w:tcBorders>
                  <w:noWrap w:val="0"/>
                  <w:vAlign w:val="center"/>
                </w:tcPr>
                <w:p w14:paraId="2DD63E0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固含量</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EB104B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漆料中固体份</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D6F0B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漆雾占比</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FB18E2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漆雾量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77" w:type="pct"/>
                  <w:tcBorders>
                    <w:top w:val="single" w:color="000000" w:sz="4" w:space="0"/>
                    <w:left w:val="single" w:color="000000" w:sz="4" w:space="0"/>
                    <w:bottom w:val="single" w:color="000000" w:sz="4" w:space="0"/>
                    <w:right w:val="single" w:color="000000" w:sz="4" w:space="0"/>
                  </w:tcBorders>
                  <w:noWrap w:val="0"/>
                  <w:vAlign w:val="center"/>
                </w:tcPr>
                <w:p w14:paraId="5F80AFE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有组织漆雾产生量t/a</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2FC440B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有组织漆雾排放量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9254A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漆渣产生量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6AF26A4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无组织漆雾产生量</w:t>
                  </w:r>
                  <w:r>
                    <w:rPr>
                      <w:rFonts w:hint="default" w:ascii="Times New Roman" w:hAnsi="Times New Roman" w:eastAsia="宋体" w:cs="Times New Roman"/>
                      <w:b/>
                      <w:bCs/>
                      <w:i w:val="0"/>
                      <w:iCs w:val="0"/>
                      <w:color w:val="auto"/>
                      <w:kern w:val="0"/>
                      <w:sz w:val="21"/>
                      <w:szCs w:val="21"/>
                      <w:u w:val="none"/>
                      <w:lang w:val="en-US" w:eastAsia="zh-CN" w:bidi="ar"/>
                    </w:rPr>
                    <w:t>t/a</w:t>
                  </w:r>
                </w:p>
              </w:tc>
            </w:tr>
            <w:tr w14:paraId="5885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43A03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02830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4.605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82C6F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69.29%</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0156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3.191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583A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64E8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1.2762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28A545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1.1486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C5813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0.0115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214906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1.1371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59BB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0.0128 </w:t>
                  </w:r>
                </w:p>
              </w:tc>
            </w:tr>
            <w:tr w14:paraId="78BF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3D800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99C8E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4.031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DEAFD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57.81%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3A7B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2.330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174773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FF18C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0.9322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122778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0.8390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165530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0.0084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657D12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0.8306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004795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0.0093 </w:t>
                  </w:r>
                </w:p>
              </w:tc>
            </w:tr>
            <w:tr w14:paraId="2982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7C27E6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ECB9E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1.216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D09D1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65.61%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D0C5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0.798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07376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514E1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0.3191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337484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0.2872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2317C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1DEC2A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0.2843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B4777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0.0032 </w:t>
                  </w:r>
                </w:p>
              </w:tc>
            </w:tr>
            <w:tr w14:paraId="32B2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rPr>
              <w:tc>
                <w:tcPr>
                  <w:tcW w:w="4405" w:type="dxa"/>
                  <w:gridSpan w:val="5"/>
                  <w:tcBorders>
                    <w:top w:val="single" w:color="000000" w:sz="4" w:space="0"/>
                    <w:left w:val="single" w:color="000000" w:sz="4" w:space="0"/>
                    <w:bottom w:val="single" w:color="000000" w:sz="4" w:space="0"/>
                    <w:right w:val="single" w:color="000000" w:sz="4" w:space="0"/>
                  </w:tcBorders>
                  <w:noWrap w:val="0"/>
                  <w:vAlign w:val="center"/>
                </w:tcPr>
                <w:p w14:paraId="47F01D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97C3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2.527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E5639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2.275 </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3907F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c>
                <w:tcPr>
                  <w:tcW w:w="802" w:type="dxa"/>
                  <w:tcBorders>
                    <w:top w:val="single" w:color="000000" w:sz="4" w:space="0"/>
                    <w:left w:val="single" w:color="000000" w:sz="4" w:space="0"/>
                    <w:bottom w:val="single" w:color="000000" w:sz="4" w:space="0"/>
                    <w:right w:val="single" w:color="000000" w:sz="4" w:space="0"/>
                  </w:tcBorders>
                  <w:noWrap w:val="0"/>
                  <w:vAlign w:val="center"/>
                </w:tcPr>
                <w:p w14:paraId="74FFD9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2.252 </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2EBE66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r>
          </w:tbl>
          <w:p w14:paraId="2E31079F">
            <w:pPr>
              <w:pStyle w:val="158"/>
              <w:wordWrap w:val="0"/>
              <w:topLinePunct/>
              <w:snapToGrid/>
              <w:ind w:firstLine="480"/>
              <w:rPr>
                <w:color w:val="auto"/>
                <w:highlight w:val="none"/>
              </w:rPr>
            </w:pPr>
            <w:r>
              <w:rPr>
                <w:rFonts w:hint="eastAsia" w:ascii="宋体" w:hAnsi="宋体" w:cs="宋体"/>
                <w:color w:val="auto"/>
                <w:highlight w:val="none"/>
              </w:rPr>
              <w:t>②</w:t>
            </w:r>
            <w:r>
              <w:rPr>
                <w:rFonts w:hint="eastAsia"/>
                <w:color w:val="auto"/>
                <w:highlight w:val="none"/>
              </w:rPr>
              <w:t>有机废气</w:t>
            </w:r>
          </w:p>
          <w:p w14:paraId="444F5D41">
            <w:pPr>
              <w:pStyle w:val="158"/>
              <w:pageBreakBefore w:val="0"/>
              <w:wordWrap w:val="0"/>
              <w:topLinePunct/>
              <w:bidi w:val="0"/>
              <w:snapToGrid/>
              <w:spacing w:beforeAutospacing="0" w:afterAutospacing="0"/>
              <w:ind w:firstLine="480"/>
              <w:rPr>
                <w:rFonts w:hint="eastAsia" w:cs="Times New Roman"/>
                <w:color w:val="auto"/>
                <w:highlight w:val="none"/>
                <w:lang w:val="en-US" w:eastAsia="zh-CN"/>
              </w:rPr>
            </w:pPr>
            <w:r>
              <w:rPr>
                <w:rFonts w:hint="default" w:ascii="Times New Roman" w:hAnsi="Times New Roman" w:cs="Times New Roman"/>
                <w:color w:val="auto"/>
                <w:highlight w:val="none"/>
              </w:rPr>
              <w:t>本项目调配</w:t>
            </w:r>
            <w:r>
              <w:rPr>
                <w:rFonts w:hint="eastAsia" w:cs="Times New Roman"/>
                <w:color w:val="auto"/>
                <w:highlight w:val="none"/>
                <w:lang w:val="en-US" w:eastAsia="zh-CN"/>
              </w:rPr>
              <w:t>后</w:t>
            </w:r>
            <w:r>
              <w:rPr>
                <w:rFonts w:hint="eastAsia" w:ascii="Times New Roman" w:hAnsi="Times New Roman" w:cs="Times New Roman"/>
                <w:color w:val="auto"/>
                <w:highlight w:val="none"/>
                <w:lang w:val="en-US" w:eastAsia="zh-CN"/>
              </w:rPr>
              <w:t>漆</w:t>
            </w:r>
            <w:r>
              <w:rPr>
                <w:rFonts w:hint="eastAsia" w:cs="Times New Roman"/>
                <w:color w:val="auto"/>
                <w:highlight w:val="none"/>
                <w:lang w:val="en-US" w:eastAsia="zh-CN"/>
              </w:rPr>
              <w:t>料</w:t>
            </w:r>
            <w:r>
              <w:rPr>
                <w:rFonts w:hint="default" w:ascii="Times New Roman" w:hAnsi="Times New Roman" w:cs="Times New Roman"/>
                <w:color w:val="auto"/>
                <w:highlight w:val="none"/>
              </w:rPr>
              <w:t>涂料合计用量为</w:t>
            </w:r>
            <w:r>
              <w:rPr>
                <w:rFonts w:hint="eastAsia" w:cs="Times New Roman"/>
                <w:color w:val="auto"/>
                <w:highlight w:val="none"/>
                <w:lang w:val="en-US" w:eastAsia="zh-CN"/>
              </w:rPr>
              <w:t>9.648</w:t>
            </w:r>
            <w:r>
              <w:rPr>
                <w:rFonts w:hint="default" w:ascii="Times New Roman" w:hAnsi="Times New Roman" w:cs="Times New Roman"/>
                <w:color w:val="auto"/>
                <w:highlight w:val="none"/>
              </w:rPr>
              <w:t>t/a</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根据前文计算VOCs</w:t>
            </w:r>
            <w:r>
              <w:rPr>
                <w:rFonts w:hint="eastAsia" w:cs="Times New Roman"/>
                <w:color w:val="auto"/>
                <w:highlight w:val="none"/>
                <w:lang w:val="en-US" w:eastAsia="zh-CN"/>
              </w:rPr>
              <w:t>总</w:t>
            </w:r>
            <w:r>
              <w:rPr>
                <w:rFonts w:hint="eastAsia" w:ascii="Times New Roman" w:hAnsi="Times New Roman" w:cs="Times New Roman"/>
                <w:color w:val="auto"/>
                <w:highlight w:val="none"/>
                <w:lang w:val="en-US" w:eastAsia="zh-CN"/>
              </w:rPr>
              <w:t>产生量为</w:t>
            </w:r>
            <w:r>
              <w:rPr>
                <w:rFonts w:hint="eastAsia" w:cs="Times New Roman"/>
                <w:color w:val="auto"/>
                <w:highlight w:val="none"/>
                <w:lang w:val="en-US" w:eastAsia="zh-CN"/>
              </w:rPr>
              <w:t>0.9957+1.0288+0.2596+1.2491+0.0419+0.127=</w:t>
            </w:r>
            <w:r>
              <w:rPr>
                <w:rFonts w:hint="eastAsia" w:ascii="Times New Roman" w:hAnsi="Times New Roman" w:cs="Times New Roman"/>
                <w:color w:val="auto"/>
                <w:highlight w:val="none"/>
                <w:lang w:val="en-US" w:eastAsia="zh-CN"/>
              </w:rPr>
              <w:t>3</w:t>
            </w:r>
            <w:r>
              <w:rPr>
                <w:rFonts w:hint="eastAsia" w:cs="Times New Roman"/>
                <w:color w:val="auto"/>
                <w:highlight w:val="none"/>
                <w:lang w:val="en-US" w:eastAsia="zh-CN"/>
              </w:rPr>
              <w:t>.702</w:t>
            </w:r>
            <w:r>
              <w:rPr>
                <w:rFonts w:hint="eastAsia" w:ascii="Times New Roman" w:hAnsi="Times New Roman" w:cs="Times New Roman"/>
                <w:color w:val="auto"/>
                <w:highlight w:val="none"/>
                <w:lang w:val="en-US" w:eastAsia="zh-CN"/>
              </w:rPr>
              <w:t>t/a</w:t>
            </w:r>
            <w:r>
              <w:rPr>
                <w:rFonts w:hint="default" w:ascii="Times New Roman" w:hAnsi="Times New Roman" w:cs="Times New Roman"/>
                <w:color w:val="auto"/>
                <w:highlight w:val="none"/>
              </w:rPr>
              <w:t>。</w:t>
            </w:r>
            <w:r>
              <w:rPr>
                <w:rFonts w:hint="eastAsia" w:cs="Times New Roman"/>
                <w:color w:val="auto"/>
                <w:highlight w:val="none"/>
                <w:lang w:val="en-US" w:eastAsia="zh-CN"/>
              </w:rPr>
              <w:t>参照《污染源源强核算技术指南 汽车制造》（HJ 1097-2020）中附录E（资料性附录）-溶剂型涂料喷涂-空气喷涂-零部件喷涂-物料中挥发性有机物挥发量占比-喷涂75%、流平15%、烘干10%，本项目油漆喷漆和流平工序的挥发性有机物含量（合计为90%）进入喷漆废气设施处理，油漆中挥发性有机物含量10%进入固化废气处理设施处理。</w:t>
            </w:r>
            <w:r>
              <w:rPr>
                <w:rFonts w:hint="default" w:ascii="Times New Roman" w:hAnsi="Times New Roman" w:cs="Times New Roman"/>
                <w:color w:val="auto"/>
                <w:highlight w:val="none"/>
              </w:rPr>
              <w:t>根据</w:t>
            </w:r>
            <w:r>
              <w:rPr>
                <w:rFonts w:hint="eastAsia" w:ascii="Times New Roman" w:hAnsi="Times New Roman" w:cs="Times New Roman"/>
                <w:color w:val="auto"/>
                <w:highlight w:val="none"/>
                <w:lang w:val="en-US" w:eastAsia="zh-CN"/>
              </w:rPr>
              <w:t>物料</w:t>
            </w:r>
            <w:r>
              <w:rPr>
                <w:rFonts w:hint="default" w:ascii="Times New Roman" w:hAnsi="Times New Roman" w:cs="Times New Roman"/>
                <w:color w:val="auto"/>
                <w:highlight w:val="none"/>
              </w:rPr>
              <w:t>MSDS可知，</w:t>
            </w:r>
            <w:r>
              <w:rPr>
                <w:rFonts w:hint="eastAsia" w:cs="Times New Roman"/>
                <w:color w:val="auto"/>
                <w:highlight w:val="none"/>
                <w:lang w:val="en-US" w:eastAsia="zh-CN"/>
              </w:rPr>
              <w:t>稀释剂、</w:t>
            </w:r>
            <w:r>
              <w:rPr>
                <w:rFonts w:hint="eastAsia" w:ascii="Times New Roman" w:hAnsi="Times New Roman" w:cs="Times New Roman"/>
                <w:color w:val="auto"/>
                <w:highlight w:val="none"/>
                <w:lang w:val="en-US" w:eastAsia="zh-CN"/>
              </w:rPr>
              <w:t>底漆、面漆和清漆</w:t>
            </w:r>
            <w:r>
              <w:rPr>
                <w:rFonts w:hint="default" w:ascii="Times New Roman" w:hAnsi="Times New Roman" w:cs="Times New Roman"/>
                <w:color w:val="auto"/>
                <w:highlight w:val="none"/>
              </w:rPr>
              <w:t>包含二甲苯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其中</w:t>
            </w:r>
            <w:r>
              <w:rPr>
                <w:rFonts w:hint="default" w:ascii="Times New Roman" w:hAnsi="Times New Roman" w:cs="Times New Roman"/>
                <w:color w:val="auto"/>
                <w:highlight w:val="none"/>
              </w:rPr>
              <w:t>二甲苯成分占比</w:t>
            </w:r>
            <w:r>
              <w:rPr>
                <w:rFonts w:hint="eastAsia" w:ascii="Times New Roman" w:hAnsi="Times New Roman" w:cs="Times New Roman"/>
                <w:color w:val="auto"/>
                <w:highlight w:val="none"/>
                <w:lang w:val="en-US" w:eastAsia="zh-CN"/>
              </w:rPr>
              <w:t>分别为</w:t>
            </w:r>
            <w:r>
              <w:rPr>
                <w:rFonts w:hint="eastAsia" w:cs="Times New Roman"/>
                <w:color w:val="auto"/>
                <w:highlight w:val="none"/>
                <w:lang w:val="en-US" w:eastAsia="zh-CN"/>
              </w:rPr>
              <w:t>70%、10</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11</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8.6</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w:t>
            </w:r>
          </w:p>
          <w:p w14:paraId="1D92E740">
            <w:pPr>
              <w:pStyle w:val="158"/>
              <w:pageBreakBefore w:val="0"/>
              <w:wordWrap w:val="0"/>
              <w:topLinePunct/>
              <w:bidi w:val="0"/>
              <w:snapToGrid/>
              <w:spacing w:beforeAutospacing="0" w:afterAutospacing="0"/>
              <w:ind w:firstLine="480"/>
              <w:rPr>
                <w:rFonts w:hint="default" w:ascii="Times New Roman" w:hAnsi="Times New Roman" w:cs="Times New Roman"/>
                <w:color w:val="auto"/>
                <w:highlight w:val="none"/>
              </w:rPr>
            </w:pPr>
            <w:r>
              <w:rPr>
                <w:rFonts w:hint="eastAsia" w:cs="Times New Roman"/>
                <w:color w:val="auto"/>
                <w:highlight w:val="none"/>
                <w:lang w:val="en-US" w:eastAsia="zh-CN"/>
              </w:rPr>
              <w:t>油漆中VOCs90%在喷漆流平工序挥发，剩余10%在固化工序挥发，且该喷枪清洗剂以50%进入VOCs废气计，另50%进入喷枪废液。则喷漆房VOCs产生量为（0.9957+1.0288+0.2596）×0.9+1.2491+0.0419=3.3467t/a，喷漆房苯系物产生量为(0.4186+0.3695+0.0909)×0.9+0.8743=1.6655t</w:t>
            </w:r>
            <w:r>
              <w:rPr>
                <w:rFonts w:hint="default" w:ascii="Times New Roman" w:hAnsi="Times New Roman" w:cs="Times New Roman"/>
                <w:color w:val="auto"/>
                <w:highlight w:val="none"/>
              </w:rPr>
              <w:t>/a</w:t>
            </w:r>
            <w:r>
              <w:rPr>
                <w:rFonts w:hint="eastAsia" w:cs="Times New Roman"/>
                <w:color w:val="auto"/>
                <w:highlight w:val="none"/>
                <w:lang w:eastAsia="zh-CN"/>
              </w:rPr>
              <w:t>。</w:t>
            </w:r>
            <w:r>
              <w:rPr>
                <w:rFonts w:hint="eastAsia" w:cs="Times New Roman"/>
                <w:color w:val="auto"/>
                <w:highlight w:val="none"/>
                <w:lang w:val="en-US" w:eastAsia="zh-CN"/>
              </w:rPr>
              <w:t>固化工序：VOCs</w:t>
            </w:r>
            <w:r>
              <w:rPr>
                <w:rFonts w:hint="eastAsia" w:cs="Times New Roman"/>
                <w:color w:val="auto"/>
                <w:highlight w:val="none"/>
                <w:lang w:eastAsia="zh-CN"/>
              </w:rPr>
              <w:t>（</w:t>
            </w:r>
            <w:r>
              <w:rPr>
                <w:rFonts w:hint="eastAsia" w:cs="Times New Roman"/>
                <w:color w:val="auto"/>
                <w:highlight w:val="none"/>
                <w:lang w:val="en-US" w:eastAsia="zh-CN"/>
              </w:rPr>
              <w:t>0.9957+1.0288+0.2596）×0.1+0.127=0.3554t/a</w:t>
            </w:r>
            <w:r>
              <w:rPr>
                <w:rFonts w:hint="eastAsia" w:cs="Times New Roman"/>
                <w:color w:val="auto"/>
                <w:highlight w:val="none"/>
                <w:lang w:eastAsia="zh-CN"/>
              </w:rPr>
              <w:t>；</w:t>
            </w:r>
            <w:r>
              <w:rPr>
                <w:rFonts w:hint="eastAsia" w:cs="Times New Roman"/>
                <w:color w:val="auto"/>
                <w:highlight w:val="none"/>
                <w:lang w:val="en-US" w:eastAsia="zh-CN"/>
              </w:rPr>
              <w:t>苯系物(0.4186+0.3695+0.0909)×0.1=0.0879t/a。</w:t>
            </w:r>
          </w:p>
          <w:p w14:paraId="7D9FECE8">
            <w:pPr>
              <w:pStyle w:val="158"/>
              <w:wordWrap w:val="0"/>
              <w:topLinePunct/>
              <w:snapToGrid/>
              <w:spacing w:line="240" w:lineRule="auto"/>
              <w:ind w:firstLine="0" w:firstLineChars="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 xml:space="preserve">4-15  </w:t>
            </w:r>
            <w:r>
              <w:rPr>
                <w:b/>
                <w:bCs/>
                <w:color w:val="auto"/>
                <w:sz w:val="21"/>
                <w:szCs w:val="21"/>
                <w:highlight w:val="none"/>
              </w:rPr>
              <w:t xml:space="preserve"> 项目</w:t>
            </w:r>
            <w:r>
              <w:rPr>
                <w:rFonts w:hint="eastAsia"/>
                <w:b/>
                <w:bCs/>
                <w:color w:val="auto"/>
                <w:sz w:val="21"/>
                <w:szCs w:val="21"/>
                <w:highlight w:val="none"/>
                <w:lang w:val="en-US" w:eastAsia="zh-CN"/>
              </w:rPr>
              <w:t>VOCs</w:t>
            </w:r>
            <w:r>
              <w:rPr>
                <w:rFonts w:hint="eastAsia"/>
                <w:b/>
                <w:bCs/>
                <w:color w:val="auto"/>
                <w:sz w:val="21"/>
                <w:szCs w:val="21"/>
                <w:highlight w:val="none"/>
              </w:rPr>
              <w:t>产</w:t>
            </w:r>
            <w:r>
              <w:rPr>
                <w:rFonts w:hint="eastAsia"/>
                <w:b/>
                <w:bCs/>
                <w:color w:val="auto"/>
                <w:sz w:val="21"/>
                <w:szCs w:val="21"/>
                <w:highlight w:val="none"/>
                <w:lang w:val="en-US" w:eastAsia="zh-CN"/>
              </w:rPr>
              <w:t>生情况一览表</w:t>
            </w:r>
          </w:p>
          <w:tbl>
            <w:tblPr>
              <w:tblStyle w:val="48"/>
              <w:tblW w:w="830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3"/>
              <w:gridCol w:w="959"/>
              <w:gridCol w:w="1227"/>
              <w:gridCol w:w="1244"/>
              <w:gridCol w:w="1201"/>
              <w:gridCol w:w="1201"/>
              <w:gridCol w:w="1201"/>
            </w:tblGrid>
            <w:tr w14:paraId="364B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2C0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漆种类</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DC0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底漆</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6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面漆</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5F0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清漆</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654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配漆稀释剂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12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喷枪清洗剂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507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粉末涂料</w:t>
                  </w:r>
                </w:p>
              </w:tc>
            </w:tr>
            <w:tr w14:paraId="3891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3A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用量</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7C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81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2E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75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4D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B0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509C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FB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密度</w:t>
                  </w:r>
                  <w:r>
                    <w:rPr>
                      <w:rFonts w:hint="default" w:ascii="Times New Roman" w:hAnsi="Times New Roman" w:eastAsia="宋体" w:cs="Times New Roman"/>
                      <w:i w:val="0"/>
                      <w:iCs w:val="0"/>
                      <w:color w:val="auto"/>
                      <w:kern w:val="0"/>
                      <w:sz w:val="21"/>
                      <w:szCs w:val="21"/>
                      <w:u w:val="none"/>
                      <w:lang w:val="en-US" w:eastAsia="zh-CN" w:bidi="ar"/>
                    </w:rPr>
                    <w:t>g/cm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9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D9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1.071</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10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2B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0.892</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E4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06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E81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28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含量</w:t>
                  </w:r>
                  <w:r>
                    <w:rPr>
                      <w:rFonts w:hint="default" w:ascii="Times New Roman" w:hAnsi="Times New Roman" w:eastAsia="宋体" w:cs="Times New Roman"/>
                      <w:i w:val="0"/>
                      <w:iCs w:val="0"/>
                      <w:color w:val="auto"/>
                      <w:kern w:val="0"/>
                      <w:sz w:val="21"/>
                      <w:szCs w:val="21"/>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FC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23.7852%</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59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30.6256%</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D9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24.5524%</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AB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60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A5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1.2kg/t</w:t>
                  </w:r>
                  <w:r>
                    <w:rPr>
                      <w:rFonts w:hint="eastAsia" w:ascii="宋体" w:hAnsi="宋体" w:eastAsia="宋体" w:cs="宋体"/>
                      <w:i w:val="0"/>
                      <w:iCs w:val="0"/>
                      <w:color w:val="auto"/>
                      <w:kern w:val="0"/>
                      <w:sz w:val="21"/>
                      <w:szCs w:val="21"/>
                      <w:u w:val="none"/>
                      <w:lang w:val="en-US" w:eastAsia="zh-CN" w:bidi="ar"/>
                    </w:rPr>
                    <w:t>粉末涂料</w:t>
                  </w:r>
                </w:p>
              </w:tc>
            </w:tr>
            <w:tr w14:paraId="2F73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B0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8C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0.9957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70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1.0288 </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2E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0.2596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51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1.2491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30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0.0419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DA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0.1270 </w:t>
                  </w:r>
                </w:p>
              </w:tc>
            </w:tr>
            <w:tr w14:paraId="2A0F5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6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二甲苯含量</w:t>
                  </w:r>
                  <w:r>
                    <w:rPr>
                      <w:rFonts w:hint="default" w:ascii="Times New Roman" w:hAnsi="Times New Roman" w:eastAsia="宋体" w:cs="Times New Roman"/>
                      <w:i w:val="0"/>
                      <w:iCs w:val="0"/>
                      <w:color w:val="auto"/>
                      <w:kern w:val="0"/>
                      <w:sz w:val="21"/>
                      <w:szCs w:val="21"/>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F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11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1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CD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E132">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E9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DEBE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4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二甲苯产生量合计</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B0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0.4186 </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5C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0.3695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AA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0.0909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DF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0.8743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5666">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C8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812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AAD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喷枪清洗剂以</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ascii="宋体" w:hAnsi="宋体" w:eastAsia="宋体" w:cs="宋体"/>
                      <w:i w:val="0"/>
                      <w:iCs w:val="0"/>
                      <w:color w:val="auto"/>
                      <w:kern w:val="0"/>
                      <w:sz w:val="21"/>
                      <w:szCs w:val="21"/>
                      <w:u w:val="none"/>
                      <w:lang w:val="en-US" w:eastAsia="zh-CN" w:bidi="ar"/>
                    </w:rPr>
                    <w:t>挥发计，其余</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ascii="宋体" w:hAnsi="宋体" w:eastAsia="宋体" w:cs="宋体"/>
                      <w:i w:val="0"/>
                      <w:iCs w:val="0"/>
                      <w:color w:val="auto"/>
                      <w:kern w:val="0"/>
                      <w:sz w:val="21"/>
                      <w:szCs w:val="21"/>
                      <w:u w:val="none"/>
                      <w:lang w:val="en-US" w:eastAsia="zh-CN" w:bidi="ar"/>
                    </w:rPr>
                    <w:t>进入危险废物</w:t>
                  </w:r>
                </w:p>
              </w:tc>
            </w:tr>
          </w:tbl>
          <w:p w14:paraId="77DA27AD">
            <w:pPr>
              <w:pStyle w:val="158"/>
              <w:pageBreakBefore w:val="0"/>
              <w:numPr>
                <w:ilvl w:val="0"/>
                <w:numId w:val="0"/>
              </w:numPr>
              <w:wordWrap w:val="0"/>
              <w:topLinePunct/>
              <w:bidi w:val="0"/>
              <w:snapToGrid/>
              <w:spacing w:beforeAutospacing="0" w:afterAutospacing="0"/>
              <w:rPr>
                <w:rFonts w:hint="default" w:ascii="Times New Roman" w:hAnsi="Times New Roman" w:cs="Times New Roman"/>
                <w:color w:val="auto"/>
                <w:highlight w:val="none"/>
              </w:rPr>
            </w:pPr>
          </w:p>
          <w:p w14:paraId="3E0356E2">
            <w:pPr>
              <w:pStyle w:val="158"/>
              <w:pageBreakBefore w:val="0"/>
              <w:numPr>
                <w:ilvl w:val="0"/>
                <w:numId w:val="0"/>
              </w:numPr>
              <w:wordWrap w:val="0"/>
              <w:topLinePunct/>
              <w:bidi w:val="0"/>
              <w:snapToGrid/>
              <w:spacing w:beforeAutospacing="0" w:afterAutospacing="0"/>
              <w:ind w:firstLine="482"/>
              <w:rPr>
                <w:rFonts w:hint="default" w:ascii="Times New Roman" w:hAnsi="Times New Roman" w:cs="Times New Roman"/>
                <w:color w:val="auto"/>
                <w:highlight w:val="none"/>
              </w:rPr>
            </w:pPr>
            <w:r>
              <w:rPr>
                <w:rFonts w:hint="eastAsia"/>
                <w:color w:val="auto"/>
                <w:highlight w:val="none"/>
                <w:lang w:val="en-US" w:eastAsia="zh-CN"/>
              </w:rPr>
              <w:object>
                <v:shape id="_x0000_i1028" o:spt="75" type="#_x0000_t75" style="height:417.75pt;width:351.75pt;" o:ole="t" filled="f" o:preferrelative="t" stroked="f" coordsize="21600,21600">
                  <v:path/>
                  <v:fill on="f" focussize="0,0"/>
                  <v:stroke on="f"/>
                  <v:imagedata r:id="rId27" o:title=""/>
                  <o:lock v:ext="edit" aspectratio="f"/>
                  <w10:wrap type="none"/>
                  <w10:anchorlock/>
                </v:shape>
                <o:OLEObject Type="Embed" ProgID="Visio.Drawing.15" ShapeID="_x0000_i1028" DrawAspect="Content" ObjectID="_1468075728" r:id="rId26">
                  <o:LockedField>false</o:LockedField>
                </o:OLEObject>
              </w:object>
            </w:r>
          </w:p>
          <w:p w14:paraId="1B893E8E">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图4-2  VOCs产生排放平衡图</w:t>
            </w:r>
          </w:p>
          <w:p w14:paraId="4CF1BD5C">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auto"/>
                <w:highlight w:val="none"/>
                <w:lang w:val="en-US" w:eastAsia="zh-CN"/>
              </w:rPr>
            </w:pPr>
            <w:r>
              <w:rPr>
                <w:color w:val="auto"/>
                <w:highlight w:val="none"/>
              </w:rPr>
              <w:t>根据《广东省工业源挥发性有机物减排量核算方法（2023年修订版）》（粤环函〔2023〕538 号）中“表3.3-2 废气收集集气效率参考值”的说明</w:t>
            </w:r>
            <w:r>
              <w:rPr>
                <w:rFonts w:hint="eastAsia"/>
                <w:color w:val="auto"/>
                <w:highlight w:val="none"/>
                <w:lang w:eastAsia="zh-CN"/>
              </w:rPr>
              <w:t>，</w:t>
            </w:r>
            <w:r>
              <w:rPr>
                <w:rFonts w:hint="eastAsia"/>
                <w:color w:val="auto"/>
                <w:highlight w:val="none"/>
                <w:lang w:val="en-US" w:eastAsia="zh-CN"/>
              </w:rPr>
              <w:t>②</w:t>
            </w:r>
            <w:r>
              <w:rPr>
                <w:color w:val="auto"/>
                <w:highlight w:val="none"/>
              </w:rPr>
              <w:t>当废气收集类型为“全密封设备/空间”，废气收集方式为“单层密闭负压”，收集情况为“VOCs产生源设置在密闭车间、密闭设备（含反应釜）、密闭管道内，所有开口处，包括人员或物料进出口处呈负压”，此时收集效率可取90%</w:t>
            </w:r>
            <w:r>
              <w:rPr>
                <w:rFonts w:hint="eastAsia"/>
                <w:color w:val="auto"/>
                <w:highlight w:val="none"/>
                <w:lang w:eastAsia="zh-CN"/>
              </w:rPr>
              <w:t>。</w:t>
            </w:r>
            <w:r>
              <w:rPr>
                <w:rFonts w:hint="eastAsia" w:ascii="Times New Roman" w:hAnsi="Times New Roman" w:cs="Times New Roman"/>
                <w:color w:val="auto"/>
                <w:highlight w:val="none"/>
                <w:lang w:val="en-US" w:eastAsia="zh-CN"/>
              </w:rPr>
              <w:t>项目喷漆房、流平室、调漆间和危废间均为单层密闭负压空间，收集效率为90%。</w:t>
            </w:r>
          </w:p>
          <w:p w14:paraId="493CF764">
            <w:pPr>
              <w:pStyle w:val="158"/>
              <w:pageBreakBefore w:val="0"/>
              <w:wordWrap w:val="0"/>
              <w:topLinePunct/>
              <w:bidi w:val="0"/>
              <w:snapToGrid/>
              <w:spacing w:beforeAutospacing="0" w:afterAutospacing="0"/>
              <w:ind w:firstLine="480"/>
              <w:rPr>
                <w:color w:val="auto"/>
                <w:highlight w:val="none"/>
              </w:rPr>
            </w:pPr>
            <w:r>
              <w:rPr>
                <w:rFonts w:hint="eastAsia" w:ascii="Times New Roman" w:hAnsi="Times New Roman" w:cs="Times New Roman"/>
                <w:color w:val="auto"/>
                <w:highlight w:val="none"/>
                <w:lang w:val="en-US" w:eastAsia="zh-CN"/>
              </w:rPr>
              <w:t>项目喷房尺寸为</w:t>
            </w:r>
            <w:r>
              <w:rPr>
                <w:rFonts w:hint="eastAsia" w:ascii="Times New Roman" w:hAnsi="Times New Roman" w:eastAsia="宋体" w:cs="Times New Roman"/>
                <w:i w:val="0"/>
                <w:iCs w:val="0"/>
                <w:color w:val="auto"/>
                <w:kern w:val="0"/>
                <w:sz w:val="24"/>
                <w:szCs w:val="24"/>
                <w:u w:val="none"/>
                <w:lang w:val="en-US" w:eastAsia="zh-CN" w:bidi="ar"/>
              </w:rPr>
              <w:t>16m*5m*3.5m，流平室尺寸为13.5m*5m*3.5m，调漆间、危废间废气一同汇入喷漆废气处理设施处理。</w:t>
            </w:r>
            <w:r>
              <w:rPr>
                <w:rFonts w:hint="eastAsia" w:cs="Times New Roman"/>
                <w:i w:val="0"/>
                <w:iCs w:val="0"/>
                <w:color w:val="auto"/>
                <w:kern w:val="0"/>
                <w:sz w:val="24"/>
                <w:szCs w:val="24"/>
                <w:u w:val="none"/>
                <w:lang w:val="en-US" w:eastAsia="zh-CN" w:bidi="ar"/>
              </w:rPr>
              <w:t>参考</w:t>
            </w:r>
            <w:r>
              <w:rPr>
                <w:color w:val="auto"/>
                <w:kern w:val="0"/>
                <w:highlight w:val="none"/>
              </w:rPr>
              <w:t>《广东省表面涂装（汽车制造业）挥发性有机废气治理技术指南》，废气捕集率评价方法：按照车间空间体积和60次/小时换气次数计算新风量</w:t>
            </w:r>
            <w:r>
              <w:rPr>
                <w:rFonts w:hint="eastAsia"/>
                <w:color w:val="auto"/>
                <w:highlight w:val="none"/>
                <w:lang w:eastAsia="zh-CN"/>
              </w:rPr>
              <w:t>；</w:t>
            </w:r>
            <w:r>
              <w:rPr>
                <w:color w:val="auto"/>
                <w:highlight w:val="none"/>
              </w:rPr>
              <w:t>其余生产车间</w:t>
            </w:r>
            <w:r>
              <w:rPr>
                <w:rFonts w:hint="eastAsia"/>
                <w:color w:val="auto"/>
                <w:highlight w:val="none"/>
                <w:lang w:val="en-US" w:eastAsia="zh-CN"/>
              </w:rPr>
              <w:t>区域</w:t>
            </w:r>
            <w:r>
              <w:rPr>
                <w:color w:val="auto"/>
                <w:highlight w:val="none"/>
              </w:rPr>
              <w:t>按需设置集气罩，</w:t>
            </w:r>
            <w:r>
              <w:rPr>
                <w:rFonts w:hint="eastAsia"/>
                <w:color w:val="auto"/>
                <w:highlight w:val="none"/>
                <w:lang w:val="en-US" w:eastAsia="zh-CN"/>
              </w:rPr>
              <w:t>危险废物贮存间参考</w:t>
            </w:r>
            <w:r>
              <w:rPr>
                <w:rFonts w:hint="eastAsia"/>
                <w:color w:val="auto"/>
                <w:highlight w:val="none"/>
              </w:rPr>
              <w:t>《工业企业设计卫生标准》（GBZ 1-2010）：事故通风换气次数不宜低于12次/h</w:t>
            </w:r>
            <w:r>
              <w:rPr>
                <w:rFonts w:hint="eastAsia"/>
                <w:color w:val="auto"/>
                <w:highlight w:val="none"/>
                <w:lang w:eastAsia="zh-CN"/>
              </w:rPr>
              <w:t>。</w:t>
            </w:r>
            <w:r>
              <w:rPr>
                <w:color w:val="auto"/>
                <w:highlight w:val="none"/>
              </w:rPr>
              <w:t>①矩形集气罩风量计算</w:t>
            </w:r>
          </w:p>
          <w:p w14:paraId="00481ADA">
            <w:pPr>
              <w:pStyle w:val="158"/>
              <w:pageBreakBefore w:val="0"/>
              <w:wordWrap w:val="0"/>
              <w:topLinePunct/>
              <w:bidi w:val="0"/>
              <w:snapToGrid/>
              <w:spacing w:beforeAutospacing="0" w:afterAutospacing="0"/>
              <w:ind w:firstLine="480"/>
              <w:rPr>
                <w:color w:val="auto"/>
                <w:highlight w:val="none"/>
              </w:rPr>
            </w:pPr>
            <w:r>
              <w:rPr>
                <w:color w:val="auto"/>
                <w:highlight w:val="none"/>
              </w:rPr>
              <w:t>参考《简明通风设计手册》（主编：孙一坚）中矩形排风罩四周无边的排风量计算公式：</w:t>
            </w:r>
          </w:p>
          <w:p w14:paraId="12B0F900">
            <w:pPr>
              <w:pStyle w:val="158"/>
              <w:pageBreakBefore w:val="0"/>
              <w:wordWrap w:val="0"/>
              <w:topLinePunct/>
              <w:bidi w:val="0"/>
              <w:snapToGrid/>
              <w:spacing w:beforeAutospacing="0" w:afterAutospacing="0"/>
              <w:ind w:firstLine="0" w:firstLineChars="0"/>
              <w:jc w:val="center"/>
              <w:rPr>
                <w:color w:val="auto"/>
                <w:highlight w:val="none"/>
              </w:rPr>
            </w:pPr>
            <w:r>
              <w:rPr>
                <w:color w:val="auto"/>
                <w:highlight w:val="none"/>
              </w:rPr>
              <w:t>Q=KPHVx</w:t>
            </w:r>
          </w:p>
          <w:p w14:paraId="50C386CF">
            <w:pPr>
              <w:pStyle w:val="158"/>
              <w:pageBreakBefore w:val="0"/>
              <w:wordWrap w:val="0"/>
              <w:topLinePunct/>
              <w:bidi w:val="0"/>
              <w:snapToGrid/>
              <w:spacing w:beforeAutospacing="0" w:afterAutospacing="0"/>
              <w:ind w:firstLine="480"/>
              <w:rPr>
                <w:color w:val="auto"/>
                <w:highlight w:val="none"/>
              </w:rPr>
            </w:pPr>
            <w:r>
              <w:rPr>
                <w:color w:val="auto"/>
                <w:highlight w:val="none"/>
              </w:rPr>
              <w:t>式中：Q---集气罩排风量，m</w:t>
            </w:r>
            <w:r>
              <w:rPr>
                <w:color w:val="auto"/>
                <w:highlight w:val="none"/>
                <w:vertAlign w:val="superscript"/>
              </w:rPr>
              <w:t>3</w:t>
            </w:r>
            <w:r>
              <w:rPr>
                <w:color w:val="auto"/>
                <w:highlight w:val="none"/>
              </w:rPr>
              <w:t>/s；</w:t>
            </w:r>
          </w:p>
          <w:p w14:paraId="14BD8C7D">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P---罩口的周长，m；</w:t>
            </w:r>
          </w:p>
          <w:p w14:paraId="44B6A6B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H---控制点至吸气口的距离，取0.5m；</w:t>
            </w:r>
          </w:p>
          <w:p w14:paraId="1F6DAA42">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V</w:t>
            </w:r>
            <w:r>
              <w:rPr>
                <w:color w:val="auto"/>
                <w:highlight w:val="none"/>
                <w:vertAlign w:val="subscript"/>
              </w:rPr>
              <w:t>x</w:t>
            </w:r>
            <w:r>
              <w:rPr>
                <w:color w:val="auto"/>
                <w:highlight w:val="none"/>
              </w:rPr>
              <w:t>---最小控制风速，m/s（项目污染物放散情况以缓慢的速度放散至平静的空气中，一般取0.25～0.5m/s，为保证收集效率，本项目最小控制风速取0.5m/s）；</w:t>
            </w:r>
          </w:p>
          <w:p w14:paraId="7D0922D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K---考虑沿高度分布不均匀的安全系数，通常取K=1.4。</w:t>
            </w:r>
          </w:p>
          <w:p w14:paraId="46B3335C">
            <w:pPr>
              <w:pStyle w:val="158"/>
              <w:pageBreakBefore w:val="0"/>
              <w:wordWrap w:val="0"/>
              <w:topLinePunct/>
              <w:bidi w:val="0"/>
              <w:snapToGrid/>
              <w:spacing w:beforeAutospacing="0" w:afterAutospacing="0"/>
              <w:ind w:firstLine="480"/>
              <w:rPr>
                <w:color w:val="auto"/>
                <w:highlight w:val="none"/>
              </w:rPr>
            </w:pPr>
            <w:r>
              <w:rPr>
                <w:color w:val="auto"/>
                <w:highlight w:val="none"/>
              </w:rPr>
              <w:t>②圆形排风管风量计算</w:t>
            </w:r>
          </w:p>
          <w:p w14:paraId="4ACF8624">
            <w:pPr>
              <w:pStyle w:val="158"/>
              <w:pageBreakBefore w:val="0"/>
              <w:wordWrap w:val="0"/>
              <w:topLinePunct/>
              <w:bidi w:val="0"/>
              <w:snapToGrid/>
              <w:spacing w:beforeAutospacing="0" w:afterAutospacing="0"/>
              <w:ind w:firstLine="480"/>
              <w:rPr>
                <w:color w:val="auto"/>
                <w:highlight w:val="none"/>
              </w:rPr>
            </w:pPr>
            <w:r>
              <w:rPr>
                <w:color w:val="auto"/>
                <w:highlight w:val="none"/>
              </w:rPr>
              <w:t>参考《环境工程设计手册》中圆形分管的风量计算公式：</w:t>
            </w:r>
          </w:p>
          <w:p w14:paraId="36942420">
            <w:pPr>
              <w:pStyle w:val="158"/>
              <w:pageBreakBefore w:val="0"/>
              <w:wordWrap w:val="0"/>
              <w:topLinePunct/>
              <w:bidi w:val="0"/>
              <w:snapToGrid/>
              <w:spacing w:beforeAutospacing="0" w:afterAutospacing="0"/>
              <w:ind w:firstLine="480"/>
              <w:jc w:val="center"/>
              <w:rPr>
                <w:color w:val="auto"/>
                <w:highlight w:val="none"/>
              </w:rPr>
            </w:pPr>
            <w:r>
              <w:rPr>
                <w:color w:val="auto"/>
                <w:highlight w:val="none"/>
              </w:rPr>
              <w:drawing>
                <wp:inline distT="0" distB="0" distL="114300" distR="114300">
                  <wp:extent cx="1827530" cy="391795"/>
                  <wp:effectExtent l="0" t="0" r="1270" b="8255"/>
                  <wp:docPr id="21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50"/>
                          <pic:cNvPicPr>
                            <a:picLocks noChangeAspect="1"/>
                          </pic:cNvPicPr>
                        </pic:nvPicPr>
                        <pic:blipFill>
                          <a:blip r:embed="rId28"/>
                          <a:stretch>
                            <a:fillRect/>
                          </a:stretch>
                        </pic:blipFill>
                        <pic:spPr>
                          <a:xfrm>
                            <a:off x="0" y="0"/>
                            <a:ext cx="1827530" cy="391795"/>
                          </a:xfrm>
                          <a:prstGeom prst="rect">
                            <a:avLst/>
                          </a:prstGeom>
                          <a:noFill/>
                          <a:ln>
                            <a:noFill/>
                          </a:ln>
                        </pic:spPr>
                      </pic:pic>
                    </a:graphicData>
                  </a:graphic>
                </wp:inline>
              </w:drawing>
            </w:r>
          </w:p>
          <w:p w14:paraId="6879FEBD">
            <w:pPr>
              <w:pStyle w:val="158"/>
              <w:pageBreakBefore w:val="0"/>
              <w:wordWrap w:val="0"/>
              <w:topLinePunct/>
              <w:bidi w:val="0"/>
              <w:snapToGrid/>
              <w:spacing w:beforeAutospacing="0" w:afterAutospacing="0"/>
              <w:ind w:firstLine="480"/>
              <w:rPr>
                <w:color w:val="auto"/>
                <w:highlight w:val="none"/>
              </w:rPr>
            </w:pPr>
            <w:r>
              <w:rPr>
                <w:color w:val="auto"/>
                <w:highlight w:val="none"/>
              </w:rPr>
              <w:t>式中：L---集气罩排风量，m</w:t>
            </w:r>
            <w:r>
              <w:rPr>
                <w:color w:val="auto"/>
                <w:highlight w:val="none"/>
                <w:vertAlign w:val="superscript"/>
              </w:rPr>
              <w:t>3</w:t>
            </w:r>
            <w:r>
              <w:rPr>
                <w:color w:val="auto"/>
                <w:highlight w:val="none"/>
              </w:rPr>
              <w:t>/h；</w:t>
            </w:r>
          </w:p>
          <w:p w14:paraId="62F8E2C0">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D---分管直径，m；</w:t>
            </w:r>
          </w:p>
          <w:p w14:paraId="3917097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V---断面平均风速，m/s，本项目断面平均风速取5.34m/s。</w:t>
            </w:r>
          </w:p>
          <w:p w14:paraId="5F22A0D0">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i w:val="0"/>
                <w:iCs w:val="0"/>
                <w:color w:val="auto"/>
                <w:kern w:val="0"/>
                <w:sz w:val="24"/>
                <w:szCs w:val="24"/>
                <w:u w:val="none"/>
                <w:lang w:val="en-US" w:eastAsia="zh-CN" w:bidi="ar"/>
              </w:rPr>
              <w:t>喷漆废气集气设备设计参数见下表。</w:t>
            </w:r>
          </w:p>
          <w:p w14:paraId="38285315">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表4-1</w:t>
            </w:r>
            <w:r>
              <w:rPr>
                <w:rFonts w:hint="eastAsia" w:cs="Times New Roman"/>
                <w:b/>
                <w:bCs/>
                <w:color w:val="auto"/>
                <w:sz w:val="21"/>
                <w:szCs w:val="21"/>
                <w:highlight w:val="none"/>
                <w:lang w:val="en-US" w:eastAsia="zh-CN"/>
              </w:rPr>
              <w:t>6</w:t>
            </w:r>
            <w:r>
              <w:rPr>
                <w:rFonts w:hint="eastAsia" w:ascii="Times New Roman" w:hAnsi="Times New Roman" w:cs="Times New Roman"/>
                <w:b/>
                <w:bCs/>
                <w:color w:val="auto"/>
                <w:sz w:val="21"/>
                <w:szCs w:val="21"/>
                <w:highlight w:val="none"/>
                <w:lang w:val="en-US" w:eastAsia="zh-CN"/>
              </w:rPr>
              <w:t xml:space="preserve"> 集气设备设计参数</w:t>
            </w:r>
          </w:p>
          <w:tbl>
            <w:tblPr>
              <w:tblStyle w:val="48"/>
              <w:tblW w:w="83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83"/>
              <w:gridCol w:w="1756"/>
              <w:gridCol w:w="856"/>
              <w:gridCol w:w="1041"/>
              <w:gridCol w:w="1041"/>
              <w:gridCol w:w="1042"/>
              <w:gridCol w:w="1287"/>
            </w:tblGrid>
            <w:tr w14:paraId="1FAE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3B0778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工序</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4A4CB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尺寸</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2FA066C6">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体积（</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B86181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换气常数（次</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B7B9E0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C3B6ED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单个所需风量（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7BB5972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整体所需风量（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r>
            <w:tr w14:paraId="38B5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33E83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513E9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8AD6B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DAB9F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42BB8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4266E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53A97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524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4337C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AFFB4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BF9192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9C6D4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D8635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BD6BE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B7F37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1B46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44158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7098B7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80D30E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2E9B3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1B54B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80BD9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EDCD3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4065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7014E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21DE98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F4E1D1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20133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29459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69CAA8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402B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76B8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BEB7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10EC8C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3EC85B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F2BBC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6A4F3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D9CB7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3FE352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1C591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2FB5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A1268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B74BCF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DEFA2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4A169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CD500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4D938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439E9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2994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调漆间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C718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787159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840E0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58E8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0FA41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D491A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6300</w:t>
                  </w:r>
                </w:p>
              </w:tc>
            </w:tr>
            <w:tr w14:paraId="5A98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C2046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危废间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84DAE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10m*5m*3.5m</w:t>
                  </w:r>
                </w:p>
              </w:tc>
              <w:tc>
                <w:tcPr>
                  <w:tcW w:w="856" w:type="dxa"/>
                  <w:tcBorders>
                    <w:top w:val="single" w:color="000000" w:sz="4" w:space="0"/>
                    <w:left w:val="single" w:color="000000" w:sz="4" w:space="0"/>
                    <w:bottom w:val="single" w:color="000000" w:sz="4" w:space="0"/>
                    <w:right w:val="single" w:color="000000" w:sz="4" w:space="0"/>
                  </w:tcBorders>
                  <w:noWrap/>
                  <w:vAlign w:val="center"/>
                </w:tcPr>
                <w:p w14:paraId="7886BAB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175</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1FC3A6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97DB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43D75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10500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2A1F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10500</w:t>
                  </w:r>
                </w:p>
              </w:tc>
            </w:tr>
            <w:tr w14:paraId="2913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9" w:type="dxa"/>
                  <w:gridSpan w:val="6"/>
                  <w:tcBorders>
                    <w:top w:val="single" w:color="000000" w:sz="4" w:space="0"/>
                    <w:left w:val="single" w:color="000000" w:sz="4" w:space="0"/>
                    <w:bottom w:val="single" w:color="000000" w:sz="4" w:space="0"/>
                    <w:right w:val="single" w:color="000000" w:sz="4" w:space="0"/>
                  </w:tcBorders>
                  <w:noWrap/>
                  <w:vAlign w:val="center"/>
                </w:tcPr>
                <w:p w14:paraId="6D009D4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合计</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D71E1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160125</w:t>
                  </w:r>
                </w:p>
              </w:tc>
            </w:tr>
          </w:tbl>
          <w:p w14:paraId="00EE9283">
            <w:pPr>
              <w:pStyle w:val="158"/>
              <w:pageBreakBefore w:val="0"/>
              <w:numPr>
                <w:ilvl w:val="0"/>
                <w:numId w:val="0"/>
              </w:numPr>
              <w:wordWrap w:val="0"/>
              <w:topLinePunct/>
              <w:bidi w:val="0"/>
              <w:snapToGrid/>
              <w:spacing w:beforeAutospacing="0" w:afterAutospacing="0"/>
              <w:ind w:firstLine="482"/>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计算得整体所需风量为1</w:t>
            </w:r>
            <w:r>
              <w:rPr>
                <w:rFonts w:hint="eastAsia" w:cs="Times New Roman"/>
                <w:color w:val="auto"/>
                <w:highlight w:val="none"/>
                <w:lang w:val="en-US" w:eastAsia="zh-CN"/>
              </w:rPr>
              <w:t>60125</w:t>
            </w:r>
            <w:r>
              <w:rPr>
                <w:rFonts w:hint="eastAsia" w:ascii="Times New Roman" w:hAnsi="Times New Roman" w:cs="Times New Roman"/>
                <w:color w:val="auto"/>
                <w:highlight w:val="none"/>
                <w:lang w:val="en-US" w:eastAsia="zh-CN"/>
              </w:rPr>
              <w:t>m</w:t>
            </w:r>
            <w:r>
              <w:rPr>
                <w:rFonts w:hint="eastAsia"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vertAlign w:val="baseline"/>
                <w:lang w:val="en-US" w:eastAsia="zh-CN"/>
              </w:rPr>
              <w:t>/h，项目配套喷漆废气处理设施设计风量1</w:t>
            </w:r>
            <w:r>
              <w:rPr>
                <w:rFonts w:hint="eastAsia" w:cs="Times New Roman"/>
                <w:color w:val="auto"/>
                <w:highlight w:val="none"/>
                <w:vertAlign w:val="baseline"/>
                <w:lang w:val="en-US" w:eastAsia="zh-CN"/>
              </w:rPr>
              <w:t>812</w:t>
            </w:r>
            <w:r>
              <w:rPr>
                <w:rFonts w:hint="eastAsia" w:ascii="Times New Roman" w:hAnsi="Times New Roman" w:cs="Times New Roman"/>
                <w:color w:val="auto"/>
                <w:highlight w:val="none"/>
                <w:vertAlign w:val="baseline"/>
                <w:lang w:val="en-US" w:eastAsia="zh-CN"/>
              </w:rPr>
              <w:t>00m</w:t>
            </w:r>
            <w:r>
              <w:rPr>
                <w:rFonts w:hint="eastAsia"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vertAlign w:val="baseline"/>
                <w:lang w:val="en-US" w:eastAsia="zh-CN"/>
              </w:rPr>
              <w:t>/h，大于所需风量，风量设计合理。</w:t>
            </w:r>
          </w:p>
          <w:p w14:paraId="44510D14">
            <w:pPr>
              <w:pStyle w:val="158"/>
              <w:pageBreakBefore w:val="0"/>
              <w:wordWrap w:val="0"/>
              <w:topLinePunct/>
              <w:bidi w:val="0"/>
              <w:snapToGrid/>
              <w:spacing w:beforeAutospacing="0" w:afterAutospacing="0"/>
              <w:ind w:firstLine="480"/>
              <w:rPr>
                <w:rFonts w:hint="default" w:ascii="Times New Roman" w:hAnsi="Times New Roman" w:eastAsia="宋体" w:cs="Times New Roman"/>
                <w:i w:val="0"/>
                <w:iCs w:val="0"/>
                <w:color w:val="auto"/>
                <w:spacing w:val="0"/>
                <w:kern w:val="0"/>
                <w:sz w:val="24"/>
                <w:szCs w:val="24"/>
                <w:u w:val="none"/>
                <w:lang w:val="en-US" w:eastAsia="zh-CN" w:bidi="ar"/>
              </w:rPr>
            </w:pPr>
            <w:r>
              <w:rPr>
                <w:rFonts w:hint="eastAsia" w:cs="Times New Roman"/>
                <w:i w:val="0"/>
                <w:iCs w:val="0"/>
                <w:color w:val="auto"/>
                <w:spacing w:val="0"/>
                <w:kern w:val="0"/>
                <w:sz w:val="24"/>
                <w:szCs w:val="24"/>
                <w:u w:val="none"/>
                <w:lang w:val="en-US" w:eastAsia="zh-CN" w:bidi="ar"/>
              </w:rPr>
              <w:t>本项目采用</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lang w:val="en-US" w:eastAsia="zh-CN"/>
              </w:rPr>
              <w:t>+活性炭吸附</w:t>
            </w:r>
            <w:r>
              <w:rPr>
                <w:rFonts w:hint="eastAsia"/>
                <w:color w:val="auto"/>
                <w:highlight w:val="none"/>
              </w:rPr>
              <w:t>”</w:t>
            </w:r>
            <w:r>
              <w:rPr>
                <w:rFonts w:hint="eastAsia"/>
                <w:color w:val="auto"/>
                <w:highlight w:val="none"/>
                <w:lang w:val="en-US" w:eastAsia="zh-CN"/>
              </w:rPr>
              <w:t>工艺处理喷漆线废气。</w:t>
            </w:r>
            <w:r>
              <w:rPr>
                <w:rFonts w:hint="default" w:ascii="Times New Roman" w:hAnsi="Times New Roman" w:eastAsia="宋体" w:cs="Times New Roman"/>
                <w:i w:val="0"/>
                <w:iCs w:val="0"/>
                <w:color w:val="auto"/>
                <w:spacing w:val="0"/>
                <w:kern w:val="0"/>
                <w:sz w:val="24"/>
                <w:szCs w:val="24"/>
                <w:u w:val="none"/>
                <w:lang w:val="en-US" w:eastAsia="zh-CN" w:bidi="ar"/>
              </w:rPr>
              <w:t>据《广东省生态环境厅关于印发工业源挥发性有机物和氮氧化物减排量核算方法的通知》（粤环函〔2023〕538号）中“表3.3-3 废气治理效率参考值”的说明，</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rPr>
              <w:t>”</w:t>
            </w:r>
            <w:r>
              <w:rPr>
                <w:color w:val="auto"/>
                <w:highlight w:val="none"/>
              </w:rPr>
              <w:t>治理效率为</w:t>
            </w:r>
            <w:r>
              <w:rPr>
                <w:rFonts w:hint="eastAsia"/>
                <w:color w:val="auto"/>
                <w:highlight w:val="none"/>
              </w:rPr>
              <w:t>60</w:t>
            </w:r>
            <w:r>
              <w:rPr>
                <w:color w:val="auto"/>
                <w:highlight w:val="none"/>
              </w:rPr>
              <w:t>%</w:t>
            </w:r>
            <w:r>
              <w:rPr>
                <w:rFonts w:hint="eastAsia"/>
                <w:color w:val="auto"/>
                <w:highlight w:val="none"/>
                <w:lang w:eastAsia="zh-CN"/>
              </w:rPr>
              <w:t>。</w:t>
            </w:r>
            <w:r>
              <w:rPr>
                <w:rFonts w:hint="default" w:ascii="Times New Roman" w:hAnsi="Times New Roman" w:cs="Times New Roman"/>
                <w:color w:val="auto"/>
                <w:sz w:val="24"/>
              </w:rPr>
              <w:t>参考《广东省家具行业挥发性有机化合物废气治理技术指南》（粤环</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2013</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79号）中对有机废气治理设施的治理效率可得，吸附法处理效率为50～80%（本报告一级活性炭处理效率取</w:t>
            </w:r>
            <w:r>
              <w:rPr>
                <w:rFonts w:hint="eastAsia" w:cs="Times New Roman"/>
                <w:color w:val="auto"/>
                <w:sz w:val="24"/>
                <w:lang w:val="en-US" w:eastAsia="zh-CN"/>
              </w:rPr>
              <w:t>5</w:t>
            </w:r>
            <w:r>
              <w:rPr>
                <w:rFonts w:hint="default" w:ascii="Times New Roman" w:hAnsi="Times New Roman" w:cs="Times New Roman"/>
                <w:color w:val="auto"/>
                <w:sz w:val="24"/>
              </w:rPr>
              <w:t>0%），项目采取两级</w:t>
            </w:r>
            <w:r>
              <w:rPr>
                <w:rFonts w:hint="eastAsia" w:ascii="Times New Roman" w:hAnsi="Times New Roman" w:cs="Times New Roman"/>
                <w:color w:val="auto"/>
                <w:sz w:val="24"/>
                <w:lang w:val="en-US" w:eastAsia="zh-CN"/>
              </w:rPr>
              <w:t>废气处理工艺</w:t>
            </w:r>
            <w:r>
              <w:rPr>
                <w:rFonts w:hint="default" w:ascii="Times New Roman" w:hAnsi="Times New Roman" w:cs="Times New Roman"/>
                <w:color w:val="auto"/>
                <w:sz w:val="24"/>
              </w:rPr>
              <w:t>串联方式，当存在两种或两种以上治理设施联合治理时，治理效率可按公式η=1-（1-η</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n</w:t>
            </w:r>
            <w:r>
              <w:rPr>
                <w:rFonts w:hint="default" w:ascii="Times New Roman" w:hAnsi="Times New Roman" w:cs="Times New Roman"/>
                <w:color w:val="auto"/>
                <w:sz w:val="24"/>
              </w:rPr>
              <w:t>）进行计算，则本项目废气处理工艺对有机废气总处理效率合计为1-（1-</w:t>
            </w:r>
            <w:r>
              <w:rPr>
                <w:rFonts w:hint="eastAsia" w:cs="Times New Roman"/>
                <w:color w:val="auto"/>
                <w:sz w:val="24"/>
                <w:lang w:val="en-US" w:eastAsia="zh-CN"/>
              </w:rPr>
              <w:t>6</w:t>
            </w:r>
            <w:r>
              <w:rPr>
                <w:rFonts w:hint="default" w:ascii="Times New Roman" w:hAnsi="Times New Roman" w:cs="Times New Roman"/>
                <w:color w:val="auto"/>
                <w:sz w:val="24"/>
              </w:rPr>
              <w:t>0%）×（1-50%）=</w:t>
            </w:r>
            <w:r>
              <w:rPr>
                <w:rFonts w:hint="eastAsia" w:cs="Times New Roman"/>
                <w:color w:val="auto"/>
                <w:sz w:val="24"/>
                <w:lang w:val="en-US" w:eastAsia="zh-CN"/>
              </w:rPr>
              <w:t>80</w:t>
            </w:r>
            <w:r>
              <w:rPr>
                <w:rFonts w:hint="default" w:ascii="Times New Roman" w:hAnsi="Times New Roman" w:cs="Times New Roman"/>
                <w:color w:val="auto"/>
                <w:sz w:val="24"/>
              </w:rPr>
              <w:t>%。</w:t>
            </w:r>
          </w:p>
          <w:p w14:paraId="4594B40D">
            <w:pPr>
              <w:keepNext w:val="0"/>
              <w:keepLines w:val="0"/>
              <w:suppressLineNumbers w:val="0"/>
              <w:spacing w:before="0" w:beforeAutospacing="0" w:after="0" w:afterAutospacing="0" w:line="360" w:lineRule="auto"/>
              <w:ind w:left="0" w:right="0" w:firstLine="470" w:firstLineChars="200"/>
              <w:rPr>
                <w:rFonts w:hint="eastAsia" w:ascii="Times New Roman" w:hAnsi="Times New Roman" w:cs="Times New Roman"/>
                <w:b/>
                <w:bCs/>
                <w:color w:val="auto"/>
                <w:spacing w:val="-3"/>
                <w:sz w:val="24"/>
                <w:szCs w:val="24"/>
                <w:lang w:val="en-US" w:eastAsia="zh-CN"/>
              </w:rPr>
            </w:pPr>
            <w:r>
              <w:rPr>
                <w:rFonts w:hint="eastAsia" w:cs="Times New Roman"/>
                <w:b/>
                <w:bCs/>
                <w:color w:val="auto"/>
                <w:spacing w:val="-3"/>
                <w:sz w:val="24"/>
                <w:szCs w:val="24"/>
                <w:lang w:val="en-US" w:eastAsia="zh-CN"/>
              </w:rPr>
              <w:t>1</w:t>
            </w:r>
            <w:r>
              <w:rPr>
                <w:rFonts w:hint="default" w:ascii="Times New Roman" w:hAnsi="Times New Roman" w:cs="Times New Roman"/>
                <w:b/>
                <w:bCs/>
                <w:color w:val="auto"/>
                <w:spacing w:val="-3"/>
                <w:sz w:val="24"/>
                <w:szCs w:val="24"/>
                <w:lang w:val="en-US" w:eastAsia="zh-CN"/>
              </w:rPr>
              <w:t>.</w:t>
            </w:r>
            <w:r>
              <w:rPr>
                <w:rFonts w:hint="eastAsia" w:cs="Times New Roman"/>
                <w:b/>
                <w:bCs/>
                <w:color w:val="auto"/>
                <w:spacing w:val="-3"/>
                <w:sz w:val="24"/>
                <w:szCs w:val="24"/>
                <w:lang w:val="en-US" w:eastAsia="zh-CN"/>
              </w:rPr>
              <w:t>2</w:t>
            </w:r>
            <w:r>
              <w:rPr>
                <w:rFonts w:hint="default" w:ascii="Times New Roman" w:hAnsi="Times New Roman" w:cs="Times New Roman"/>
                <w:b/>
                <w:bCs/>
                <w:color w:val="auto"/>
                <w:spacing w:val="-3"/>
                <w:sz w:val="24"/>
                <w:szCs w:val="24"/>
                <w:lang w:val="en-US" w:eastAsia="zh-CN"/>
              </w:rPr>
              <w:t>.</w:t>
            </w:r>
            <w:r>
              <w:rPr>
                <w:rFonts w:hint="eastAsia" w:ascii="Times New Roman" w:hAnsi="Times New Roman" w:cs="Times New Roman"/>
                <w:b/>
                <w:bCs/>
                <w:color w:val="auto"/>
                <w:spacing w:val="-3"/>
                <w:sz w:val="24"/>
                <w:szCs w:val="24"/>
                <w:lang w:val="en-US" w:eastAsia="zh-CN"/>
              </w:rPr>
              <w:t>6 固化废气</w:t>
            </w:r>
          </w:p>
          <w:p w14:paraId="47BC6D71">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固化废气主要包括固化炉天然气燃烧废气及固化时产生的有机废气。固化炉天然气燃烧废气及固化时产生的有机废气一同收集，经</w:t>
            </w:r>
            <w:r>
              <w:rPr>
                <w:rFonts w:hint="eastAsia" w:cs="Times New Roman"/>
                <w:b w:val="0"/>
                <w:bCs w:val="0"/>
                <w:color w:val="auto"/>
                <w:spacing w:val="-3"/>
                <w:sz w:val="24"/>
                <w:szCs w:val="24"/>
                <w:lang w:val="en-US" w:eastAsia="zh-CN"/>
              </w:rPr>
              <w:t>喷淋+干式过滤+</w:t>
            </w:r>
            <w:r>
              <w:rPr>
                <w:rFonts w:hint="default" w:ascii="Times New Roman" w:hAnsi="Times New Roman" w:cs="Times New Roman"/>
                <w:b w:val="0"/>
                <w:bCs w:val="0"/>
                <w:color w:val="auto"/>
                <w:spacing w:val="-3"/>
                <w:sz w:val="24"/>
                <w:szCs w:val="24"/>
                <w:lang w:val="en-US" w:eastAsia="zh-CN"/>
              </w:rPr>
              <w:t>二级活性炭吸附处理后，由一根 15m 高排气筒（</w:t>
            </w:r>
            <w:r>
              <w:rPr>
                <w:rFonts w:hint="eastAsia" w:cs="Times New Roman"/>
                <w:b w:val="0"/>
                <w:bCs w:val="0"/>
                <w:color w:val="auto"/>
                <w:spacing w:val="-3"/>
                <w:sz w:val="24"/>
                <w:szCs w:val="24"/>
                <w:lang w:val="en-US" w:eastAsia="zh-CN"/>
              </w:rPr>
              <w:t>DA002</w:t>
            </w:r>
            <w:r>
              <w:rPr>
                <w:rFonts w:hint="default" w:ascii="Times New Roman" w:hAnsi="Times New Roman" w:cs="Times New Roman"/>
                <w:b w:val="0"/>
                <w:bCs w:val="0"/>
                <w:color w:val="auto"/>
                <w:spacing w:val="-3"/>
                <w:sz w:val="24"/>
                <w:szCs w:val="24"/>
                <w:lang w:val="en-US" w:eastAsia="zh-CN"/>
              </w:rPr>
              <w:t>）排放，配套风机风量为</w:t>
            </w:r>
            <w:r>
              <w:rPr>
                <w:rFonts w:hint="eastAsia" w:ascii="Times New Roman" w:hAnsi="Times New Roman" w:cs="Times New Roman"/>
                <w:b w:val="0"/>
                <w:bCs w:val="0"/>
                <w:color w:val="auto"/>
                <w:spacing w:val="-3"/>
                <w:sz w:val="24"/>
                <w:szCs w:val="24"/>
                <w:lang w:val="en-US" w:eastAsia="zh-CN"/>
              </w:rPr>
              <w:t>40</w:t>
            </w:r>
            <w:r>
              <w:rPr>
                <w:rFonts w:hint="default" w:ascii="Times New Roman" w:hAnsi="Times New Roman" w:cs="Times New Roman"/>
                <w:b w:val="0"/>
                <w:bCs w:val="0"/>
                <w:color w:val="auto"/>
                <w:spacing w:val="-3"/>
                <w:sz w:val="24"/>
                <w:szCs w:val="24"/>
                <w:lang w:val="en-US" w:eastAsia="zh-CN"/>
              </w:rPr>
              <w:t xml:space="preserve">000m³/h，年工作时间为 </w:t>
            </w:r>
            <w:r>
              <w:rPr>
                <w:rFonts w:hint="eastAsia" w:ascii="Times New Roman" w:hAnsi="Times New Roman" w:cs="Times New Roman"/>
                <w:b w:val="0"/>
                <w:bCs w:val="0"/>
                <w:color w:val="auto"/>
                <w:spacing w:val="-3"/>
                <w:sz w:val="24"/>
                <w:szCs w:val="24"/>
                <w:lang w:val="en-US" w:eastAsia="zh-CN"/>
              </w:rPr>
              <w:t>1928</w:t>
            </w:r>
            <w:r>
              <w:rPr>
                <w:rFonts w:hint="default" w:ascii="Times New Roman" w:hAnsi="Times New Roman" w:cs="Times New Roman"/>
                <w:b w:val="0"/>
                <w:bCs w:val="0"/>
                <w:color w:val="auto"/>
                <w:spacing w:val="-3"/>
                <w:sz w:val="24"/>
                <w:szCs w:val="24"/>
                <w:lang w:val="en-US" w:eastAsia="zh-CN"/>
              </w:rPr>
              <w:t>h。</w:t>
            </w:r>
          </w:p>
          <w:p w14:paraId="18689A0F">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固化炉采用天然气热风循环供热，</w:t>
            </w:r>
            <w:r>
              <w:rPr>
                <w:rFonts w:hint="eastAsia" w:ascii="Times New Roman" w:hAnsi="Times New Roman" w:cs="Times New Roman"/>
                <w:b w:val="0"/>
                <w:bCs w:val="0"/>
                <w:color w:val="auto"/>
                <w:spacing w:val="-3"/>
                <w:sz w:val="24"/>
                <w:szCs w:val="24"/>
                <w:lang w:val="en-US" w:eastAsia="zh-CN"/>
              </w:rPr>
              <w:t>天然气燃烧废气产生排放情况见表4-1</w:t>
            </w:r>
            <w:r>
              <w:rPr>
                <w:rFonts w:hint="eastAsia" w:cs="Times New Roman"/>
                <w:b w:val="0"/>
                <w:bCs w:val="0"/>
                <w:color w:val="auto"/>
                <w:spacing w:val="-3"/>
                <w:sz w:val="24"/>
                <w:szCs w:val="24"/>
                <w:lang w:val="en-US" w:eastAsia="zh-CN"/>
              </w:rPr>
              <w:t>0</w:t>
            </w:r>
            <w:r>
              <w:rPr>
                <w:rFonts w:hint="eastAsia" w:ascii="Times New Roman" w:hAnsi="Times New Roman" w:cs="Times New Roman"/>
                <w:b w:val="0"/>
                <w:bCs w:val="0"/>
                <w:color w:val="auto"/>
                <w:spacing w:val="-3"/>
                <w:sz w:val="24"/>
                <w:szCs w:val="24"/>
                <w:lang w:val="en-US" w:eastAsia="zh-CN"/>
              </w:rPr>
              <w:t>。</w:t>
            </w:r>
          </w:p>
          <w:p w14:paraId="0CA19E2C">
            <w:pPr>
              <w:keepNext w:val="0"/>
              <w:keepLines w:val="0"/>
              <w:suppressLineNumbers w:val="0"/>
              <w:spacing w:before="0" w:beforeAutospacing="0" w:after="0" w:afterAutospacing="0" w:line="360" w:lineRule="auto"/>
              <w:ind w:left="0" w:right="0" w:firstLine="468" w:firstLineChars="200"/>
              <w:rPr>
                <w:rFonts w:hint="eastAsia"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固化炉有机废气由</w:t>
            </w:r>
            <w:r>
              <w:rPr>
                <w:rFonts w:hint="eastAsia" w:ascii="Times New Roman" w:hAnsi="Times New Roman" w:cs="Times New Roman"/>
                <w:b w:val="0"/>
                <w:bCs w:val="0"/>
                <w:color w:val="auto"/>
                <w:spacing w:val="-3"/>
                <w:sz w:val="24"/>
                <w:szCs w:val="24"/>
                <w:lang w:val="en-US" w:eastAsia="zh-CN"/>
              </w:rPr>
              <w:t>粉末涂料</w:t>
            </w:r>
            <w:r>
              <w:rPr>
                <w:rFonts w:hint="default" w:ascii="Times New Roman" w:hAnsi="Times New Roman" w:cs="Times New Roman"/>
                <w:b w:val="0"/>
                <w:bCs w:val="0"/>
                <w:color w:val="auto"/>
                <w:spacing w:val="-3"/>
                <w:sz w:val="24"/>
                <w:szCs w:val="24"/>
                <w:lang w:val="en-US" w:eastAsia="zh-CN"/>
              </w:rPr>
              <w:t>喷涂后固化过程产生，主要为高温下塑粉熔融释放的有机物，以非甲烷总烃计。喷塑后的工件在烘道内通过送回风管道循环风烘干固化，固化温度为 180℃~220℃。根据《工业源产排污核算方法和系数手册 - 机械行业系数手册》，喷塑后烘干过程挥发性有机物产污系数为 1.20kg/t - 原料。项目设</w:t>
            </w:r>
            <w:r>
              <w:rPr>
                <w:rFonts w:hint="eastAsia" w:ascii="Times New Roman" w:hAnsi="Times New Roman" w:cs="Times New Roman"/>
                <w:b w:val="0"/>
                <w:bCs w:val="0"/>
                <w:color w:val="auto"/>
                <w:spacing w:val="-3"/>
                <w:sz w:val="24"/>
                <w:szCs w:val="24"/>
                <w:lang w:val="en-US" w:eastAsia="zh-CN"/>
              </w:rPr>
              <w:t>1</w:t>
            </w:r>
            <w:r>
              <w:rPr>
                <w:rFonts w:hint="default" w:ascii="Times New Roman" w:hAnsi="Times New Roman" w:cs="Times New Roman"/>
                <w:b w:val="0"/>
                <w:bCs w:val="0"/>
                <w:color w:val="auto"/>
                <w:spacing w:val="-3"/>
                <w:sz w:val="24"/>
                <w:szCs w:val="24"/>
                <w:lang w:val="en-US" w:eastAsia="zh-CN"/>
              </w:rPr>
              <w:t>个喷</w:t>
            </w:r>
            <w:r>
              <w:rPr>
                <w:rFonts w:hint="eastAsia" w:ascii="Times New Roman" w:hAnsi="Times New Roman" w:cs="Times New Roman"/>
                <w:b w:val="0"/>
                <w:bCs w:val="0"/>
                <w:color w:val="auto"/>
                <w:spacing w:val="-3"/>
                <w:sz w:val="24"/>
                <w:szCs w:val="24"/>
                <w:lang w:val="en-US" w:eastAsia="zh-CN"/>
              </w:rPr>
              <w:t>粉</w:t>
            </w:r>
            <w:r>
              <w:rPr>
                <w:rFonts w:hint="default" w:ascii="Times New Roman" w:hAnsi="Times New Roman" w:cs="Times New Roman"/>
                <w:b w:val="0"/>
                <w:bCs w:val="0"/>
                <w:color w:val="auto"/>
                <w:spacing w:val="-3"/>
                <w:sz w:val="24"/>
                <w:szCs w:val="24"/>
                <w:lang w:val="en-US" w:eastAsia="zh-CN"/>
              </w:rPr>
              <w:t>房，</w:t>
            </w:r>
            <w:r>
              <w:rPr>
                <w:rFonts w:hint="eastAsia" w:ascii="Times New Roman" w:hAnsi="Times New Roman" w:cs="Times New Roman"/>
                <w:b w:val="0"/>
                <w:bCs w:val="0"/>
                <w:color w:val="auto"/>
                <w:spacing w:val="-3"/>
                <w:sz w:val="24"/>
                <w:szCs w:val="24"/>
                <w:lang w:val="en-US" w:eastAsia="zh-CN"/>
              </w:rPr>
              <w:t>粉末涂料</w:t>
            </w:r>
            <w:r>
              <w:rPr>
                <w:rFonts w:hint="default" w:ascii="Times New Roman" w:hAnsi="Times New Roman" w:cs="Times New Roman"/>
                <w:b w:val="0"/>
                <w:bCs w:val="0"/>
                <w:color w:val="auto"/>
                <w:spacing w:val="-3"/>
                <w:sz w:val="24"/>
                <w:szCs w:val="24"/>
                <w:lang w:val="en-US" w:eastAsia="zh-CN"/>
              </w:rPr>
              <w:t>年总用量为</w:t>
            </w:r>
            <w:r>
              <w:rPr>
                <w:rFonts w:hint="eastAsia" w:cs="Times New Roman"/>
                <w:b w:val="0"/>
                <w:bCs w:val="0"/>
                <w:color w:val="auto"/>
                <w:spacing w:val="-3"/>
                <w:sz w:val="24"/>
                <w:szCs w:val="24"/>
                <w:lang w:val="en-US" w:eastAsia="zh-CN"/>
              </w:rPr>
              <w:t>109.755</w:t>
            </w:r>
            <w:r>
              <w:rPr>
                <w:rFonts w:hint="default" w:ascii="Times New Roman" w:hAnsi="Times New Roman" w:cs="Times New Roman"/>
                <w:b w:val="0"/>
                <w:bCs w:val="0"/>
                <w:color w:val="auto"/>
                <w:spacing w:val="-3"/>
                <w:sz w:val="24"/>
                <w:szCs w:val="24"/>
                <w:lang w:val="en-US" w:eastAsia="zh-CN"/>
              </w:rPr>
              <w:t>t/a</w:t>
            </w:r>
            <w:r>
              <w:rPr>
                <w:rFonts w:hint="eastAsia" w:ascii="Times New Roman" w:hAnsi="Times New Roman" w:cs="Times New Roman"/>
                <w:b w:val="0"/>
                <w:bCs w:val="0"/>
                <w:color w:val="auto"/>
                <w:spacing w:val="-3"/>
                <w:sz w:val="24"/>
                <w:szCs w:val="24"/>
                <w:lang w:val="en-US" w:eastAsia="zh-CN"/>
              </w:rPr>
              <w:t>，则</w:t>
            </w:r>
            <w:r>
              <w:rPr>
                <w:rFonts w:hint="default" w:ascii="Times New Roman" w:hAnsi="Times New Roman" w:cs="Times New Roman"/>
                <w:b w:val="0"/>
                <w:bCs w:val="0"/>
                <w:color w:val="auto"/>
                <w:spacing w:val="-3"/>
                <w:sz w:val="24"/>
                <w:szCs w:val="24"/>
                <w:lang w:val="en-US" w:eastAsia="zh-CN"/>
              </w:rPr>
              <w:t xml:space="preserve">非甲烷总烃产生量为 </w:t>
            </w:r>
            <w:r>
              <w:rPr>
                <w:rFonts w:hint="eastAsia" w:cs="Times New Roman"/>
                <w:b w:val="0"/>
                <w:bCs w:val="0"/>
                <w:color w:val="auto"/>
                <w:spacing w:val="-3"/>
                <w:sz w:val="24"/>
                <w:szCs w:val="24"/>
                <w:lang w:val="en-US" w:eastAsia="zh-CN"/>
              </w:rPr>
              <w:t>0.1317</w:t>
            </w:r>
            <w:r>
              <w:rPr>
                <w:rFonts w:hint="default" w:ascii="Times New Roman" w:hAnsi="Times New Roman" w:cs="Times New Roman"/>
                <w:b w:val="0"/>
                <w:bCs w:val="0"/>
                <w:color w:val="auto"/>
                <w:spacing w:val="-3"/>
                <w:sz w:val="24"/>
                <w:szCs w:val="24"/>
                <w:lang w:val="en-US" w:eastAsia="zh-CN"/>
              </w:rPr>
              <w:t>t/a。</w:t>
            </w:r>
            <w:r>
              <w:rPr>
                <w:rFonts w:hint="eastAsia" w:ascii="Times New Roman" w:hAnsi="Times New Roman" w:cs="Times New Roman"/>
                <w:b w:val="0"/>
                <w:bCs w:val="0"/>
                <w:color w:val="auto"/>
                <w:spacing w:val="-3"/>
                <w:sz w:val="24"/>
                <w:szCs w:val="24"/>
                <w:lang w:val="en-US" w:eastAsia="zh-CN"/>
              </w:rPr>
              <w:t>年工作时间1928h，</w:t>
            </w:r>
            <w:r>
              <w:rPr>
                <w:rFonts w:hint="eastAsia" w:cs="Times New Roman"/>
                <w:b w:val="0"/>
                <w:bCs w:val="0"/>
                <w:color w:val="auto"/>
                <w:spacing w:val="-3"/>
                <w:sz w:val="24"/>
                <w:szCs w:val="24"/>
                <w:lang w:val="en-US" w:eastAsia="zh-CN"/>
              </w:rPr>
              <w:t>4</w:t>
            </w:r>
            <w:r>
              <w:rPr>
                <w:rFonts w:hint="eastAsia" w:ascii="Times New Roman" w:hAnsi="Times New Roman" w:cs="Times New Roman"/>
                <w:b w:val="0"/>
                <w:bCs w:val="0"/>
                <w:color w:val="auto"/>
                <w:spacing w:val="-3"/>
                <w:sz w:val="24"/>
                <w:szCs w:val="24"/>
                <w:lang w:val="en-US" w:eastAsia="zh-CN"/>
              </w:rPr>
              <w:t>台固化炉</w:t>
            </w:r>
            <w:r>
              <w:rPr>
                <w:rFonts w:hint="default" w:ascii="Times New Roman" w:hAnsi="Times New Roman" w:cs="Times New Roman"/>
                <w:b w:val="0"/>
                <w:bCs w:val="0"/>
                <w:color w:val="auto"/>
                <w:spacing w:val="-3"/>
                <w:sz w:val="24"/>
                <w:szCs w:val="24"/>
                <w:lang w:val="en-US" w:eastAsia="zh-CN"/>
              </w:rPr>
              <w:t>固化有机废气经管道密闭收集后</w:t>
            </w:r>
            <w:r>
              <w:rPr>
                <w:rFonts w:hint="eastAsia" w:ascii="Times New Roman" w:hAnsi="Times New Roman" w:cs="Times New Roman"/>
                <w:b w:val="0"/>
                <w:bCs w:val="0"/>
                <w:color w:val="auto"/>
                <w:spacing w:val="-3"/>
                <w:sz w:val="24"/>
                <w:szCs w:val="24"/>
                <w:lang w:val="en-US" w:eastAsia="zh-CN"/>
              </w:rPr>
              <w:t>一并</w:t>
            </w:r>
            <w:r>
              <w:rPr>
                <w:rFonts w:hint="default" w:ascii="Times New Roman" w:hAnsi="Times New Roman" w:cs="Times New Roman"/>
                <w:b w:val="0"/>
                <w:bCs w:val="0"/>
                <w:color w:val="auto"/>
                <w:spacing w:val="-3"/>
                <w:sz w:val="24"/>
                <w:szCs w:val="24"/>
                <w:lang w:val="en-US" w:eastAsia="zh-CN"/>
              </w:rPr>
              <w:t>进入</w:t>
            </w:r>
            <w:r>
              <w:rPr>
                <w:rFonts w:hint="eastAsia" w:cs="Times New Roman"/>
                <w:b w:val="0"/>
                <w:bCs w:val="0"/>
                <w:color w:val="auto"/>
                <w:spacing w:val="-3"/>
                <w:sz w:val="24"/>
                <w:szCs w:val="24"/>
                <w:lang w:val="en-US" w:eastAsia="zh-CN"/>
              </w:rPr>
              <w:t>喷淋+干式过滤+</w:t>
            </w:r>
            <w:r>
              <w:rPr>
                <w:rFonts w:hint="default" w:ascii="Times New Roman" w:hAnsi="Times New Roman" w:cs="Times New Roman"/>
                <w:b w:val="0"/>
                <w:bCs w:val="0"/>
                <w:color w:val="auto"/>
                <w:spacing w:val="-3"/>
                <w:sz w:val="24"/>
                <w:szCs w:val="24"/>
                <w:lang w:val="en-US" w:eastAsia="zh-CN"/>
              </w:rPr>
              <w:t>二级活性炭吸附装置处理</w:t>
            </w:r>
            <w:r>
              <w:rPr>
                <w:rFonts w:hint="eastAsia" w:ascii="Times New Roman" w:hAnsi="Times New Roman" w:cs="Times New Roman"/>
                <w:b w:val="0"/>
                <w:bCs w:val="0"/>
                <w:color w:val="auto"/>
                <w:spacing w:val="-3"/>
                <w:sz w:val="24"/>
                <w:szCs w:val="24"/>
                <w:lang w:val="en-US" w:eastAsia="zh-CN"/>
              </w:rPr>
              <w:t>。</w:t>
            </w:r>
          </w:p>
          <w:p w14:paraId="6438D799">
            <w:pPr>
              <w:pStyle w:val="158"/>
              <w:pageBreakBefore w:val="0"/>
              <w:wordWrap w:val="0"/>
              <w:topLinePunct/>
              <w:bidi w:val="0"/>
              <w:snapToGrid/>
              <w:spacing w:beforeAutospacing="0" w:afterAutospacing="0"/>
              <w:ind w:firstLine="480"/>
              <w:rPr>
                <w:color w:val="auto"/>
                <w:highlight w:val="none"/>
              </w:rPr>
            </w:pPr>
            <w:r>
              <w:rPr>
                <w:rFonts w:hint="eastAsia" w:cs="Times New Roman"/>
                <w:b w:val="0"/>
                <w:bCs w:val="0"/>
                <w:color w:val="auto"/>
                <w:spacing w:val="-3"/>
                <w:sz w:val="24"/>
                <w:szCs w:val="24"/>
                <w:lang w:val="en-US" w:eastAsia="zh-CN"/>
              </w:rPr>
              <w:t>项目共设2个固化通道，一个通道为漆粉共线固化使用，另一个用于喷粉线固化使用。</w:t>
            </w:r>
            <w:r>
              <w:rPr>
                <w:rFonts w:hint="eastAsia" w:ascii="Times New Roman" w:hAnsi="Times New Roman" w:cs="Times New Roman"/>
                <w:b w:val="0"/>
                <w:bCs w:val="0"/>
                <w:color w:val="auto"/>
                <w:spacing w:val="-3"/>
                <w:sz w:val="24"/>
                <w:szCs w:val="24"/>
                <w:lang w:val="en-US" w:eastAsia="zh-CN"/>
              </w:rPr>
              <w:t>固化通道为全密封空间，设备有固定排放管直接与风管连接，通道尾端设置送风风机，</w:t>
            </w:r>
            <w:r>
              <w:rPr>
                <w:color w:val="auto"/>
                <w:highlight w:val="none"/>
              </w:rPr>
              <w:t>根据《广东省工业源挥发性有机物减排量核算方法（2023年修订版）》（粤环函〔2023〕538 号）中“表3.3-2 废气收集集气效率参考值”的说明：</w:t>
            </w:r>
          </w:p>
          <w:p w14:paraId="20C39CF2">
            <w:pPr>
              <w:pStyle w:val="158"/>
              <w:pageBreakBefore w:val="0"/>
              <w:wordWrap w:val="0"/>
              <w:topLinePunct/>
              <w:bidi w:val="0"/>
              <w:snapToGrid/>
              <w:spacing w:beforeAutospacing="0" w:afterAutospacing="0"/>
              <w:ind w:firstLine="480"/>
              <w:rPr>
                <w:rFonts w:hint="eastAsia" w:cs="Times New Roman"/>
                <w:b w:val="0"/>
                <w:bCs w:val="0"/>
                <w:color w:val="auto"/>
                <w:spacing w:val="-3"/>
                <w:sz w:val="24"/>
                <w:szCs w:val="24"/>
                <w:lang w:val="en-US" w:eastAsia="zh-CN"/>
              </w:rPr>
            </w:pPr>
            <w:r>
              <w:rPr>
                <w:rFonts w:hint="eastAsia"/>
                <w:color w:val="auto"/>
                <w:highlight w:val="none"/>
                <w:lang w:val="en-US" w:eastAsia="zh-CN"/>
              </w:rPr>
              <w:t>③</w:t>
            </w:r>
            <w:r>
              <w:rPr>
                <w:color w:val="auto"/>
                <w:highlight w:val="none"/>
              </w:rPr>
              <w:t>当废气收集类型为“全密封设备/空间”，废气收集方式为“设备废气排口直连”，收集情况为“设备有固定排放管（或口）直接与风管连接，设备整体密闭只留产品进出口，且进出口处有废气收集措施，收集系统运行时周边基本无VOCs散发。”，此时收集效率可取95%</w:t>
            </w:r>
            <w:r>
              <w:rPr>
                <w:rFonts w:hint="eastAsia"/>
                <w:color w:val="auto"/>
                <w:highlight w:val="none"/>
                <w:lang w:eastAsia="zh-CN"/>
              </w:rPr>
              <w:t>。</w:t>
            </w:r>
            <w:r>
              <w:rPr>
                <w:rFonts w:hint="eastAsia"/>
                <w:color w:val="auto"/>
                <w:highlight w:val="none"/>
                <w:lang w:val="en-US" w:eastAsia="zh-CN"/>
              </w:rPr>
              <w:t>因此固化废气</w:t>
            </w:r>
            <w:r>
              <w:rPr>
                <w:rFonts w:hint="eastAsia" w:ascii="Times New Roman" w:hAnsi="Times New Roman" w:cs="Times New Roman"/>
                <w:b w:val="0"/>
                <w:bCs w:val="0"/>
                <w:color w:val="auto"/>
                <w:spacing w:val="-3"/>
                <w:sz w:val="24"/>
                <w:szCs w:val="24"/>
                <w:lang w:val="en-US" w:eastAsia="zh-CN"/>
              </w:rPr>
              <w:t>集气效率取95%；</w:t>
            </w:r>
            <w:r>
              <w:rPr>
                <w:rFonts w:hint="eastAsia" w:cs="Times New Roman"/>
                <w:b w:val="0"/>
                <w:bCs w:val="0"/>
                <w:color w:val="auto"/>
                <w:spacing w:val="-3"/>
                <w:sz w:val="24"/>
                <w:szCs w:val="24"/>
                <w:lang w:val="en-US" w:eastAsia="zh-CN"/>
              </w:rPr>
              <w:t>整体</w:t>
            </w:r>
            <w:r>
              <w:rPr>
                <w:rFonts w:hint="eastAsia" w:ascii="Times New Roman" w:hAnsi="Times New Roman" w:cs="Times New Roman"/>
                <w:b w:val="0"/>
                <w:bCs w:val="0"/>
                <w:color w:val="auto"/>
                <w:spacing w:val="-3"/>
                <w:sz w:val="24"/>
                <w:szCs w:val="24"/>
                <w:lang w:val="en-US" w:eastAsia="zh-CN"/>
              </w:rPr>
              <w:t>风量为40000</w:t>
            </w:r>
            <w:r>
              <w:rPr>
                <w:rFonts w:hint="default" w:ascii="Times New Roman" w:hAnsi="Times New Roman" w:cs="Times New Roman"/>
                <w:b w:val="0"/>
                <w:bCs w:val="0"/>
                <w:color w:val="auto"/>
                <w:spacing w:val="-3"/>
                <w:sz w:val="24"/>
                <w:szCs w:val="24"/>
                <w:lang w:val="en-US" w:eastAsia="zh-CN"/>
              </w:rPr>
              <w:t>m³/h</w:t>
            </w:r>
            <w:r>
              <w:rPr>
                <w:rFonts w:hint="eastAsia" w:cs="Times New Roman"/>
                <w:b w:val="0"/>
                <w:bCs w:val="0"/>
                <w:color w:val="auto"/>
                <w:spacing w:val="-3"/>
                <w:sz w:val="24"/>
                <w:szCs w:val="24"/>
                <w:lang w:val="en-US" w:eastAsia="zh-CN"/>
              </w:rPr>
              <w:t>。</w:t>
            </w:r>
          </w:p>
          <w:p w14:paraId="116E56A7">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 xml:space="preserve">7 </w:t>
            </w:r>
            <w:r>
              <w:rPr>
                <w:rFonts w:hint="eastAsia" w:ascii="Times New Roman" w:hAnsi="Times New Roman" w:eastAsia="宋体" w:cs="Times New Roman"/>
                <w:b/>
                <w:bCs/>
                <w:color w:val="auto"/>
                <w:sz w:val="21"/>
                <w:szCs w:val="21"/>
                <w:highlight w:val="none"/>
                <w:lang w:val="en-US" w:eastAsia="zh-CN"/>
              </w:rPr>
              <w:t>有机废气集气设备设计参数</w:t>
            </w:r>
            <w:r>
              <w:rPr>
                <w:rFonts w:hint="default" w:ascii="Times New Roman" w:hAnsi="Times New Roman" w:eastAsia="宋体" w:cs="Times New Roman"/>
                <w:b/>
                <w:bCs/>
                <w:color w:val="auto"/>
                <w:sz w:val="21"/>
                <w:szCs w:val="21"/>
                <w:highlight w:val="none"/>
                <w:lang w:val="en-US" w:eastAsia="zh-CN"/>
              </w:rPr>
              <w:t>一览表</w:t>
            </w:r>
          </w:p>
          <w:tbl>
            <w:tblPr>
              <w:tblStyle w:val="4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36"/>
              <w:gridCol w:w="632"/>
              <w:gridCol w:w="677"/>
              <w:gridCol w:w="1334"/>
              <w:gridCol w:w="984"/>
              <w:gridCol w:w="1468"/>
              <w:gridCol w:w="1420"/>
            </w:tblGrid>
            <w:tr w14:paraId="2986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665" w:type="dxa"/>
                  <w:vAlign w:val="center"/>
                </w:tcPr>
                <w:p w14:paraId="2CC17473">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收集环节</w:t>
                  </w:r>
                </w:p>
              </w:tc>
              <w:tc>
                <w:tcPr>
                  <w:tcW w:w="1136" w:type="dxa"/>
                  <w:vAlign w:val="center"/>
                </w:tcPr>
                <w:p w14:paraId="26395E5E">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集气罩尺寸</w:t>
                  </w:r>
                </w:p>
              </w:tc>
              <w:tc>
                <w:tcPr>
                  <w:tcW w:w="632" w:type="dxa"/>
                  <w:vAlign w:val="center"/>
                </w:tcPr>
                <w:p w14:paraId="612CA6FC">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形状</w:t>
                  </w:r>
                </w:p>
              </w:tc>
              <w:tc>
                <w:tcPr>
                  <w:tcW w:w="677" w:type="dxa"/>
                  <w:vAlign w:val="center"/>
                </w:tcPr>
                <w:p w14:paraId="50E60774">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数量</w:t>
                  </w:r>
                </w:p>
              </w:tc>
              <w:tc>
                <w:tcPr>
                  <w:tcW w:w="1334" w:type="dxa"/>
                  <w:vAlign w:val="center"/>
                </w:tcPr>
                <w:p w14:paraId="572A5236">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集气罩/管与控制点的距离</w:t>
                  </w:r>
                </w:p>
              </w:tc>
              <w:tc>
                <w:tcPr>
                  <w:tcW w:w="984" w:type="dxa"/>
                  <w:vAlign w:val="center"/>
                </w:tcPr>
                <w:p w14:paraId="1B14C4EA">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控制点的吸入速度</w:t>
                  </w:r>
                </w:p>
              </w:tc>
              <w:tc>
                <w:tcPr>
                  <w:tcW w:w="1468" w:type="dxa"/>
                  <w:vAlign w:val="center"/>
                </w:tcPr>
                <w:p w14:paraId="46472DBE">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单个集气罩/管</w:t>
                  </w:r>
                  <w:r>
                    <w:rPr>
                      <w:rFonts w:hint="eastAsia"/>
                      <w:b/>
                      <w:bCs/>
                      <w:color w:val="auto"/>
                      <w:kern w:val="2"/>
                      <w:sz w:val="21"/>
                      <w:szCs w:val="21"/>
                      <w:highlight w:val="none"/>
                      <w:lang w:eastAsia="zh-CN"/>
                    </w:rPr>
                    <w:t>、</w:t>
                  </w:r>
                  <w:r>
                    <w:rPr>
                      <w:rFonts w:hint="eastAsia"/>
                      <w:b/>
                      <w:bCs/>
                      <w:color w:val="auto"/>
                      <w:kern w:val="2"/>
                      <w:sz w:val="21"/>
                      <w:szCs w:val="21"/>
                      <w:highlight w:val="none"/>
                      <w:lang w:val="en-US" w:eastAsia="zh-CN"/>
                    </w:rPr>
                    <w:t>风机</w:t>
                  </w:r>
                  <w:r>
                    <w:rPr>
                      <w:b/>
                      <w:bCs/>
                      <w:color w:val="auto"/>
                      <w:kern w:val="2"/>
                      <w:sz w:val="21"/>
                      <w:szCs w:val="21"/>
                      <w:highlight w:val="none"/>
                    </w:rPr>
                    <w:t>风量m</w:t>
                  </w:r>
                  <w:r>
                    <w:rPr>
                      <w:b/>
                      <w:bCs/>
                      <w:color w:val="auto"/>
                      <w:kern w:val="2"/>
                      <w:sz w:val="21"/>
                      <w:szCs w:val="21"/>
                      <w:highlight w:val="none"/>
                      <w:vertAlign w:val="superscript"/>
                    </w:rPr>
                    <w:t>3</w:t>
                  </w:r>
                  <w:r>
                    <w:rPr>
                      <w:b/>
                      <w:bCs/>
                      <w:color w:val="auto"/>
                      <w:kern w:val="2"/>
                      <w:sz w:val="21"/>
                      <w:szCs w:val="21"/>
                      <w:highlight w:val="none"/>
                    </w:rPr>
                    <w:t>/h</w:t>
                  </w:r>
                </w:p>
              </w:tc>
              <w:tc>
                <w:tcPr>
                  <w:tcW w:w="1420" w:type="dxa"/>
                  <w:vAlign w:val="center"/>
                </w:tcPr>
                <w:p w14:paraId="461A5C83">
                  <w:pPr>
                    <w:pageBreakBefore w:val="0"/>
                    <w:wordWrap w:val="0"/>
                    <w:topLinePunct/>
                    <w:bidi w:val="0"/>
                    <w:adjustRightInd w:val="0"/>
                    <w:spacing w:beforeAutospacing="0" w:afterAutospacing="0"/>
                    <w:jc w:val="center"/>
                    <w:rPr>
                      <w:b/>
                      <w:bCs/>
                      <w:color w:val="auto"/>
                      <w:kern w:val="2"/>
                      <w:sz w:val="21"/>
                      <w:szCs w:val="21"/>
                      <w:highlight w:val="none"/>
                    </w:rPr>
                  </w:pPr>
                  <w:r>
                    <w:rPr>
                      <w:rFonts w:hint="eastAsia"/>
                      <w:b/>
                      <w:bCs/>
                      <w:color w:val="auto"/>
                      <w:kern w:val="2"/>
                      <w:sz w:val="21"/>
                      <w:szCs w:val="21"/>
                      <w:highlight w:val="none"/>
                      <w:lang w:val="en-US" w:eastAsia="zh-CN"/>
                    </w:rPr>
                    <w:t>总</w:t>
                  </w:r>
                  <w:r>
                    <w:rPr>
                      <w:b/>
                      <w:bCs/>
                      <w:color w:val="auto"/>
                      <w:kern w:val="2"/>
                      <w:sz w:val="21"/>
                      <w:szCs w:val="21"/>
                      <w:highlight w:val="none"/>
                    </w:rPr>
                    <w:t>集气罩/管</w:t>
                  </w:r>
                  <w:r>
                    <w:rPr>
                      <w:rFonts w:hint="eastAsia"/>
                      <w:b/>
                      <w:bCs/>
                      <w:color w:val="auto"/>
                      <w:kern w:val="2"/>
                      <w:sz w:val="21"/>
                      <w:szCs w:val="21"/>
                      <w:highlight w:val="none"/>
                      <w:lang w:eastAsia="zh-CN"/>
                    </w:rPr>
                    <w:t>、</w:t>
                  </w:r>
                  <w:r>
                    <w:rPr>
                      <w:rFonts w:hint="eastAsia"/>
                      <w:b/>
                      <w:bCs/>
                      <w:color w:val="auto"/>
                      <w:kern w:val="2"/>
                      <w:sz w:val="21"/>
                      <w:szCs w:val="21"/>
                      <w:highlight w:val="none"/>
                      <w:lang w:val="en-US" w:eastAsia="zh-CN"/>
                    </w:rPr>
                    <w:t>风机</w:t>
                  </w:r>
                  <w:r>
                    <w:rPr>
                      <w:b/>
                      <w:bCs/>
                      <w:color w:val="auto"/>
                      <w:kern w:val="2"/>
                      <w:sz w:val="21"/>
                      <w:szCs w:val="21"/>
                      <w:highlight w:val="none"/>
                    </w:rPr>
                    <w:t>风量m</w:t>
                  </w:r>
                  <w:r>
                    <w:rPr>
                      <w:b/>
                      <w:bCs/>
                      <w:color w:val="auto"/>
                      <w:kern w:val="2"/>
                      <w:sz w:val="21"/>
                      <w:szCs w:val="21"/>
                      <w:highlight w:val="none"/>
                      <w:vertAlign w:val="superscript"/>
                    </w:rPr>
                    <w:t>3</w:t>
                  </w:r>
                  <w:r>
                    <w:rPr>
                      <w:b/>
                      <w:bCs/>
                      <w:color w:val="auto"/>
                      <w:kern w:val="2"/>
                      <w:sz w:val="21"/>
                      <w:szCs w:val="21"/>
                      <w:highlight w:val="none"/>
                    </w:rPr>
                    <w:t>/h</w:t>
                  </w:r>
                </w:p>
              </w:tc>
            </w:tr>
            <w:tr w14:paraId="52D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316" w:type="dxa"/>
                  <w:gridSpan w:val="8"/>
                  <w:vAlign w:val="center"/>
                </w:tcPr>
                <w:p w14:paraId="6EF59BE5">
                  <w:pPr>
                    <w:pageBreakBefore w:val="0"/>
                    <w:wordWrap w:val="0"/>
                    <w:topLinePunct/>
                    <w:bidi w:val="0"/>
                    <w:adjustRightInd w:val="0"/>
                    <w:spacing w:beforeAutospacing="0" w:afterAutospacing="0"/>
                    <w:jc w:val="center"/>
                    <w:rPr>
                      <w:color w:val="auto"/>
                      <w:kern w:val="2"/>
                      <w:sz w:val="21"/>
                      <w:szCs w:val="21"/>
                      <w:highlight w:val="none"/>
                    </w:rPr>
                  </w:pPr>
                  <w:r>
                    <w:rPr>
                      <w:b/>
                      <w:bCs/>
                      <w:color w:val="auto"/>
                      <w:sz w:val="21"/>
                      <w:szCs w:val="21"/>
                      <w:highlight w:val="none"/>
                      <w:lang w:val="pt-PT"/>
                    </w:rPr>
                    <w:t>漆粉涂装线</w:t>
                  </w:r>
                </w:p>
              </w:tc>
            </w:tr>
            <w:tr w14:paraId="1F14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5" w:type="dxa"/>
                  <w:vAlign w:val="center"/>
                </w:tcPr>
                <w:p w14:paraId="4B58EEF6">
                  <w:pPr>
                    <w:pageBreakBefore w:val="0"/>
                    <w:wordWrap w:val="0"/>
                    <w:topLinePunct/>
                    <w:bidi w:val="0"/>
                    <w:adjustRightInd w:val="0"/>
                    <w:spacing w:beforeAutospacing="0" w:afterAutospacing="0"/>
                    <w:jc w:val="center"/>
                    <w:rPr>
                      <w:rFonts w:hint="eastAsia" w:eastAsia="宋体"/>
                      <w:color w:val="auto"/>
                      <w:kern w:val="2"/>
                      <w:sz w:val="21"/>
                      <w:szCs w:val="21"/>
                      <w:highlight w:val="none"/>
                      <w:lang w:eastAsia="zh-CN"/>
                    </w:rPr>
                  </w:pPr>
                  <w:r>
                    <w:rPr>
                      <w:rFonts w:hint="eastAsia"/>
                      <w:color w:val="auto"/>
                      <w:kern w:val="2"/>
                      <w:sz w:val="21"/>
                      <w:szCs w:val="21"/>
                      <w:highlight w:val="none"/>
                      <w:lang w:val="en-US" w:eastAsia="zh-CN"/>
                    </w:rPr>
                    <w:t>固化炉排风机</w:t>
                  </w:r>
                </w:p>
              </w:tc>
              <w:tc>
                <w:tcPr>
                  <w:tcW w:w="1136" w:type="dxa"/>
                  <w:vAlign w:val="center"/>
                </w:tcPr>
                <w:p w14:paraId="4570CAFF">
                  <w:pPr>
                    <w:pageBreakBefore w:val="0"/>
                    <w:wordWrap w:val="0"/>
                    <w:topLinePunct/>
                    <w:bidi w:val="0"/>
                    <w:adjustRightInd w:val="0"/>
                    <w:spacing w:beforeAutospacing="0" w:afterAutospacing="0"/>
                    <w:jc w:val="center"/>
                    <w:rPr>
                      <w:rFonts w:hint="default"/>
                      <w:color w:val="auto"/>
                      <w:kern w:val="2"/>
                      <w:sz w:val="21"/>
                      <w:szCs w:val="21"/>
                      <w:highlight w:val="none"/>
                      <w:lang w:val="en-US"/>
                    </w:rPr>
                  </w:pPr>
                  <w:r>
                    <w:rPr>
                      <w:rFonts w:hint="eastAsia"/>
                      <w:color w:val="auto"/>
                      <w:kern w:val="2"/>
                      <w:sz w:val="21"/>
                      <w:szCs w:val="21"/>
                      <w:highlight w:val="none"/>
                      <w:lang w:val="en-US" w:eastAsia="zh-CN"/>
                    </w:rPr>
                    <w:t>直连风管+排风风机</w:t>
                  </w:r>
                </w:p>
              </w:tc>
              <w:tc>
                <w:tcPr>
                  <w:tcW w:w="632" w:type="dxa"/>
                  <w:vAlign w:val="center"/>
                </w:tcPr>
                <w:p w14:paraId="3D02FBFB">
                  <w:pPr>
                    <w:pageBreakBefore w:val="0"/>
                    <w:wordWrap w:val="0"/>
                    <w:topLinePunct/>
                    <w:bidi w:val="0"/>
                    <w:adjustRightInd w:val="0"/>
                    <w:spacing w:beforeAutospacing="0" w:afterAutospacing="0"/>
                    <w:jc w:val="center"/>
                    <w:rPr>
                      <w:rFonts w:hint="eastAsia" w:eastAsia="宋体"/>
                      <w:color w:val="auto"/>
                      <w:kern w:val="2"/>
                      <w:sz w:val="21"/>
                      <w:szCs w:val="21"/>
                      <w:highlight w:val="none"/>
                      <w:lang w:eastAsia="zh-CN"/>
                    </w:rPr>
                  </w:pPr>
                  <w:r>
                    <w:rPr>
                      <w:rFonts w:hint="eastAsia"/>
                      <w:color w:val="auto"/>
                      <w:kern w:val="2"/>
                      <w:sz w:val="21"/>
                      <w:szCs w:val="21"/>
                      <w:highlight w:val="none"/>
                      <w:lang w:val="en-US" w:eastAsia="zh-CN"/>
                    </w:rPr>
                    <w:t>/</w:t>
                  </w:r>
                </w:p>
              </w:tc>
              <w:tc>
                <w:tcPr>
                  <w:tcW w:w="677" w:type="dxa"/>
                  <w:vAlign w:val="center"/>
                </w:tcPr>
                <w:p w14:paraId="4D907147">
                  <w:pPr>
                    <w:pageBreakBefore w:val="0"/>
                    <w:wordWrap w:val="0"/>
                    <w:topLinePunct/>
                    <w:bidi w:val="0"/>
                    <w:adjustRightInd w:val="0"/>
                    <w:spacing w:beforeAutospacing="0" w:afterAutospacing="0"/>
                    <w:jc w:val="center"/>
                    <w:rPr>
                      <w:color w:val="auto"/>
                      <w:kern w:val="2"/>
                      <w:sz w:val="21"/>
                      <w:szCs w:val="21"/>
                      <w:highlight w:val="none"/>
                    </w:rPr>
                  </w:pPr>
                  <w:r>
                    <w:rPr>
                      <w:rFonts w:hint="eastAsia"/>
                      <w:color w:val="auto"/>
                      <w:kern w:val="2"/>
                      <w:sz w:val="21"/>
                      <w:szCs w:val="21"/>
                      <w:highlight w:val="none"/>
                      <w:lang w:val="en-US" w:eastAsia="zh-CN"/>
                    </w:rPr>
                    <w:t>1</w:t>
                  </w:r>
                  <w:r>
                    <w:rPr>
                      <w:color w:val="auto"/>
                      <w:kern w:val="2"/>
                      <w:sz w:val="21"/>
                      <w:szCs w:val="21"/>
                      <w:highlight w:val="none"/>
                    </w:rPr>
                    <w:t>个</w:t>
                  </w:r>
                </w:p>
              </w:tc>
              <w:tc>
                <w:tcPr>
                  <w:tcW w:w="1334" w:type="dxa"/>
                  <w:vAlign w:val="center"/>
                </w:tcPr>
                <w:p w14:paraId="28A7015C">
                  <w:pPr>
                    <w:pageBreakBefore w:val="0"/>
                    <w:wordWrap w:val="0"/>
                    <w:topLinePunct/>
                    <w:bidi w:val="0"/>
                    <w:adjustRightInd w:val="0"/>
                    <w:spacing w:beforeAutospacing="0" w:afterAutospacing="0"/>
                    <w:jc w:val="center"/>
                    <w:rPr>
                      <w:color w:val="auto"/>
                      <w:kern w:val="2"/>
                      <w:sz w:val="21"/>
                      <w:szCs w:val="21"/>
                      <w:highlight w:val="none"/>
                    </w:rPr>
                  </w:pPr>
                  <w:r>
                    <w:rPr>
                      <w:color w:val="auto"/>
                      <w:kern w:val="2"/>
                      <w:sz w:val="21"/>
                      <w:szCs w:val="21"/>
                      <w:highlight w:val="none"/>
                    </w:rPr>
                    <w:t>/</w:t>
                  </w:r>
                </w:p>
              </w:tc>
              <w:tc>
                <w:tcPr>
                  <w:tcW w:w="984" w:type="dxa"/>
                  <w:vAlign w:val="center"/>
                </w:tcPr>
                <w:p w14:paraId="58C979F0">
                  <w:pPr>
                    <w:pageBreakBefore w:val="0"/>
                    <w:wordWrap w:val="0"/>
                    <w:topLinePunct/>
                    <w:bidi w:val="0"/>
                    <w:adjustRightInd w:val="0"/>
                    <w:spacing w:beforeAutospacing="0" w:afterAutospacing="0"/>
                    <w:jc w:val="center"/>
                    <w:rPr>
                      <w:color w:val="auto"/>
                      <w:kern w:val="2"/>
                      <w:sz w:val="21"/>
                      <w:szCs w:val="21"/>
                      <w:highlight w:val="none"/>
                    </w:rPr>
                  </w:pPr>
                  <w:r>
                    <w:rPr>
                      <w:rFonts w:hint="eastAsia"/>
                      <w:color w:val="auto"/>
                      <w:kern w:val="2"/>
                      <w:sz w:val="21"/>
                      <w:szCs w:val="21"/>
                      <w:highlight w:val="none"/>
                      <w:lang w:val="en-US" w:eastAsia="zh-CN"/>
                    </w:rPr>
                    <w:t>/</w:t>
                  </w:r>
                </w:p>
              </w:tc>
              <w:tc>
                <w:tcPr>
                  <w:tcW w:w="1468" w:type="dxa"/>
                  <w:vAlign w:val="center"/>
                </w:tcPr>
                <w:p w14:paraId="2C7BB943">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c>
                <w:tcPr>
                  <w:tcW w:w="1420" w:type="dxa"/>
                  <w:vAlign w:val="center"/>
                </w:tcPr>
                <w:p w14:paraId="0D9AF9A6">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r>
            <w:tr w14:paraId="54C3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96" w:type="dxa"/>
                  <w:gridSpan w:val="7"/>
                  <w:vAlign w:val="center"/>
                </w:tcPr>
                <w:p w14:paraId="4CE2CD2F">
                  <w:pPr>
                    <w:pageBreakBefore w:val="0"/>
                    <w:wordWrap w:val="0"/>
                    <w:topLinePunct/>
                    <w:bidi w:val="0"/>
                    <w:adjustRightInd w:val="0"/>
                    <w:spacing w:beforeAutospacing="0" w:afterAutospacing="0"/>
                    <w:jc w:val="center"/>
                    <w:rPr>
                      <w:color w:val="auto"/>
                      <w:kern w:val="2"/>
                      <w:sz w:val="21"/>
                      <w:szCs w:val="21"/>
                      <w:highlight w:val="none"/>
                    </w:rPr>
                  </w:pPr>
                  <w:r>
                    <w:rPr>
                      <w:color w:val="auto"/>
                      <w:kern w:val="2"/>
                      <w:sz w:val="21"/>
                      <w:szCs w:val="21"/>
                      <w:highlight w:val="none"/>
                    </w:rPr>
                    <w:t>合计</w:t>
                  </w:r>
                </w:p>
              </w:tc>
              <w:tc>
                <w:tcPr>
                  <w:tcW w:w="1420" w:type="dxa"/>
                  <w:vAlign w:val="center"/>
                </w:tcPr>
                <w:p w14:paraId="1D852521">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r>
          </w:tbl>
          <w:p w14:paraId="52F12E62">
            <w:pPr>
              <w:pStyle w:val="158"/>
              <w:pageBreakBefore w:val="0"/>
              <w:wordWrap w:val="0"/>
              <w:topLinePunct/>
              <w:bidi w:val="0"/>
              <w:snapToGrid/>
              <w:spacing w:beforeAutospacing="0" w:afterAutospacing="0"/>
              <w:ind w:firstLine="480"/>
              <w:rPr>
                <w:rFonts w:hint="default" w:ascii="Times New Roman" w:hAnsi="Times New Roman" w:cs="Times New Roman"/>
                <w:b w:val="0"/>
                <w:bCs w:val="0"/>
                <w:color w:val="auto"/>
                <w:spacing w:val="-3"/>
                <w:sz w:val="24"/>
                <w:szCs w:val="24"/>
                <w:lang w:val="en-US" w:eastAsia="zh-CN"/>
              </w:rPr>
            </w:pPr>
            <w:r>
              <w:rPr>
                <w:rFonts w:hint="eastAsia"/>
                <w:color w:val="auto"/>
                <w:highlight w:val="none"/>
              </w:rPr>
              <w:t>固化工序产生的有机废气治理效率</w:t>
            </w:r>
            <w:r>
              <w:rPr>
                <w:rFonts w:hint="default" w:ascii="Times New Roman" w:hAnsi="Times New Roman" w:cs="Times New Roman"/>
                <w:color w:val="auto"/>
                <w:sz w:val="24"/>
              </w:rPr>
              <w:t>参考《广东省家具行业挥发性有机化合物废气治理技术指南》（粤环</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2013</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79号）中对有机废气治理设施的治理效率可得，吸附法处理效率为50～80%（本报告一级活性炭处理效率取</w:t>
            </w:r>
            <w:r>
              <w:rPr>
                <w:rFonts w:hint="eastAsia" w:cs="Times New Roman"/>
                <w:color w:val="auto"/>
                <w:sz w:val="24"/>
                <w:lang w:val="en-US" w:eastAsia="zh-CN"/>
              </w:rPr>
              <w:t>6</w:t>
            </w:r>
            <w:r>
              <w:rPr>
                <w:rFonts w:hint="default" w:ascii="Times New Roman" w:hAnsi="Times New Roman" w:cs="Times New Roman"/>
                <w:color w:val="auto"/>
                <w:sz w:val="24"/>
              </w:rPr>
              <w:t>0%，二级活性炭处理效率取50%），项目采取两级活性炭串联方式，当存在两种或两种以上治理设施联合治理时，治理效率可按公式η=1-（1-η</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n</w:t>
            </w:r>
            <w:r>
              <w:rPr>
                <w:rFonts w:hint="default" w:ascii="Times New Roman" w:hAnsi="Times New Roman" w:cs="Times New Roman"/>
                <w:color w:val="auto"/>
                <w:sz w:val="24"/>
              </w:rPr>
              <w:t>）进行计算，则本项目废气处理工艺对有机废气总处理效率合计为1-（1-</w:t>
            </w:r>
            <w:r>
              <w:rPr>
                <w:rFonts w:hint="eastAsia" w:cs="Times New Roman"/>
                <w:color w:val="auto"/>
                <w:sz w:val="24"/>
                <w:lang w:val="en-US" w:eastAsia="zh-CN"/>
              </w:rPr>
              <w:t>6</w:t>
            </w:r>
            <w:r>
              <w:rPr>
                <w:rFonts w:hint="default" w:ascii="Times New Roman" w:hAnsi="Times New Roman" w:cs="Times New Roman"/>
                <w:color w:val="auto"/>
                <w:sz w:val="24"/>
              </w:rPr>
              <w:t>0%）×（1-50%）=</w:t>
            </w:r>
            <w:r>
              <w:rPr>
                <w:rFonts w:hint="eastAsia" w:cs="Times New Roman"/>
                <w:color w:val="auto"/>
                <w:sz w:val="24"/>
                <w:lang w:val="en-US" w:eastAsia="zh-CN"/>
              </w:rPr>
              <w:t>80</w:t>
            </w:r>
            <w:r>
              <w:rPr>
                <w:rFonts w:hint="default" w:ascii="Times New Roman" w:hAnsi="Times New Roman" w:cs="Times New Roman"/>
                <w:color w:val="auto"/>
                <w:sz w:val="24"/>
              </w:rPr>
              <w:t>%。</w:t>
            </w:r>
          </w:p>
          <w:p w14:paraId="589F1D12">
            <w:pPr>
              <w:widowControl w:val="0"/>
              <w:wordWrap w:val="0"/>
              <w:topLinePunct/>
              <w:adjustRightInd w:val="0"/>
              <w:snapToGrid/>
              <w:spacing w:line="360" w:lineRule="auto"/>
              <w:ind w:firstLine="482" w:firstLineChars="200"/>
              <w:jc w:val="both"/>
              <w:rPr>
                <w:rFonts w:ascii="Times New Roman" w:hAnsi="Times New Roman" w:eastAsia="宋体" w:cs="Times New Roman"/>
                <w:b/>
                <w:bCs/>
                <w:color w:val="auto"/>
                <w:spacing w:val="0"/>
                <w:kern w:val="2"/>
                <w:sz w:val="24"/>
                <w:szCs w:val="24"/>
                <w:highlight w:val="none"/>
                <w:lang w:val="en-US" w:eastAsia="zh-CN" w:bidi="ar-SA"/>
              </w:rPr>
            </w:pPr>
            <w:bookmarkStart w:id="25" w:name="_Toc14680"/>
            <w:r>
              <w:rPr>
                <w:rFonts w:hint="eastAsia" w:cs="Times New Roman"/>
                <w:b/>
                <w:bCs/>
                <w:color w:val="auto"/>
                <w:spacing w:val="0"/>
                <w:kern w:val="2"/>
                <w:sz w:val="24"/>
                <w:szCs w:val="24"/>
                <w:highlight w:val="none"/>
                <w:lang w:val="en-US" w:eastAsia="zh-CN" w:bidi="ar-SA"/>
              </w:rPr>
              <w:t>1</w:t>
            </w:r>
            <w:r>
              <w:rPr>
                <w:rFonts w:hint="eastAsia" w:ascii="Times New Roman" w:hAnsi="Times New Roman" w:eastAsia="宋体" w:cs="Times New Roman"/>
                <w:b/>
                <w:bCs/>
                <w:color w:val="auto"/>
                <w:spacing w:val="0"/>
                <w:kern w:val="2"/>
                <w:sz w:val="24"/>
                <w:szCs w:val="24"/>
                <w:highlight w:val="none"/>
                <w:lang w:val="en-US" w:eastAsia="zh-CN" w:bidi="ar-SA"/>
              </w:rPr>
              <w:t>.</w:t>
            </w:r>
            <w:r>
              <w:rPr>
                <w:rFonts w:hint="eastAsia" w:cs="Times New Roman"/>
                <w:b/>
                <w:bCs/>
                <w:color w:val="auto"/>
                <w:spacing w:val="0"/>
                <w:kern w:val="2"/>
                <w:sz w:val="24"/>
                <w:szCs w:val="24"/>
                <w:highlight w:val="none"/>
                <w:lang w:val="en-US" w:eastAsia="zh-CN" w:bidi="ar-SA"/>
              </w:rPr>
              <w:t>2</w:t>
            </w:r>
            <w:r>
              <w:rPr>
                <w:rFonts w:hint="eastAsia" w:ascii="Times New Roman" w:hAnsi="Times New Roman" w:eastAsia="宋体" w:cs="Times New Roman"/>
                <w:b/>
                <w:bCs/>
                <w:color w:val="auto"/>
                <w:spacing w:val="0"/>
                <w:kern w:val="2"/>
                <w:sz w:val="24"/>
                <w:szCs w:val="24"/>
                <w:highlight w:val="none"/>
                <w:lang w:val="en-US" w:eastAsia="zh-CN" w:bidi="ar-SA"/>
              </w:rPr>
              <w:t>.7</w:t>
            </w:r>
            <w:r>
              <w:rPr>
                <w:rFonts w:ascii="Times New Roman" w:hAnsi="Times New Roman" w:eastAsia="宋体" w:cs="Times New Roman"/>
                <w:b/>
                <w:bCs/>
                <w:color w:val="auto"/>
                <w:spacing w:val="0"/>
                <w:kern w:val="2"/>
                <w:sz w:val="24"/>
                <w:szCs w:val="24"/>
                <w:highlight w:val="none"/>
                <w:lang w:val="en-US" w:eastAsia="zh-CN" w:bidi="ar-SA"/>
              </w:rPr>
              <w:t>喷枪清洗有机废气</w:t>
            </w:r>
            <w:bookmarkEnd w:id="25"/>
          </w:p>
          <w:p w14:paraId="754D3DAE">
            <w:pPr>
              <w:pStyle w:val="158"/>
              <w:pageBreakBefore w:val="0"/>
              <w:wordWrap w:val="0"/>
              <w:topLinePunct/>
              <w:bidi w:val="0"/>
              <w:snapToGrid/>
              <w:spacing w:beforeAutospacing="0" w:afterAutospacing="0"/>
              <w:ind w:firstLine="480"/>
              <w:rPr>
                <w:color w:val="auto"/>
                <w:highlight w:val="none"/>
              </w:rPr>
            </w:pPr>
            <w:r>
              <w:rPr>
                <w:rFonts w:ascii="Times New Roman" w:hAnsi="Times New Roman" w:eastAsia="宋体" w:cs="Times New Roman"/>
                <w:color w:val="auto"/>
                <w:spacing w:val="0"/>
                <w:kern w:val="2"/>
                <w:sz w:val="24"/>
                <w:szCs w:val="24"/>
                <w:highlight w:val="none"/>
                <w:lang w:val="en-US" w:eastAsia="zh-CN" w:bidi="ar-SA"/>
              </w:rPr>
              <w:t>本项目喷枪需要定期清洗，在流平室进行，拆卸喷枪后放入</w:t>
            </w:r>
            <w:r>
              <w:rPr>
                <w:rFonts w:hint="eastAsia" w:cs="Times New Roman"/>
                <w:color w:val="auto"/>
                <w:spacing w:val="0"/>
                <w:kern w:val="2"/>
                <w:sz w:val="24"/>
                <w:szCs w:val="24"/>
                <w:highlight w:val="none"/>
                <w:lang w:val="en-US" w:eastAsia="zh-CN" w:bidi="ar-SA"/>
              </w:rPr>
              <w:t>清洗剂</w:t>
            </w:r>
            <w:r>
              <w:rPr>
                <w:rFonts w:ascii="Times New Roman" w:hAnsi="Times New Roman" w:eastAsia="宋体" w:cs="Times New Roman"/>
                <w:color w:val="auto"/>
                <w:spacing w:val="0"/>
                <w:kern w:val="2"/>
                <w:sz w:val="24"/>
                <w:szCs w:val="24"/>
                <w:highlight w:val="none"/>
                <w:lang w:val="en-US" w:eastAsia="zh-CN" w:bidi="ar-SA"/>
              </w:rPr>
              <w:t>原料桶内，加盖浸泡一段时间后取出，完成清洗。该过程会无组织排放少量有机废气，由于产生量较小，因此喷枪清洗有机废气仅考虑定性分析，使用后的</w:t>
            </w:r>
            <w:r>
              <w:rPr>
                <w:rFonts w:hint="eastAsia" w:cs="Times New Roman"/>
                <w:color w:val="auto"/>
                <w:spacing w:val="0"/>
                <w:kern w:val="2"/>
                <w:sz w:val="24"/>
                <w:szCs w:val="24"/>
                <w:highlight w:val="none"/>
                <w:lang w:val="en-US" w:eastAsia="zh-CN" w:bidi="ar-SA"/>
              </w:rPr>
              <w:t>清洗</w:t>
            </w:r>
            <w:r>
              <w:rPr>
                <w:rFonts w:ascii="Times New Roman" w:hAnsi="Times New Roman" w:eastAsia="宋体" w:cs="Times New Roman"/>
                <w:color w:val="auto"/>
                <w:spacing w:val="0"/>
                <w:kern w:val="2"/>
                <w:sz w:val="24"/>
                <w:szCs w:val="24"/>
                <w:highlight w:val="none"/>
                <w:lang w:val="en-US" w:eastAsia="zh-CN" w:bidi="ar-SA"/>
              </w:rPr>
              <w:t>剂及原料桶作为危废处理。</w:t>
            </w:r>
          </w:p>
          <w:p w14:paraId="4C70C59B">
            <w:pPr>
              <w:pStyle w:val="158"/>
              <w:pageBreakBefore w:val="0"/>
              <w:wordWrap w:val="0"/>
              <w:topLinePunct/>
              <w:bidi w:val="0"/>
              <w:snapToGrid/>
              <w:spacing w:beforeAutospacing="0" w:afterAutospacing="0"/>
              <w:ind w:firstLine="480"/>
              <w:rPr>
                <w:rFonts w:hint="default" w:eastAsia="宋体"/>
                <w:color w:val="auto"/>
                <w:highlight w:val="none"/>
                <w:lang w:val="en-US" w:eastAsia="zh-CN"/>
              </w:rPr>
            </w:pPr>
            <w:r>
              <w:rPr>
                <w:color w:val="auto"/>
              </w:rPr>
              <w:t>综上，</w:t>
            </w:r>
            <w:r>
              <w:rPr>
                <w:rFonts w:hint="eastAsia"/>
                <w:color w:val="auto"/>
                <w:lang w:val="en-US" w:eastAsia="zh-CN"/>
              </w:rPr>
              <w:t>项目喷粉废气经过</w:t>
            </w:r>
            <w:r>
              <w:rPr>
                <w:color w:val="auto"/>
              </w:rPr>
              <w:t>“大旋风+滤芯式二级回收系统”</w:t>
            </w:r>
            <w:r>
              <w:rPr>
                <w:rFonts w:hint="eastAsia"/>
                <w:color w:val="auto"/>
                <w:lang w:val="en-US" w:eastAsia="zh-CN"/>
              </w:rPr>
              <w:t>处理后无组织排放，</w:t>
            </w:r>
            <w:r>
              <w:rPr>
                <w:color w:val="auto"/>
              </w:rPr>
              <w:t>喷漆工序产生的漆雾</w:t>
            </w:r>
            <w:r>
              <w:rPr>
                <w:rFonts w:hint="eastAsia"/>
                <w:color w:val="auto"/>
                <w:lang w:eastAsia="zh-CN"/>
              </w:rPr>
              <w:t>经水帘</w:t>
            </w:r>
            <w:r>
              <w:rPr>
                <w:rFonts w:hint="eastAsia"/>
                <w:color w:val="auto"/>
                <w:lang w:val="en-US" w:eastAsia="zh-CN"/>
              </w:rPr>
              <w:t>柜</w:t>
            </w:r>
            <w:r>
              <w:rPr>
                <w:rFonts w:hint="eastAsia"/>
                <w:color w:val="auto"/>
                <w:lang w:eastAsia="zh-CN"/>
              </w:rPr>
              <w:t>预处理后</w:t>
            </w:r>
            <w:r>
              <w:rPr>
                <w:color w:val="auto"/>
              </w:rPr>
              <w:t>进入“</w:t>
            </w:r>
            <w:r>
              <w:rPr>
                <w:rFonts w:hint="eastAsia"/>
                <w:color w:val="auto"/>
                <w:lang w:eastAsia="zh-CN"/>
              </w:rPr>
              <w:t>喷淋塔+干式过滤器+活性炭吸脱附催化燃烧</w:t>
            </w:r>
            <w:r>
              <w:rPr>
                <w:rFonts w:hint="eastAsia"/>
                <w:color w:val="auto"/>
                <w:lang w:val="en-US" w:eastAsia="zh-CN"/>
              </w:rPr>
              <w:t>+活性炭吸附</w:t>
            </w:r>
            <w:r>
              <w:rPr>
                <w:color w:val="auto"/>
                <w:highlight w:val="none"/>
              </w:rPr>
              <w:t>”</w:t>
            </w:r>
            <w:r>
              <w:rPr>
                <w:rFonts w:hint="eastAsia"/>
                <w:color w:val="auto"/>
                <w:highlight w:val="none"/>
                <w:lang w:eastAsia="zh-CN"/>
              </w:rPr>
              <w:t>装置</w:t>
            </w:r>
            <w:r>
              <w:rPr>
                <w:color w:val="auto"/>
                <w:highlight w:val="none"/>
              </w:rPr>
              <w:t>处理</w:t>
            </w:r>
            <w:r>
              <w:rPr>
                <w:rFonts w:hint="eastAsia"/>
                <w:color w:val="auto"/>
                <w:highlight w:val="none"/>
                <w:lang w:eastAsia="zh-CN"/>
              </w:rPr>
              <w:t>，经</w:t>
            </w:r>
            <w:r>
              <w:rPr>
                <w:rFonts w:hint="eastAsia"/>
                <w:color w:val="auto"/>
                <w:highlight w:val="none"/>
                <w:lang w:val="en-US" w:eastAsia="zh-CN"/>
              </w:rPr>
              <w:t>DA001排气筒排放</w:t>
            </w:r>
            <w:r>
              <w:rPr>
                <w:color w:val="auto"/>
                <w:highlight w:val="none"/>
              </w:rPr>
              <w:t>。</w:t>
            </w:r>
            <w:r>
              <w:rPr>
                <w:rFonts w:hint="eastAsia"/>
                <w:color w:val="auto"/>
                <w:highlight w:val="none"/>
                <w:lang w:val="en-US" w:eastAsia="zh-CN"/>
              </w:rPr>
              <w:t>固化废气经</w:t>
            </w:r>
            <w:r>
              <w:rPr>
                <w:color w:val="auto"/>
              </w:rPr>
              <w:t>“</w:t>
            </w:r>
            <w:r>
              <w:rPr>
                <w:rFonts w:hint="eastAsia"/>
                <w:color w:val="auto"/>
                <w:lang w:eastAsia="zh-CN"/>
              </w:rPr>
              <w:t>喷淋塔+干式过滤器+</w:t>
            </w:r>
            <w:r>
              <w:rPr>
                <w:rFonts w:hint="eastAsia"/>
                <w:color w:val="auto"/>
                <w:lang w:val="en-US" w:eastAsia="zh-CN"/>
              </w:rPr>
              <w:t>二级活性炭吸附</w:t>
            </w:r>
            <w:r>
              <w:rPr>
                <w:color w:val="auto"/>
                <w:highlight w:val="none"/>
              </w:rPr>
              <w:t>”</w:t>
            </w:r>
            <w:r>
              <w:rPr>
                <w:rFonts w:hint="eastAsia"/>
                <w:color w:val="auto"/>
                <w:highlight w:val="none"/>
                <w:lang w:eastAsia="zh-CN"/>
              </w:rPr>
              <w:t>装置</w:t>
            </w:r>
            <w:r>
              <w:rPr>
                <w:color w:val="auto"/>
                <w:highlight w:val="none"/>
              </w:rPr>
              <w:t>处理</w:t>
            </w:r>
            <w:r>
              <w:rPr>
                <w:rFonts w:hint="eastAsia"/>
                <w:color w:val="auto"/>
                <w:highlight w:val="none"/>
                <w:lang w:eastAsia="zh-CN"/>
              </w:rPr>
              <w:t>，</w:t>
            </w:r>
            <w:r>
              <w:rPr>
                <w:rFonts w:hint="eastAsia"/>
                <w:color w:val="auto"/>
                <w:highlight w:val="none"/>
                <w:lang w:val="en-US" w:eastAsia="zh-CN"/>
              </w:rPr>
              <w:t>与天然气燃烧废气一同</w:t>
            </w:r>
            <w:r>
              <w:rPr>
                <w:rFonts w:hint="eastAsia"/>
                <w:color w:val="auto"/>
                <w:highlight w:val="none"/>
                <w:lang w:eastAsia="zh-CN"/>
              </w:rPr>
              <w:t>经</w:t>
            </w:r>
            <w:r>
              <w:rPr>
                <w:rFonts w:hint="eastAsia"/>
                <w:color w:val="auto"/>
                <w:highlight w:val="none"/>
                <w:lang w:val="en-US" w:eastAsia="zh-CN"/>
              </w:rPr>
              <w:t>DA002排气筒排放。</w:t>
            </w:r>
          </w:p>
          <w:p w14:paraId="5B8CC7E9">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8</w:t>
            </w:r>
            <w:r>
              <w:rPr>
                <w:b/>
                <w:bCs/>
                <w:color w:val="auto"/>
                <w:sz w:val="21"/>
                <w:szCs w:val="21"/>
              </w:rPr>
              <w:t>项目各污染物收集、治理、排放方式一览表</w:t>
            </w:r>
          </w:p>
          <w:tbl>
            <w:tblPr>
              <w:tblStyle w:val="49"/>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20"/>
              <w:gridCol w:w="669"/>
              <w:gridCol w:w="1045"/>
              <w:gridCol w:w="1221"/>
              <w:gridCol w:w="905"/>
              <w:gridCol w:w="1134"/>
              <w:gridCol w:w="622"/>
              <w:gridCol w:w="575"/>
              <w:gridCol w:w="739"/>
            </w:tblGrid>
            <w:tr w14:paraId="7816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B195445">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所在车间</w:t>
                  </w:r>
                </w:p>
              </w:tc>
              <w:tc>
                <w:tcPr>
                  <w:tcW w:w="428" w:type="pct"/>
                  <w:vAlign w:val="center"/>
                </w:tcPr>
                <w:p w14:paraId="45F51A06">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生产线</w:t>
                  </w:r>
                </w:p>
              </w:tc>
              <w:tc>
                <w:tcPr>
                  <w:tcW w:w="398" w:type="pct"/>
                  <w:vAlign w:val="center"/>
                </w:tcPr>
                <w:p w14:paraId="76B8DE75">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工序</w:t>
                  </w:r>
                </w:p>
              </w:tc>
              <w:tc>
                <w:tcPr>
                  <w:tcW w:w="622" w:type="pct"/>
                  <w:vAlign w:val="center"/>
                </w:tcPr>
                <w:p w14:paraId="0FD0F5D2">
                  <w:pPr>
                    <w:pageBreakBefore w:val="0"/>
                    <w:wordWrap w:val="0"/>
                    <w:topLinePunct/>
                    <w:bidi w:val="0"/>
                    <w:spacing w:beforeAutospacing="0" w:afterAutospacing="0"/>
                    <w:jc w:val="center"/>
                    <w:rPr>
                      <w:b/>
                      <w:bCs/>
                      <w:color w:val="auto"/>
                      <w:sz w:val="21"/>
                      <w:szCs w:val="21"/>
                    </w:rPr>
                  </w:pPr>
                  <w:r>
                    <w:rPr>
                      <w:b/>
                      <w:bCs/>
                      <w:color w:val="auto"/>
                      <w:sz w:val="21"/>
                      <w:szCs w:val="21"/>
                    </w:rPr>
                    <w:t>污染物</w:t>
                  </w:r>
                </w:p>
              </w:tc>
              <w:tc>
                <w:tcPr>
                  <w:tcW w:w="727" w:type="pct"/>
                  <w:vAlign w:val="center"/>
                </w:tcPr>
                <w:p w14:paraId="6C041185">
                  <w:pPr>
                    <w:pageBreakBefore w:val="0"/>
                    <w:wordWrap w:val="0"/>
                    <w:topLinePunct/>
                    <w:bidi w:val="0"/>
                    <w:spacing w:beforeAutospacing="0" w:afterAutospacing="0"/>
                    <w:jc w:val="center"/>
                    <w:rPr>
                      <w:b/>
                      <w:bCs/>
                      <w:color w:val="auto"/>
                      <w:sz w:val="21"/>
                      <w:szCs w:val="21"/>
                    </w:rPr>
                  </w:pPr>
                  <w:r>
                    <w:rPr>
                      <w:b/>
                      <w:bCs/>
                      <w:color w:val="auto"/>
                      <w:sz w:val="21"/>
                      <w:szCs w:val="21"/>
                    </w:rPr>
                    <w:t>收集方式</w:t>
                  </w:r>
                </w:p>
              </w:tc>
              <w:tc>
                <w:tcPr>
                  <w:tcW w:w="539" w:type="pct"/>
                  <w:vAlign w:val="center"/>
                </w:tcPr>
                <w:p w14:paraId="72219C25">
                  <w:pPr>
                    <w:pageBreakBefore w:val="0"/>
                    <w:wordWrap w:val="0"/>
                    <w:topLinePunct/>
                    <w:bidi w:val="0"/>
                    <w:spacing w:beforeAutospacing="0" w:afterAutospacing="0"/>
                    <w:jc w:val="center"/>
                    <w:rPr>
                      <w:rFonts w:hint="default" w:eastAsia="宋体"/>
                      <w:b/>
                      <w:bCs/>
                      <w:color w:val="auto"/>
                      <w:sz w:val="21"/>
                      <w:szCs w:val="21"/>
                      <w:lang w:val="en-US" w:eastAsia="zh-CN"/>
                    </w:rPr>
                  </w:pPr>
                  <w:r>
                    <w:rPr>
                      <w:rFonts w:hint="eastAsia"/>
                      <w:b/>
                      <w:bCs/>
                      <w:color w:val="auto"/>
                      <w:sz w:val="21"/>
                      <w:szCs w:val="21"/>
                      <w:lang w:val="en-US" w:eastAsia="zh-CN"/>
                    </w:rPr>
                    <w:t>集气效率%</w:t>
                  </w:r>
                </w:p>
              </w:tc>
              <w:tc>
                <w:tcPr>
                  <w:tcW w:w="675" w:type="pct"/>
                  <w:vAlign w:val="center"/>
                </w:tcPr>
                <w:p w14:paraId="132B4B79">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治理措施</w:t>
                  </w:r>
                </w:p>
              </w:tc>
              <w:tc>
                <w:tcPr>
                  <w:tcW w:w="370" w:type="pct"/>
                  <w:vAlign w:val="center"/>
                </w:tcPr>
                <w:p w14:paraId="320843C6">
                  <w:pPr>
                    <w:pageBreakBefore w:val="0"/>
                    <w:wordWrap w:val="0"/>
                    <w:topLinePunct/>
                    <w:bidi w:val="0"/>
                    <w:spacing w:beforeAutospacing="0" w:afterAutospacing="0"/>
                    <w:jc w:val="center"/>
                    <w:rPr>
                      <w:rFonts w:hint="default" w:eastAsia="宋体"/>
                      <w:b/>
                      <w:bCs/>
                      <w:color w:val="auto"/>
                      <w:sz w:val="21"/>
                      <w:szCs w:val="21"/>
                      <w:lang w:val="en-US" w:eastAsia="zh-CN"/>
                    </w:rPr>
                  </w:pPr>
                  <w:r>
                    <w:rPr>
                      <w:rFonts w:hint="eastAsia"/>
                      <w:b/>
                      <w:bCs/>
                      <w:color w:val="auto"/>
                      <w:sz w:val="21"/>
                      <w:szCs w:val="21"/>
                      <w:lang w:val="en-US" w:eastAsia="zh-CN"/>
                    </w:rPr>
                    <w:t>处理效率%</w:t>
                  </w:r>
                </w:p>
              </w:tc>
              <w:tc>
                <w:tcPr>
                  <w:tcW w:w="342" w:type="pct"/>
                  <w:vAlign w:val="center"/>
                </w:tcPr>
                <w:p w14:paraId="524E2D89">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排放形式</w:t>
                  </w:r>
                </w:p>
              </w:tc>
              <w:tc>
                <w:tcPr>
                  <w:tcW w:w="440" w:type="pct"/>
                  <w:vAlign w:val="center"/>
                </w:tcPr>
                <w:p w14:paraId="2D71E12E">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排气筒编号</w:t>
                  </w:r>
                </w:p>
              </w:tc>
            </w:tr>
            <w:tr w14:paraId="65FC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1E2A3983">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1#车间</w:t>
                  </w:r>
                </w:p>
              </w:tc>
              <w:tc>
                <w:tcPr>
                  <w:tcW w:w="428" w:type="pct"/>
                  <w:vAlign w:val="center"/>
                </w:tcPr>
                <w:p w14:paraId="4291859C">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切割粉尘</w:t>
                  </w:r>
                </w:p>
              </w:tc>
              <w:tc>
                <w:tcPr>
                  <w:tcW w:w="398" w:type="pct"/>
                  <w:vAlign w:val="center"/>
                </w:tcPr>
                <w:p w14:paraId="15C303AB">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切割</w:t>
                  </w:r>
                </w:p>
              </w:tc>
              <w:tc>
                <w:tcPr>
                  <w:tcW w:w="622" w:type="pct"/>
                  <w:vAlign w:val="center"/>
                </w:tcPr>
                <w:p w14:paraId="6D88CE97">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颗粒物</w:t>
                  </w:r>
                </w:p>
              </w:tc>
              <w:tc>
                <w:tcPr>
                  <w:tcW w:w="727" w:type="pct"/>
                  <w:vAlign w:val="center"/>
                </w:tcPr>
                <w:p w14:paraId="0F0F33D2">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集气罩</w:t>
                  </w:r>
                </w:p>
              </w:tc>
              <w:tc>
                <w:tcPr>
                  <w:tcW w:w="539" w:type="pct"/>
                  <w:vAlign w:val="center"/>
                </w:tcPr>
                <w:p w14:paraId="76F0E2FB">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675" w:type="pct"/>
                  <w:vAlign w:val="center"/>
                </w:tcPr>
                <w:p w14:paraId="05C13A49">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自然沉降</w:t>
                  </w:r>
                </w:p>
              </w:tc>
              <w:tc>
                <w:tcPr>
                  <w:tcW w:w="370" w:type="pct"/>
                  <w:vAlign w:val="center"/>
                </w:tcPr>
                <w:p w14:paraId="34DADFB0">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342" w:type="pct"/>
                  <w:vAlign w:val="center"/>
                </w:tcPr>
                <w:p w14:paraId="5B862AEA">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无组织</w:t>
                  </w:r>
                </w:p>
              </w:tc>
              <w:tc>
                <w:tcPr>
                  <w:tcW w:w="440" w:type="pct"/>
                  <w:vAlign w:val="center"/>
                </w:tcPr>
                <w:p w14:paraId="60C778DA">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w:t>
                  </w:r>
                </w:p>
              </w:tc>
            </w:tr>
            <w:tr w14:paraId="28EE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F1108B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3#车间</w:t>
                  </w:r>
                </w:p>
              </w:tc>
              <w:tc>
                <w:tcPr>
                  <w:tcW w:w="428" w:type="pct"/>
                  <w:vAlign w:val="center"/>
                </w:tcPr>
                <w:p w14:paraId="228FEDC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焊接烟尘</w:t>
                  </w:r>
                </w:p>
              </w:tc>
              <w:tc>
                <w:tcPr>
                  <w:tcW w:w="398" w:type="pct"/>
                  <w:vAlign w:val="center"/>
                </w:tcPr>
                <w:p w14:paraId="1F7CE71D">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焊接</w:t>
                  </w:r>
                </w:p>
              </w:tc>
              <w:tc>
                <w:tcPr>
                  <w:tcW w:w="622" w:type="pct"/>
                  <w:vAlign w:val="center"/>
                </w:tcPr>
                <w:p w14:paraId="623EA365">
                  <w:pPr>
                    <w:pageBreakBefore w:val="0"/>
                    <w:wordWrap w:val="0"/>
                    <w:topLinePunct/>
                    <w:bidi w:val="0"/>
                    <w:spacing w:beforeAutospacing="0" w:afterAutospacing="0"/>
                    <w:jc w:val="center"/>
                    <w:rPr>
                      <w:b w:val="0"/>
                      <w:bCs w:val="0"/>
                      <w:color w:val="auto"/>
                      <w:sz w:val="21"/>
                      <w:szCs w:val="21"/>
                    </w:rPr>
                  </w:pPr>
                  <w:r>
                    <w:rPr>
                      <w:rFonts w:hint="eastAsia"/>
                      <w:b w:val="0"/>
                      <w:bCs w:val="0"/>
                      <w:color w:val="auto"/>
                      <w:sz w:val="21"/>
                      <w:szCs w:val="21"/>
                      <w:lang w:val="en-US" w:eastAsia="zh-CN"/>
                    </w:rPr>
                    <w:t>颗粒物</w:t>
                  </w:r>
                </w:p>
              </w:tc>
              <w:tc>
                <w:tcPr>
                  <w:tcW w:w="727" w:type="pct"/>
                  <w:vAlign w:val="center"/>
                </w:tcPr>
                <w:p w14:paraId="6E04AD27">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集气罩</w:t>
                  </w:r>
                </w:p>
              </w:tc>
              <w:tc>
                <w:tcPr>
                  <w:tcW w:w="539" w:type="pct"/>
                  <w:vAlign w:val="center"/>
                </w:tcPr>
                <w:p w14:paraId="1D50DAD0">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30%</w:t>
                  </w:r>
                </w:p>
              </w:tc>
              <w:tc>
                <w:tcPr>
                  <w:tcW w:w="675" w:type="pct"/>
                  <w:vAlign w:val="center"/>
                </w:tcPr>
                <w:p w14:paraId="2792F5F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移动式焊烟净化器</w:t>
                  </w:r>
                </w:p>
              </w:tc>
              <w:tc>
                <w:tcPr>
                  <w:tcW w:w="370" w:type="pct"/>
                  <w:vAlign w:val="center"/>
                </w:tcPr>
                <w:p w14:paraId="79A1E2CE">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90%</w:t>
                  </w:r>
                </w:p>
              </w:tc>
              <w:tc>
                <w:tcPr>
                  <w:tcW w:w="342" w:type="pct"/>
                  <w:vAlign w:val="center"/>
                </w:tcPr>
                <w:p w14:paraId="24DE7318">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无组织</w:t>
                  </w:r>
                </w:p>
              </w:tc>
              <w:tc>
                <w:tcPr>
                  <w:tcW w:w="440" w:type="pct"/>
                  <w:vAlign w:val="center"/>
                </w:tcPr>
                <w:p w14:paraId="2D4736A4">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w:t>
                  </w:r>
                </w:p>
              </w:tc>
            </w:tr>
            <w:tr w14:paraId="24EA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31A2639C">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3#车间</w:t>
                  </w:r>
                </w:p>
              </w:tc>
              <w:tc>
                <w:tcPr>
                  <w:tcW w:w="428" w:type="pct"/>
                  <w:vAlign w:val="center"/>
                </w:tcPr>
                <w:p w14:paraId="4D0C25D4">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打磨粉尘</w:t>
                  </w:r>
                </w:p>
              </w:tc>
              <w:tc>
                <w:tcPr>
                  <w:tcW w:w="398" w:type="pct"/>
                  <w:vAlign w:val="center"/>
                </w:tcPr>
                <w:p w14:paraId="392BD65D">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打磨抛光</w:t>
                  </w:r>
                </w:p>
              </w:tc>
              <w:tc>
                <w:tcPr>
                  <w:tcW w:w="622" w:type="pct"/>
                  <w:vAlign w:val="center"/>
                </w:tcPr>
                <w:p w14:paraId="2FC82CF5">
                  <w:pPr>
                    <w:pageBreakBefore w:val="0"/>
                    <w:wordWrap w:val="0"/>
                    <w:topLinePunct/>
                    <w:bidi w:val="0"/>
                    <w:spacing w:beforeAutospacing="0" w:afterAutospacing="0"/>
                    <w:jc w:val="center"/>
                    <w:rPr>
                      <w:b w:val="0"/>
                      <w:bCs w:val="0"/>
                      <w:color w:val="auto"/>
                      <w:sz w:val="21"/>
                      <w:szCs w:val="21"/>
                    </w:rPr>
                  </w:pPr>
                  <w:r>
                    <w:rPr>
                      <w:rFonts w:hint="eastAsia"/>
                      <w:b w:val="0"/>
                      <w:bCs w:val="0"/>
                      <w:color w:val="auto"/>
                      <w:sz w:val="21"/>
                      <w:szCs w:val="21"/>
                      <w:lang w:val="en-US" w:eastAsia="zh-CN"/>
                    </w:rPr>
                    <w:t>颗粒物</w:t>
                  </w:r>
                </w:p>
              </w:tc>
              <w:tc>
                <w:tcPr>
                  <w:tcW w:w="727" w:type="pct"/>
                  <w:vAlign w:val="center"/>
                </w:tcPr>
                <w:p w14:paraId="143DB07E">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密闭收集</w:t>
                  </w:r>
                </w:p>
              </w:tc>
              <w:tc>
                <w:tcPr>
                  <w:tcW w:w="539" w:type="pct"/>
                  <w:vAlign w:val="center"/>
                </w:tcPr>
                <w:p w14:paraId="4782E5F6">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675" w:type="pct"/>
                  <w:vAlign w:val="center"/>
                </w:tcPr>
                <w:p w14:paraId="2CB9F691">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自然沉降</w:t>
                  </w:r>
                </w:p>
              </w:tc>
              <w:tc>
                <w:tcPr>
                  <w:tcW w:w="370" w:type="pct"/>
                  <w:vAlign w:val="center"/>
                </w:tcPr>
                <w:p w14:paraId="2C07AC2F">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342" w:type="pct"/>
                  <w:vAlign w:val="center"/>
                </w:tcPr>
                <w:p w14:paraId="732AE67E">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无组织</w:t>
                  </w:r>
                </w:p>
              </w:tc>
              <w:tc>
                <w:tcPr>
                  <w:tcW w:w="440" w:type="pct"/>
                  <w:vAlign w:val="center"/>
                </w:tcPr>
                <w:p w14:paraId="6BCA221E">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w:t>
                  </w:r>
                </w:p>
              </w:tc>
            </w:tr>
            <w:tr w14:paraId="4CBA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490B3030">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4#车间</w:t>
                  </w:r>
                </w:p>
              </w:tc>
              <w:tc>
                <w:tcPr>
                  <w:tcW w:w="428" w:type="pct"/>
                  <w:vMerge w:val="restart"/>
                  <w:vAlign w:val="center"/>
                </w:tcPr>
                <w:p w14:paraId="3E15634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喷粉喷漆漆工序</w:t>
                  </w:r>
                </w:p>
              </w:tc>
              <w:tc>
                <w:tcPr>
                  <w:tcW w:w="398" w:type="pct"/>
                  <w:vAlign w:val="center"/>
                </w:tcPr>
                <w:p w14:paraId="00B5E9F4">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静电喷粉</w:t>
                  </w:r>
                </w:p>
              </w:tc>
              <w:tc>
                <w:tcPr>
                  <w:tcW w:w="622" w:type="pct"/>
                  <w:vAlign w:val="center"/>
                </w:tcPr>
                <w:p w14:paraId="2CD63691">
                  <w:pPr>
                    <w:pageBreakBefore w:val="0"/>
                    <w:wordWrap w:val="0"/>
                    <w:topLinePunct/>
                    <w:bidi w:val="0"/>
                    <w:spacing w:beforeAutospacing="0" w:afterAutospacing="0"/>
                    <w:jc w:val="center"/>
                    <w:rPr>
                      <w:color w:val="auto"/>
                      <w:sz w:val="21"/>
                      <w:szCs w:val="21"/>
                    </w:rPr>
                  </w:pPr>
                  <w:r>
                    <w:rPr>
                      <w:color w:val="auto"/>
                      <w:sz w:val="21"/>
                      <w:szCs w:val="21"/>
                    </w:rPr>
                    <w:t>颗粒物</w:t>
                  </w:r>
                </w:p>
              </w:tc>
              <w:tc>
                <w:tcPr>
                  <w:tcW w:w="727" w:type="pct"/>
                  <w:vAlign w:val="center"/>
                </w:tcPr>
                <w:p w14:paraId="6BFA553D">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3D494476">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90%</w:t>
                  </w:r>
                </w:p>
              </w:tc>
              <w:tc>
                <w:tcPr>
                  <w:tcW w:w="675" w:type="pct"/>
                  <w:vAlign w:val="center"/>
                </w:tcPr>
                <w:p w14:paraId="61BF3B89">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大旋风+滤芯式二级回收系统</w:t>
                  </w:r>
                </w:p>
              </w:tc>
              <w:tc>
                <w:tcPr>
                  <w:tcW w:w="370" w:type="pct"/>
                  <w:vAlign w:val="center"/>
                </w:tcPr>
                <w:p w14:paraId="2E5EA6E5">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99%</w:t>
                  </w:r>
                </w:p>
              </w:tc>
              <w:tc>
                <w:tcPr>
                  <w:tcW w:w="342" w:type="pct"/>
                  <w:vAlign w:val="center"/>
                </w:tcPr>
                <w:p w14:paraId="7BEB28F1">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无组织</w:t>
                  </w:r>
                </w:p>
              </w:tc>
              <w:tc>
                <w:tcPr>
                  <w:tcW w:w="440" w:type="pct"/>
                  <w:vAlign w:val="center"/>
                </w:tcPr>
                <w:p w14:paraId="6BEAAC5E">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w:t>
                  </w:r>
                </w:p>
              </w:tc>
            </w:tr>
            <w:tr w14:paraId="1893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5D112A">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43B093B6">
                  <w:pPr>
                    <w:pageBreakBefore w:val="0"/>
                    <w:wordWrap w:val="0"/>
                    <w:topLinePunct/>
                    <w:bidi w:val="0"/>
                    <w:spacing w:beforeAutospacing="0" w:afterAutospacing="0"/>
                    <w:jc w:val="center"/>
                    <w:rPr>
                      <w:color w:val="auto"/>
                      <w:sz w:val="21"/>
                      <w:szCs w:val="21"/>
                    </w:rPr>
                  </w:pPr>
                </w:p>
              </w:tc>
              <w:tc>
                <w:tcPr>
                  <w:tcW w:w="398" w:type="pct"/>
                  <w:vAlign w:val="center"/>
                </w:tcPr>
                <w:p w14:paraId="63CDB46B">
                  <w:pPr>
                    <w:pageBreakBefore w:val="0"/>
                    <w:wordWrap w:val="0"/>
                    <w:topLinePunct/>
                    <w:bidi w:val="0"/>
                    <w:spacing w:beforeAutospacing="0" w:afterAutospacing="0"/>
                    <w:jc w:val="center"/>
                    <w:rPr>
                      <w:rFonts w:hint="eastAsia" w:eastAsia="宋体"/>
                      <w:color w:val="auto"/>
                      <w:sz w:val="21"/>
                      <w:szCs w:val="21"/>
                      <w:lang w:eastAsia="zh-CN"/>
                    </w:rPr>
                  </w:pPr>
                  <w:r>
                    <w:rPr>
                      <w:color w:val="auto"/>
                      <w:sz w:val="21"/>
                      <w:szCs w:val="21"/>
                    </w:rPr>
                    <w:t>静电</w:t>
                  </w:r>
                  <w:r>
                    <w:rPr>
                      <w:rFonts w:hint="eastAsia"/>
                      <w:color w:val="auto"/>
                      <w:sz w:val="21"/>
                      <w:szCs w:val="21"/>
                      <w:lang w:eastAsia="zh-CN"/>
                    </w:rPr>
                    <w:t>喷粉</w:t>
                  </w:r>
                </w:p>
              </w:tc>
              <w:tc>
                <w:tcPr>
                  <w:tcW w:w="622" w:type="pct"/>
                  <w:vAlign w:val="center"/>
                </w:tcPr>
                <w:p w14:paraId="2E2D3562">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固化有机废气</w:t>
                  </w:r>
                </w:p>
              </w:tc>
              <w:tc>
                <w:tcPr>
                  <w:tcW w:w="727" w:type="pct"/>
                  <w:vAlign w:val="center"/>
                </w:tcPr>
                <w:p w14:paraId="7315095B">
                  <w:pPr>
                    <w:pageBreakBefore w:val="0"/>
                    <w:wordWrap w:val="0"/>
                    <w:topLinePunct/>
                    <w:bidi w:val="0"/>
                    <w:spacing w:beforeAutospacing="0" w:afterAutospacing="0"/>
                    <w:jc w:val="center"/>
                    <w:rPr>
                      <w:color w:val="auto"/>
                      <w:sz w:val="21"/>
                      <w:szCs w:val="21"/>
                    </w:rPr>
                  </w:pPr>
                  <w:r>
                    <w:rPr>
                      <w:color w:val="auto"/>
                      <w:sz w:val="21"/>
                      <w:szCs w:val="21"/>
                    </w:rPr>
                    <w:t>集气罩、</w:t>
                  </w:r>
                  <w:r>
                    <w:rPr>
                      <w:color w:val="auto"/>
                      <w:kern w:val="2"/>
                      <w:sz w:val="21"/>
                      <w:szCs w:val="21"/>
                    </w:rPr>
                    <w:t>直连排风管</w:t>
                  </w:r>
                </w:p>
              </w:tc>
              <w:tc>
                <w:tcPr>
                  <w:tcW w:w="539" w:type="pct"/>
                  <w:vAlign w:val="center"/>
                </w:tcPr>
                <w:p w14:paraId="5254A2F6">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90%</w:t>
                  </w:r>
                </w:p>
              </w:tc>
              <w:tc>
                <w:tcPr>
                  <w:tcW w:w="675" w:type="pct"/>
                  <w:vMerge w:val="restart"/>
                  <w:vAlign w:val="center"/>
                </w:tcPr>
                <w:p w14:paraId="363BF520">
                  <w:pPr>
                    <w:pageBreakBefore w:val="0"/>
                    <w:wordWrap w:val="0"/>
                    <w:topLinePunct/>
                    <w:bidi w:val="0"/>
                    <w:spacing w:beforeAutospacing="0" w:afterAutospacing="0"/>
                    <w:jc w:val="center"/>
                    <w:rPr>
                      <w:color w:val="auto"/>
                      <w:sz w:val="21"/>
                      <w:szCs w:val="21"/>
                    </w:rPr>
                  </w:pPr>
                  <w:r>
                    <w:rPr>
                      <w:rFonts w:hint="eastAsia"/>
                      <w:color w:val="auto"/>
                      <w:sz w:val="21"/>
                      <w:szCs w:val="21"/>
                      <w:lang w:eastAsia="zh-CN"/>
                    </w:rPr>
                    <w:t>水帘柜</w:t>
                  </w:r>
                  <w:r>
                    <w:rPr>
                      <w:rFonts w:hint="eastAsia"/>
                      <w:color w:val="auto"/>
                      <w:sz w:val="21"/>
                      <w:szCs w:val="21"/>
                      <w:lang w:val="en-US" w:eastAsia="zh-CN"/>
                    </w:rPr>
                    <w:t>喷淋</w:t>
                  </w:r>
                  <w:r>
                    <w:rPr>
                      <w:color w:val="auto"/>
                      <w:sz w:val="21"/>
                      <w:szCs w:val="21"/>
                    </w:rPr>
                    <w:t>+干式过滤器+</w:t>
                  </w:r>
                  <w:r>
                    <w:rPr>
                      <w:rFonts w:hint="eastAsia"/>
                      <w:color w:val="auto"/>
                      <w:sz w:val="21"/>
                      <w:szCs w:val="21"/>
                      <w:lang w:eastAsia="zh-CN"/>
                    </w:rPr>
                    <w:t>活性炭吸脱附催化燃烧</w:t>
                  </w:r>
                </w:p>
              </w:tc>
              <w:tc>
                <w:tcPr>
                  <w:tcW w:w="370" w:type="pct"/>
                  <w:vAlign w:val="center"/>
                </w:tcPr>
                <w:p w14:paraId="527663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w:t>
                  </w:r>
                </w:p>
              </w:tc>
              <w:tc>
                <w:tcPr>
                  <w:tcW w:w="342" w:type="pct"/>
                  <w:vMerge w:val="restart"/>
                  <w:vAlign w:val="center"/>
                </w:tcPr>
                <w:p w14:paraId="043FB628">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有组织</w:t>
                  </w:r>
                </w:p>
              </w:tc>
              <w:tc>
                <w:tcPr>
                  <w:tcW w:w="440" w:type="pct"/>
                  <w:vMerge w:val="restart"/>
                  <w:vAlign w:val="center"/>
                </w:tcPr>
                <w:p w14:paraId="048B853C">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DA00</w:t>
                  </w:r>
                  <w:r>
                    <w:rPr>
                      <w:rFonts w:hint="eastAsia"/>
                      <w:color w:val="auto"/>
                      <w:sz w:val="21"/>
                      <w:szCs w:val="21"/>
                      <w:lang w:val="en-US" w:eastAsia="zh-CN"/>
                    </w:rPr>
                    <w:t>1</w:t>
                  </w:r>
                </w:p>
              </w:tc>
            </w:tr>
            <w:tr w14:paraId="0070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82EB19F">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2E01E527">
                  <w:pPr>
                    <w:pageBreakBefore w:val="0"/>
                    <w:wordWrap w:val="0"/>
                    <w:topLinePunct/>
                    <w:bidi w:val="0"/>
                    <w:spacing w:beforeAutospacing="0" w:afterAutospacing="0"/>
                    <w:jc w:val="center"/>
                    <w:rPr>
                      <w:color w:val="auto"/>
                      <w:sz w:val="21"/>
                      <w:szCs w:val="21"/>
                    </w:rPr>
                  </w:pPr>
                </w:p>
              </w:tc>
              <w:tc>
                <w:tcPr>
                  <w:tcW w:w="398" w:type="pct"/>
                  <w:vAlign w:val="center"/>
                </w:tcPr>
                <w:p w14:paraId="4F4C03D8">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喷漆</w:t>
                  </w:r>
                </w:p>
              </w:tc>
              <w:tc>
                <w:tcPr>
                  <w:tcW w:w="622" w:type="pct"/>
                  <w:vAlign w:val="center"/>
                </w:tcPr>
                <w:p w14:paraId="36848117">
                  <w:pPr>
                    <w:pageBreakBefore w:val="0"/>
                    <w:wordWrap w:val="0"/>
                    <w:topLinePunct/>
                    <w:bidi w:val="0"/>
                    <w:spacing w:beforeAutospacing="0" w:afterAutospacing="0"/>
                    <w:jc w:val="center"/>
                    <w:rPr>
                      <w:color w:val="auto"/>
                      <w:sz w:val="21"/>
                      <w:szCs w:val="21"/>
                    </w:rPr>
                  </w:pPr>
                  <w:r>
                    <w:rPr>
                      <w:color w:val="auto"/>
                      <w:sz w:val="21"/>
                      <w:szCs w:val="21"/>
                    </w:rPr>
                    <w:t>有机废气（VOCs、</w:t>
                  </w:r>
                  <w:r>
                    <w:rPr>
                      <w:rFonts w:hint="eastAsia"/>
                      <w:color w:val="auto"/>
                      <w:sz w:val="21"/>
                      <w:szCs w:val="21"/>
                      <w:lang w:val="en-US" w:eastAsia="zh-CN"/>
                    </w:rPr>
                    <w:t>苯系物、臭气浓度</w:t>
                  </w:r>
                  <w:r>
                    <w:rPr>
                      <w:color w:val="auto"/>
                      <w:sz w:val="21"/>
                      <w:szCs w:val="21"/>
                    </w:rPr>
                    <w:t>）</w:t>
                  </w:r>
                </w:p>
              </w:tc>
              <w:tc>
                <w:tcPr>
                  <w:tcW w:w="727" w:type="pct"/>
                  <w:vAlign w:val="center"/>
                </w:tcPr>
                <w:p w14:paraId="27582827">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3514FCF5">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90%</w:t>
                  </w:r>
                </w:p>
              </w:tc>
              <w:tc>
                <w:tcPr>
                  <w:tcW w:w="675" w:type="pct"/>
                  <w:vMerge w:val="continue"/>
                  <w:vAlign w:val="center"/>
                </w:tcPr>
                <w:p w14:paraId="1621E2CB">
                  <w:pPr>
                    <w:pageBreakBefore w:val="0"/>
                    <w:wordWrap w:val="0"/>
                    <w:topLinePunct/>
                    <w:bidi w:val="0"/>
                    <w:spacing w:beforeAutospacing="0" w:afterAutospacing="0"/>
                    <w:jc w:val="center"/>
                    <w:rPr>
                      <w:color w:val="auto"/>
                      <w:sz w:val="21"/>
                      <w:szCs w:val="21"/>
                    </w:rPr>
                  </w:pPr>
                </w:p>
              </w:tc>
              <w:tc>
                <w:tcPr>
                  <w:tcW w:w="370" w:type="pct"/>
                  <w:vAlign w:val="center"/>
                </w:tcPr>
                <w:p w14:paraId="2C4CAC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w:t>
                  </w:r>
                </w:p>
              </w:tc>
              <w:tc>
                <w:tcPr>
                  <w:tcW w:w="342" w:type="pct"/>
                  <w:vMerge w:val="continue"/>
                  <w:vAlign w:val="center"/>
                </w:tcPr>
                <w:p w14:paraId="2B739A78">
                  <w:pPr>
                    <w:pageBreakBefore w:val="0"/>
                    <w:wordWrap w:val="0"/>
                    <w:topLinePunct/>
                    <w:bidi w:val="0"/>
                    <w:spacing w:beforeAutospacing="0" w:afterAutospacing="0"/>
                    <w:jc w:val="center"/>
                    <w:rPr>
                      <w:rFonts w:eastAsiaTheme="minorEastAsia"/>
                      <w:color w:val="auto"/>
                      <w:sz w:val="21"/>
                      <w:szCs w:val="21"/>
                    </w:rPr>
                  </w:pPr>
                </w:p>
              </w:tc>
              <w:tc>
                <w:tcPr>
                  <w:tcW w:w="440" w:type="pct"/>
                  <w:vMerge w:val="continue"/>
                  <w:vAlign w:val="center"/>
                </w:tcPr>
                <w:p w14:paraId="26255E83">
                  <w:pPr>
                    <w:pageBreakBefore w:val="0"/>
                    <w:wordWrap w:val="0"/>
                    <w:topLinePunct/>
                    <w:bidi w:val="0"/>
                    <w:spacing w:beforeAutospacing="0" w:afterAutospacing="0"/>
                    <w:jc w:val="center"/>
                    <w:rPr>
                      <w:color w:val="auto"/>
                      <w:sz w:val="21"/>
                      <w:szCs w:val="21"/>
                    </w:rPr>
                  </w:pPr>
                </w:p>
              </w:tc>
            </w:tr>
            <w:tr w14:paraId="6C97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48DAAF98">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3D1B846D">
                  <w:pPr>
                    <w:pageBreakBefore w:val="0"/>
                    <w:wordWrap w:val="0"/>
                    <w:topLinePunct/>
                    <w:bidi w:val="0"/>
                    <w:spacing w:beforeAutospacing="0" w:afterAutospacing="0"/>
                    <w:jc w:val="center"/>
                    <w:rPr>
                      <w:color w:val="auto"/>
                      <w:sz w:val="21"/>
                      <w:szCs w:val="21"/>
                    </w:rPr>
                  </w:pPr>
                </w:p>
              </w:tc>
              <w:tc>
                <w:tcPr>
                  <w:tcW w:w="398" w:type="pct"/>
                  <w:vAlign w:val="center"/>
                </w:tcPr>
                <w:p w14:paraId="7369E5D0">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喷漆</w:t>
                  </w:r>
                </w:p>
              </w:tc>
              <w:tc>
                <w:tcPr>
                  <w:tcW w:w="622" w:type="pct"/>
                  <w:vAlign w:val="center"/>
                </w:tcPr>
                <w:p w14:paraId="7014E5F3">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漆雾（颗粒物）</w:t>
                  </w:r>
                </w:p>
              </w:tc>
              <w:tc>
                <w:tcPr>
                  <w:tcW w:w="727" w:type="pct"/>
                  <w:vAlign w:val="center"/>
                </w:tcPr>
                <w:p w14:paraId="1FA55E89">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43740B91">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90%</w:t>
                  </w:r>
                </w:p>
              </w:tc>
              <w:tc>
                <w:tcPr>
                  <w:tcW w:w="675" w:type="pct"/>
                  <w:vMerge w:val="continue"/>
                  <w:vAlign w:val="center"/>
                </w:tcPr>
                <w:p w14:paraId="679E7CB5">
                  <w:pPr>
                    <w:pageBreakBefore w:val="0"/>
                    <w:wordWrap w:val="0"/>
                    <w:topLinePunct/>
                    <w:bidi w:val="0"/>
                    <w:spacing w:beforeAutospacing="0" w:afterAutospacing="0"/>
                    <w:jc w:val="center"/>
                    <w:rPr>
                      <w:color w:val="auto"/>
                      <w:sz w:val="21"/>
                      <w:szCs w:val="21"/>
                    </w:rPr>
                  </w:pPr>
                </w:p>
              </w:tc>
              <w:tc>
                <w:tcPr>
                  <w:tcW w:w="370" w:type="pct"/>
                  <w:vAlign w:val="center"/>
                </w:tcPr>
                <w:p w14:paraId="3BF4B8AE">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99%</w:t>
                  </w:r>
                </w:p>
              </w:tc>
              <w:tc>
                <w:tcPr>
                  <w:tcW w:w="342" w:type="pct"/>
                  <w:vMerge w:val="continue"/>
                  <w:vAlign w:val="center"/>
                </w:tcPr>
                <w:p w14:paraId="3EF0013D">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6B5D281E">
                  <w:pPr>
                    <w:pageBreakBefore w:val="0"/>
                    <w:wordWrap w:val="0"/>
                    <w:topLinePunct/>
                    <w:bidi w:val="0"/>
                    <w:spacing w:beforeAutospacing="0" w:afterAutospacing="0"/>
                    <w:jc w:val="center"/>
                    <w:rPr>
                      <w:color w:val="auto"/>
                      <w:sz w:val="21"/>
                      <w:szCs w:val="21"/>
                    </w:rPr>
                  </w:pPr>
                </w:p>
              </w:tc>
            </w:tr>
            <w:tr w14:paraId="1D1D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07CEF7FB">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456EF9A9">
                  <w:pPr>
                    <w:pageBreakBefore w:val="0"/>
                    <w:wordWrap w:val="0"/>
                    <w:topLinePunct/>
                    <w:bidi w:val="0"/>
                    <w:spacing w:beforeAutospacing="0" w:afterAutospacing="0"/>
                    <w:jc w:val="center"/>
                    <w:rPr>
                      <w:color w:val="auto"/>
                      <w:sz w:val="21"/>
                      <w:szCs w:val="21"/>
                    </w:rPr>
                  </w:pPr>
                </w:p>
              </w:tc>
              <w:tc>
                <w:tcPr>
                  <w:tcW w:w="398" w:type="pct"/>
                  <w:vAlign w:val="center"/>
                </w:tcPr>
                <w:p w14:paraId="37DD5FB9">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喷枪清洗</w:t>
                  </w:r>
                </w:p>
              </w:tc>
              <w:tc>
                <w:tcPr>
                  <w:tcW w:w="622" w:type="pct"/>
                  <w:vAlign w:val="center"/>
                </w:tcPr>
                <w:p w14:paraId="6CD62CA3">
                  <w:pPr>
                    <w:pageBreakBefore w:val="0"/>
                    <w:wordWrap w:val="0"/>
                    <w:topLinePunct/>
                    <w:bidi w:val="0"/>
                    <w:spacing w:beforeAutospacing="0" w:afterAutospacing="0"/>
                    <w:jc w:val="center"/>
                    <w:rPr>
                      <w:color w:val="auto"/>
                      <w:sz w:val="21"/>
                      <w:szCs w:val="21"/>
                    </w:rPr>
                  </w:pPr>
                  <w:r>
                    <w:rPr>
                      <w:color w:val="auto"/>
                      <w:sz w:val="21"/>
                      <w:szCs w:val="21"/>
                    </w:rPr>
                    <w:t>有机废气</w:t>
                  </w:r>
                </w:p>
              </w:tc>
              <w:tc>
                <w:tcPr>
                  <w:tcW w:w="727" w:type="pct"/>
                  <w:vAlign w:val="center"/>
                </w:tcPr>
                <w:p w14:paraId="325D86F8">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2F680674">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w:t>
                  </w:r>
                </w:p>
              </w:tc>
              <w:tc>
                <w:tcPr>
                  <w:tcW w:w="675" w:type="pct"/>
                  <w:vMerge w:val="continue"/>
                  <w:vAlign w:val="center"/>
                </w:tcPr>
                <w:p w14:paraId="694CBBD9">
                  <w:pPr>
                    <w:pageBreakBefore w:val="0"/>
                    <w:wordWrap w:val="0"/>
                    <w:topLinePunct/>
                    <w:bidi w:val="0"/>
                    <w:spacing w:beforeAutospacing="0" w:afterAutospacing="0"/>
                    <w:jc w:val="center"/>
                    <w:rPr>
                      <w:color w:val="auto"/>
                      <w:sz w:val="21"/>
                      <w:szCs w:val="21"/>
                    </w:rPr>
                  </w:pPr>
                </w:p>
              </w:tc>
              <w:tc>
                <w:tcPr>
                  <w:tcW w:w="370" w:type="pct"/>
                  <w:vAlign w:val="center"/>
                </w:tcPr>
                <w:p w14:paraId="661F0B58">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784456CA">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52ED12C4">
                  <w:pPr>
                    <w:pageBreakBefore w:val="0"/>
                    <w:wordWrap w:val="0"/>
                    <w:topLinePunct/>
                    <w:bidi w:val="0"/>
                    <w:spacing w:beforeAutospacing="0" w:afterAutospacing="0"/>
                    <w:jc w:val="center"/>
                    <w:rPr>
                      <w:color w:val="auto"/>
                      <w:sz w:val="21"/>
                      <w:szCs w:val="21"/>
                    </w:rPr>
                  </w:pPr>
                </w:p>
              </w:tc>
            </w:tr>
            <w:tr w14:paraId="1B9D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2DDBC08B">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4#车间</w:t>
                  </w:r>
                </w:p>
              </w:tc>
              <w:tc>
                <w:tcPr>
                  <w:tcW w:w="428" w:type="pct"/>
                  <w:vMerge w:val="restart"/>
                  <w:vAlign w:val="center"/>
                </w:tcPr>
                <w:p w14:paraId="5B2266C5">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固化工序</w:t>
                  </w:r>
                </w:p>
              </w:tc>
              <w:tc>
                <w:tcPr>
                  <w:tcW w:w="398" w:type="pct"/>
                  <w:vAlign w:val="center"/>
                </w:tcPr>
                <w:p w14:paraId="62F73B3B">
                  <w:pPr>
                    <w:pageBreakBefore w:val="0"/>
                    <w:wordWrap w:val="0"/>
                    <w:topLinePunct/>
                    <w:bidi w:val="0"/>
                    <w:spacing w:beforeAutospacing="0" w:afterAutospacing="0"/>
                    <w:jc w:val="center"/>
                    <w:rPr>
                      <w:rFonts w:hint="eastAsia" w:eastAsiaTheme="minorEastAsia"/>
                      <w:color w:val="auto"/>
                      <w:sz w:val="21"/>
                      <w:szCs w:val="21"/>
                      <w:lang w:eastAsia="zh-CN"/>
                    </w:rPr>
                  </w:pPr>
                  <w:r>
                    <w:rPr>
                      <w:rFonts w:hint="eastAsia" w:eastAsiaTheme="minorEastAsia"/>
                      <w:color w:val="auto"/>
                      <w:sz w:val="21"/>
                      <w:szCs w:val="21"/>
                      <w:lang w:val="en-US" w:eastAsia="zh-CN"/>
                    </w:rPr>
                    <w:t>固化</w:t>
                  </w:r>
                </w:p>
              </w:tc>
              <w:tc>
                <w:tcPr>
                  <w:tcW w:w="622" w:type="pct"/>
                  <w:vAlign w:val="center"/>
                </w:tcPr>
                <w:p w14:paraId="60478C4B">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有机废气（VOCs、</w:t>
                  </w:r>
                  <w:r>
                    <w:rPr>
                      <w:rFonts w:hint="eastAsia"/>
                      <w:color w:val="auto"/>
                      <w:sz w:val="21"/>
                      <w:szCs w:val="21"/>
                      <w:lang w:val="en-US" w:eastAsia="zh-CN"/>
                    </w:rPr>
                    <w:t>苯系物</w:t>
                  </w:r>
                  <w:r>
                    <w:rPr>
                      <w:rFonts w:hint="eastAsia"/>
                      <w:color w:val="auto"/>
                      <w:sz w:val="21"/>
                      <w:szCs w:val="21"/>
                      <w:lang w:eastAsia="zh-CN"/>
                    </w:rPr>
                    <w:t>、</w:t>
                  </w:r>
                  <w:r>
                    <w:rPr>
                      <w:rFonts w:hint="eastAsia"/>
                      <w:color w:val="auto"/>
                      <w:sz w:val="21"/>
                      <w:szCs w:val="21"/>
                      <w:lang w:val="en-US" w:eastAsia="zh-CN"/>
                    </w:rPr>
                    <w:t>臭气浓度</w:t>
                  </w:r>
                  <w:r>
                    <w:rPr>
                      <w:color w:val="auto"/>
                      <w:sz w:val="21"/>
                      <w:szCs w:val="21"/>
                    </w:rPr>
                    <w:t>）</w:t>
                  </w:r>
                </w:p>
              </w:tc>
              <w:tc>
                <w:tcPr>
                  <w:tcW w:w="727" w:type="pct"/>
                  <w:vAlign w:val="center"/>
                </w:tcPr>
                <w:p w14:paraId="51DA0C33">
                  <w:pPr>
                    <w:pageBreakBefore w:val="0"/>
                    <w:wordWrap w:val="0"/>
                    <w:topLinePunct/>
                    <w:bidi w:val="0"/>
                    <w:spacing w:beforeAutospacing="0" w:afterAutospacing="0"/>
                    <w:jc w:val="center"/>
                    <w:rPr>
                      <w:color w:val="auto"/>
                      <w:sz w:val="21"/>
                      <w:szCs w:val="21"/>
                    </w:rPr>
                  </w:pPr>
                  <w:r>
                    <w:rPr>
                      <w:color w:val="auto"/>
                      <w:sz w:val="21"/>
                      <w:szCs w:val="21"/>
                    </w:rPr>
                    <w:t>密闭负压收集</w:t>
                  </w:r>
                </w:p>
              </w:tc>
              <w:tc>
                <w:tcPr>
                  <w:tcW w:w="539" w:type="pct"/>
                  <w:vAlign w:val="center"/>
                </w:tcPr>
                <w:p w14:paraId="16D595B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95%</w:t>
                  </w:r>
                </w:p>
              </w:tc>
              <w:tc>
                <w:tcPr>
                  <w:tcW w:w="675" w:type="pct"/>
                  <w:vMerge w:val="restart"/>
                  <w:vAlign w:val="center"/>
                </w:tcPr>
                <w:p w14:paraId="05FD7E8E">
                  <w:pPr>
                    <w:pageBreakBefore w:val="0"/>
                    <w:wordWrap w:val="0"/>
                    <w:topLinePunct/>
                    <w:bidi w:val="0"/>
                    <w:spacing w:beforeAutospacing="0" w:afterAutospacing="0"/>
                    <w:jc w:val="center"/>
                    <w:rPr>
                      <w:color w:val="auto"/>
                      <w:sz w:val="21"/>
                      <w:szCs w:val="21"/>
                    </w:rPr>
                  </w:pPr>
                  <w:r>
                    <w:rPr>
                      <w:color w:val="auto"/>
                      <w:sz w:val="21"/>
                      <w:szCs w:val="21"/>
                    </w:rPr>
                    <w:t>喷淋塔+干式过滤器+</w:t>
                  </w:r>
                  <w:r>
                    <w:rPr>
                      <w:rFonts w:hint="eastAsia"/>
                      <w:color w:val="auto"/>
                      <w:lang w:val="en-US" w:eastAsia="zh-CN"/>
                    </w:rPr>
                    <w:t>二级活性炭吸附</w:t>
                  </w:r>
                </w:p>
              </w:tc>
              <w:tc>
                <w:tcPr>
                  <w:tcW w:w="370" w:type="pct"/>
                  <w:vAlign w:val="center"/>
                </w:tcPr>
                <w:p w14:paraId="6B30C190">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80%</w:t>
                  </w:r>
                </w:p>
              </w:tc>
              <w:tc>
                <w:tcPr>
                  <w:tcW w:w="342" w:type="pct"/>
                  <w:vMerge w:val="restart"/>
                  <w:vAlign w:val="center"/>
                </w:tcPr>
                <w:p w14:paraId="34E9013D">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有组织</w:t>
                  </w:r>
                </w:p>
              </w:tc>
              <w:tc>
                <w:tcPr>
                  <w:tcW w:w="440" w:type="pct"/>
                  <w:vMerge w:val="restart"/>
                  <w:vAlign w:val="center"/>
                </w:tcPr>
                <w:p w14:paraId="00B65598">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DA00</w:t>
                  </w:r>
                  <w:r>
                    <w:rPr>
                      <w:rFonts w:hint="eastAsia"/>
                      <w:color w:val="auto"/>
                      <w:sz w:val="21"/>
                      <w:szCs w:val="21"/>
                      <w:lang w:val="en-US" w:eastAsia="zh-CN"/>
                    </w:rPr>
                    <w:t>2</w:t>
                  </w:r>
                </w:p>
              </w:tc>
            </w:tr>
            <w:tr w14:paraId="5248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E69F3E">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1B80390B">
                  <w:pPr>
                    <w:pageBreakBefore w:val="0"/>
                    <w:wordWrap w:val="0"/>
                    <w:topLinePunct/>
                    <w:bidi w:val="0"/>
                    <w:spacing w:beforeAutospacing="0" w:afterAutospacing="0"/>
                    <w:jc w:val="center"/>
                    <w:rPr>
                      <w:color w:val="auto"/>
                      <w:sz w:val="21"/>
                      <w:szCs w:val="21"/>
                    </w:rPr>
                  </w:pPr>
                </w:p>
              </w:tc>
              <w:tc>
                <w:tcPr>
                  <w:tcW w:w="398" w:type="pct"/>
                  <w:vAlign w:val="center"/>
                </w:tcPr>
                <w:p w14:paraId="056DFB0E">
                  <w:pPr>
                    <w:pageBreakBefore w:val="0"/>
                    <w:wordWrap w:val="0"/>
                    <w:topLinePunct/>
                    <w:bidi w:val="0"/>
                    <w:spacing w:beforeAutospacing="0" w:afterAutospacing="0"/>
                    <w:jc w:val="center"/>
                    <w:rPr>
                      <w:color w:val="auto"/>
                      <w:sz w:val="21"/>
                      <w:szCs w:val="21"/>
                    </w:rPr>
                  </w:pPr>
                  <w:r>
                    <w:rPr>
                      <w:color w:val="auto"/>
                      <w:sz w:val="21"/>
                      <w:szCs w:val="21"/>
                    </w:rPr>
                    <w:t>天然气燃烧</w:t>
                  </w:r>
                </w:p>
              </w:tc>
              <w:tc>
                <w:tcPr>
                  <w:tcW w:w="622" w:type="pct"/>
                  <w:vAlign w:val="center"/>
                </w:tcPr>
                <w:p w14:paraId="2BCC69E2">
                  <w:pPr>
                    <w:pageBreakBefore w:val="0"/>
                    <w:wordWrap w:val="0"/>
                    <w:topLinePunct/>
                    <w:bidi w:val="0"/>
                    <w:spacing w:beforeAutospacing="0" w:afterAutospacing="0"/>
                    <w:jc w:val="center"/>
                    <w:rPr>
                      <w:color w:val="auto"/>
                      <w:sz w:val="21"/>
                      <w:szCs w:val="21"/>
                    </w:rPr>
                  </w:pPr>
                  <w:r>
                    <w:rPr>
                      <w:color w:val="auto"/>
                      <w:sz w:val="21"/>
                      <w:szCs w:val="21"/>
                    </w:rPr>
                    <w:t>二氧化硫、氮氧化物、烟尘</w:t>
                  </w:r>
                </w:p>
              </w:tc>
              <w:tc>
                <w:tcPr>
                  <w:tcW w:w="727" w:type="pct"/>
                  <w:vAlign w:val="center"/>
                </w:tcPr>
                <w:p w14:paraId="7DABC373">
                  <w:pPr>
                    <w:pageBreakBefore w:val="0"/>
                    <w:wordWrap w:val="0"/>
                    <w:topLinePunct/>
                    <w:bidi w:val="0"/>
                    <w:spacing w:beforeAutospacing="0" w:afterAutospacing="0"/>
                    <w:jc w:val="center"/>
                    <w:rPr>
                      <w:color w:val="auto"/>
                      <w:sz w:val="21"/>
                      <w:szCs w:val="21"/>
                    </w:rPr>
                  </w:pPr>
                  <w:r>
                    <w:rPr>
                      <w:color w:val="auto"/>
                      <w:kern w:val="2"/>
                      <w:sz w:val="21"/>
                      <w:szCs w:val="21"/>
                    </w:rPr>
                    <w:t>直连排风管</w:t>
                  </w:r>
                </w:p>
              </w:tc>
              <w:tc>
                <w:tcPr>
                  <w:tcW w:w="539" w:type="pct"/>
                  <w:vAlign w:val="center"/>
                </w:tcPr>
                <w:p w14:paraId="3EE086E2">
                  <w:pPr>
                    <w:pageBreakBefore w:val="0"/>
                    <w:wordWrap w:val="0"/>
                    <w:topLinePunct/>
                    <w:bidi w:val="0"/>
                    <w:spacing w:beforeAutospacing="0" w:afterAutospacing="0"/>
                    <w:jc w:val="center"/>
                    <w:rPr>
                      <w:rFonts w:hint="default" w:eastAsia="宋体"/>
                      <w:color w:val="auto"/>
                      <w:kern w:val="2"/>
                      <w:sz w:val="21"/>
                      <w:szCs w:val="21"/>
                      <w:lang w:val="en-US" w:eastAsia="zh-CN"/>
                    </w:rPr>
                  </w:pPr>
                  <w:r>
                    <w:rPr>
                      <w:rFonts w:hint="eastAsia"/>
                      <w:color w:val="auto"/>
                      <w:kern w:val="2"/>
                      <w:sz w:val="21"/>
                      <w:szCs w:val="21"/>
                      <w:lang w:val="en-US" w:eastAsia="zh-CN"/>
                    </w:rPr>
                    <w:t>100%</w:t>
                  </w:r>
                </w:p>
              </w:tc>
              <w:tc>
                <w:tcPr>
                  <w:tcW w:w="675" w:type="pct"/>
                  <w:vMerge w:val="continue"/>
                  <w:vAlign w:val="center"/>
                </w:tcPr>
                <w:p w14:paraId="070C1528">
                  <w:pPr>
                    <w:pageBreakBefore w:val="0"/>
                    <w:wordWrap w:val="0"/>
                    <w:topLinePunct/>
                    <w:bidi w:val="0"/>
                    <w:spacing w:beforeAutospacing="0" w:afterAutospacing="0"/>
                    <w:jc w:val="center"/>
                    <w:rPr>
                      <w:color w:val="auto"/>
                      <w:sz w:val="21"/>
                      <w:szCs w:val="21"/>
                    </w:rPr>
                  </w:pPr>
                </w:p>
              </w:tc>
              <w:tc>
                <w:tcPr>
                  <w:tcW w:w="370" w:type="pct"/>
                  <w:vAlign w:val="center"/>
                </w:tcPr>
                <w:p w14:paraId="52A1EB99">
                  <w:pPr>
                    <w:pageBreakBefore w:val="0"/>
                    <w:wordWrap w:val="0"/>
                    <w:topLinePunct/>
                    <w:bidi w:val="0"/>
                    <w:spacing w:beforeAutospacing="0" w:afterAutospacing="0"/>
                    <w:jc w:val="center"/>
                    <w:rPr>
                      <w:rFonts w:hint="eastAsia" w:eastAsia="宋体"/>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48D5406D">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3AC277BC">
                  <w:pPr>
                    <w:pageBreakBefore w:val="0"/>
                    <w:wordWrap w:val="0"/>
                    <w:topLinePunct/>
                    <w:bidi w:val="0"/>
                    <w:spacing w:beforeAutospacing="0" w:afterAutospacing="0"/>
                    <w:jc w:val="center"/>
                    <w:rPr>
                      <w:color w:val="auto"/>
                      <w:sz w:val="21"/>
                      <w:szCs w:val="21"/>
                    </w:rPr>
                  </w:pPr>
                </w:p>
              </w:tc>
            </w:tr>
            <w:tr w14:paraId="4182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6E2DEC12">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5#车间</w:t>
                  </w:r>
                </w:p>
              </w:tc>
              <w:tc>
                <w:tcPr>
                  <w:tcW w:w="428" w:type="pct"/>
                  <w:vMerge w:val="restart"/>
                  <w:vAlign w:val="center"/>
                </w:tcPr>
                <w:p w14:paraId="210157E0">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前处理工序</w:t>
                  </w:r>
                </w:p>
              </w:tc>
              <w:tc>
                <w:tcPr>
                  <w:tcW w:w="398" w:type="pct"/>
                  <w:vMerge w:val="restart"/>
                  <w:vAlign w:val="center"/>
                </w:tcPr>
                <w:p w14:paraId="7AB750E9">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表面预处理废气</w:t>
                  </w:r>
                </w:p>
              </w:tc>
              <w:tc>
                <w:tcPr>
                  <w:tcW w:w="622" w:type="pct"/>
                  <w:vAlign w:val="center"/>
                </w:tcPr>
                <w:p w14:paraId="3F96520B">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氟化物</w:t>
                  </w:r>
                </w:p>
              </w:tc>
              <w:tc>
                <w:tcPr>
                  <w:tcW w:w="727" w:type="pct"/>
                  <w:vAlign w:val="center"/>
                </w:tcPr>
                <w:p w14:paraId="4100A767">
                  <w:pPr>
                    <w:pageBreakBefore w:val="0"/>
                    <w:wordWrap w:val="0"/>
                    <w:topLinePunct/>
                    <w:bidi w:val="0"/>
                    <w:spacing w:beforeAutospacing="0" w:afterAutospacing="0"/>
                    <w:jc w:val="center"/>
                    <w:rPr>
                      <w:color w:val="auto"/>
                      <w:kern w:val="2"/>
                      <w:sz w:val="21"/>
                      <w:szCs w:val="21"/>
                    </w:rPr>
                  </w:pPr>
                  <w:r>
                    <w:rPr>
                      <w:color w:val="auto"/>
                      <w:sz w:val="21"/>
                      <w:szCs w:val="21"/>
                    </w:rPr>
                    <w:t>密闭负压收集</w:t>
                  </w:r>
                </w:p>
              </w:tc>
              <w:tc>
                <w:tcPr>
                  <w:tcW w:w="539" w:type="pct"/>
                  <w:vAlign w:val="center"/>
                </w:tcPr>
                <w:p w14:paraId="370D3959">
                  <w:pPr>
                    <w:pageBreakBefore w:val="0"/>
                    <w:wordWrap w:val="0"/>
                    <w:topLinePunct/>
                    <w:bidi w:val="0"/>
                    <w:spacing w:beforeAutospacing="0" w:afterAutospacing="0"/>
                    <w:jc w:val="center"/>
                    <w:rPr>
                      <w:rFonts w:hint="eastAsia"/>
                      <w:color w:val="auto"/>
                      <w:kern w:val="2"/>
                      <w:sz w:val="21"/>
                      <w:szCs w:val="21"/>
                      <w:lang w:val="en-US" w:eastAsia="zh-CN"/>
                    </w:rPr>
                  </w:pPr>
                  <w:r>
                    <w:rPr>
                      <w:rFonts w:hint="eastAsia"/>
                      <w:color w:val="auto"/>
                      <w:sz w:val="21"/>
                      <w:szCs w:val="21"/>
                      <w:lang w:val="en-US" w:eastAsia="zh-CN"/>
                    </w:rPr>
                    <w:t>95%</w:t>
                  </w:r>
                </w:p>
              </w:tc>
              <w:tc>
                <w:tcPr>
                  <w:tcW w:w="675" w:type="pct"/>
                  <w:vMerge w:val="restart"/>
                  <w:vAlign w:val="center"/>
                </w:tcPr>
                <w:p w14:paraId="6F42554A">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碱液喷淋</w:t>
                  </w:r>
                </w:p>
              </w:tc>
              <w:tc>
                <w:tcPr>
                  <w:tcW w:w="370" w:type="pct"/>
                  <w:vAlign w:val="center"/>
                </w:tcPr>
                <w:p w14:paraId="30E3862F">
                  <w:pPr>
                    <w:pageBreakBefore w:val="0"/>
                    <w:wordWrap w:val="0"/>
                    <w:topLinePunct/>
                    <w:bidi w:val="0"/>
                    <w:spacing w:beforeAutospacing="0" w:afterAutospacing="0"/>
                    <w:jc w:val="center"/>
                    <w:rPr>
                      <w:rFonts w:hint="default"/>
                      <w:color w:val="auto"/>
                      <w:sz w:val="21"/>
                      <w:szCs w:val="21"/>
                      <w:lang w:val="en-US" w:eastAsia="zh-CN"/>
                    </w:rPr>
                  </w:pPr>
                  <w:r>
                    <w:rPr>
                      <w:rFonts w:hint="eastAsia"/>
                      <w:color w:val="auto"/>
                      <w:sz w:val="21"/>
                      <w:szCs w:val="21"/>
                      <w:lang w:val="en-US" w:eastAsia="zh-CN"/>
                    </w:rPr>
                    <w:t>85%</w:t>
                  </w:r>
                </w:p>
              </w:tc>
              <w:tc>
                <w:tcPr>
                  <w:tcW w:w="342" w:type="pct"/>
                  <w:vMerge w:val="restart"/>
                  <w:vAlign w:val="center"/>
                </w:tcPr>
                <w:p w14:paraId="3C045F7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有组织</w:t>
                  </w:r>
                </w:p>
              </w:tc>
              <w:tc>
                <w:tcPr>
                  <w:tcW w:w="440" w:type="pct"/>
                  <w:vMerge w:val="restart"/>
                  <w:vAlign w:val="center"/>
                </w:tcPr>
                <w:p w14:paraId="0D3E365F">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DA003</w:t>
                  </w:r>
                </w:p>
              </w:tc>
            </w:tr>
            <w:tr w14:paraId="30E9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1D13638A">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1033D406">
                  <w:pPr>
                    <w:pageBreakBefore w:val="0"/>
                    <w:wordWrap w:val="0"/>
                    <w:topLinePunct/>
                    <w:bidi w:val="0"/>
                    <w:spacing w:beforeAutospacing="0" w:afterAutospacing="0"/>
                    <w:jc w:val="center"/>
                    <w:rPr>
                      <w:rFonts w:hint="eastAsia"/>
                      <w:color w:val="auto"/>
                      <w:sz w:val="21"/>
                      <w:szCs w:val="21"/>
                      <w:lang w:val="en-US" w:eastAsia="zh-CN"/>
                    </w:rPr>
                  </w:pPr>
                </w:p>
              </w:tc>
              <w:tc>
                <w:tcPr>
                  <w:tcW w:w="398" w:type="pct"/>
                  <w:vMerge w:val="continue"/>
                  <w:vAlign w:val="center"/>
                </w:tcPr>
                <w:p w14:paraId="18765B8B">
                  <w:pPr>
                    <w:pageBreakBefore w:val="0"/>
                    <w:wordWrap w:val="0"/>
                    <w:topLinePunct/>
                    <w:bidi w:val="0"/>
                    <w:spacing w:beforeAutospacing="0" w:afterAutospacing="0"/>
                    <w:jc w:val="center"/>
                    <w:rPr>
                      <w:rFonts w:hint="default"/>
                      <w:color w:val="auto"/>
                      <w:sz w:val="21"/>
                      <w:szCs w:val="21"/>
                      <w:lang w:val="en-US" w:eastAsia="zh-CN"/>
                    </w:rPr>
                  </w:pPr>
                </w:p>
              </w:tc>
              <w:tc>
                <w:tcPr>
                  <w:tcW w:w="622" w:type="pct"/>
                  <w:vAlign w:val="center"/>
                </w:tcPr>
                <w:p w14:paraId="52638EA2">
                  <w:pPr>
                    <w:pageBreakBefore w:val="0"/>
                    <w:wordWrap w:val="0"/>
                    <w:topLinePunct/>
                    <w:bidi w:val="0"/>
                    <w:spacing w:beforeAutospacing="0" w:afterAutospacing="0"/>
                    <w:jc w:val="center"/>
                    <w:rPr>
                      <w:rFonts w:hint="eastAsia" w:eastAsia="宋体"/>
                      <w:color w:val="auto"/>
                      <w:sz w:val="21"/>
                      <w:szCs w:val="21"/>
                      <w:lang w:val="en-US" w:eastAsia="zh-CN"/>
                    </w:rPr>
                  </w:pPr>
                  <w:r>
                    <w:rPr>
                      <w:color w:val="auto"/>
                      <w:sz w:val="21"/>
                      <w:szCs w:val="21"/>
                    </w:rPr>
                    <w:t>二氧化硫、氮氧化物、烟尘</w:t>
                  </w:r>
                </w:p>
              </w:tc>
              <w:tc>
                <w:tcPr>
                  <w:tcW w:w="727" w:type="pct"/>
                  <w:vAlign w:val="center"/>
                </w:tcPr>
                <w:p w14:paraId="32AE1C76">
                  <w:pPr>
                    <w:pageBreakBefore w:val="0"/>
                    <w:wordWrap w:val="0"/>
                    <w:topLinePunct/>
                    <w:bidi w:val="0"/>
                    <w:spacing w:beforeAutospacing="0" w:afterAutospacing="0"/>
                    <w:jc w:val="center"/>
                    <w:rPr>
                      <w:color w:val="auto"/>
                      <w:kern w:val="2"/>
                      <w:sz w:val="21"/>
                      <w:szCs w:val="21"/>
                    </w:rPr>
                  </w:pPr>
                  <w:r>
                    <w:rPr>
                      <w:color w:val="auto"/>
                      <w:kern w:val="2"/>
                      <w:sz w:val="21"/>
                      <w:szCs w:val="21"/>
                    </w:rPr>
                    <w:t>直连排风管</w:t>
                  </w:r>
                </w:p>
              </w:tc>
              <w:tc>
                <w:tcPr>
                  <w:tcW w:w="539" w:type="pct"/>
                  <w:vAlign w:val="center"/>
                </w:tcPr>
                <w:p w14:paraId="1EFA1ABA">
                  <w:pPr>
                    <w:pageBreakBefore w:val="0"/>
                    <w:wordWrap w:val="0"/>
                    <w:topLinePunct/>
                    <w:bidi w:val="0"/>
                    <w:spacing w:beforeAutospacing="0" w:afterAutospacing="0"/>
                    <w:jc w:val="center"/>
                    <w:rPr>
                      <w:rFonts w:hint="eastAsia"/>
                      <w:color w:val="auto"/>
                      <w:kern w:val="2"/>
                      <w:sz w:val="21"/>
                      <w:szCs w:val="21"/>
                      <w:lang w:val="en-US" w:eastAsia="zh-CN"/>
                    </w:rPr>
                  </w:pPr>
                  <w:r>
                    <w:rPr>
                      <w:rFonts w:hint="eastAsia"/>
                      <w:color w:val="auto"/>
                      <w:kern w:val="2"/>
                      <w:sz w:val="21"/>
                      <w:szCs w:val="21"/>
                      <w:lang w:val="en-US" w:eastAsia="zh-CN"/>
                    </w:rPr>
                    <w:t>100%</w:t>
                  </w:r>
                </w:p>
              </w:tc>
              <w:tc>
                <w:tcPr>
                  <w:tcW w:w="675" w:type="pct"/>
                  <w:vMerge w:val="continue"/>
                  <w:vAlign w:val="center"/>
                </w:tcPr>
                <w:p w14:paraId="7E317F8E">
                  <w:pPr>
                    <w:pageBreakBefore w:val="0"/>
                    <w:wordWrap w:val="0"/>
                    <w:topLinePunct/>
                    <w:bidi w:val="0"/>
                    <w:spacing w:beforeAutospacing="0" w:afterAutospacing="0"/>
                    <w:jc w:val="center"/>
                    <w:rPr>
                      <w:color w:val="auto"/>
                      <w:sz w:val="21"/>
                      <w:szCs w:val="21"/>
                    </w:rPr>
                  </w:pPr>
                </w:p>
              </w:tc>
              <w:tc>
                <w:tcPr>
                  <w:tcW w:w="370" w:type="pct"/>
                  <w:vAlign w:val="center"/>
                </w:tcPr>
                <w:p w14:paraId="118662C6">
                  <w:pPr>
                    <w:pageBreakBefore w:val="0"/>
                    <w:wordWrap w:val="0"/>
                    <w:topLinePunct/>
                    <w:bidi w:val="0"/>
                    <w:spacing w:beforeAutospacing="0" w:afterAutospacing="0"/>
                    <w:jc w:val="center"/>
                    <w:rPr>
                      <w:rFonts w:hint="default"/>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683EFD67">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6E13CC93">
                  <w:pPr>
                    <w:pageBreakBefore w:val="0"/>
                    <w:wordWrap w:val="0"/>
                    <w:topLinePunct/>
                    <w:bidi w:val="0"/>
                    <w:spacing w:beforeAutospacing="0" w:afterAutospacing="0"/>
                    <w:jc w:val="center"/>
                    <w:rPr>
                      <w:color w:val="auto"/>
                      <w:sz w:val="21"/>
                      <w:szCs w:val="21"/>
                    </w:rPr>
                  </w:pPr>
                </w:p>
              </w:tc>
            </w:tr>
          </w:tbl>
          <w:p w14:paraId="3A9AB25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2</w:t>
            </w:r>
            <w:r>
              <w:rPr>
                <w:rFonts w:hint="eastAsia" w:ascii="Times New Roman" w:hAnsi="Times New Roman" w:cs="Times New Roman"/>
                <w:b/>
                <w:bCs/>
                <w:color w:val="auto"/>
                <w:sz w:val="24"/>
                <w:szCs w:val="24"/>
                <w:highlight w:val="none"/>
                <w:lang w:val="en-US" w:eastAsia="zh-CN"/>
              </w:rPr>
              <w:t xml:space="preserve">.8 </w:t>
            </w:r>
            <w:r>
              <w:rPr>
                <w:rFonts w:hint="default" w:ascii="Times New Roman" w:hAnsi="Times New Roman" w:cs="Times New Roman"/>
                <w:b/>
                <w:bCs/>
                <w:color w:val="auto"/>
                <w:sz w:val="24"/>
                <w:szCs w:val="24"/>
                <w:highlight w:val="none"/>
                <w:lang w:val="en-US" w:eastAsia="zh-CN"/>
              </w:rPr>
              <w:t>污水处理站恶臭</w:t>
            </w:r>
          </w:p>
          <w:p w14:paraId="62E28C9B">
            <w:pPr>
              <w:pStyle w:val="158"/>
              <w:keepNext w:val="0"/>
              <w:keepLines w:val="0"/>
              <w:suppressLineNumbers w:val="0"/>
              <w:snapToGrid/>
              <w:spacing w:before="0" w:beforeAutospacing="0" w:after="0" w:afterAutospacing="0" w:line="360" w:lineRule="auto"/>
              <w:ind w:left="0" w:right="0" w:firstLine="480"/>
              <w:outlineLvl w:val="9"/>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w:t>污水处理站废水处理产生的废气主要为硫化氢、氨、臭气浓度</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highlight w:val="none"/>
                <w:lang w:val="en-US" w:eastAsia="zh-CN"/>
              </w:rPr>
              <w:t>酸雾</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highlight w:val="none"/>
                <w:lang w:val="en-US" w:eastAsia="zh-CN"/>
              </w:rPr>
              <w:t>其中酸雾来源于pH调整剂（70%硫酸）的使用，由于其储存于密闭的容器中，非取用状态时加盖、封口，保持密闭，项目仅为调节废水pH，不存在酸洗等过程</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pH调整剂（70%硫酸）在常温及稀释状态下几乎不挥发，且储存容器密闭，因此不考虑其酸雾挥发对周围环境的影响，本项目忽略不计</w:t>
            </w:r>
            <w:r>
              <w:rPr>
                <w:rFonts w:hint="eastAsia" w:cs="Times New Roman"/>
                <w:color w:val="auto"/>
                <w:highlight w:val="none"/>
                <w:lang w:val="en-US" w:eastAsia="zh-CN"/>
              </w:rPr>
              <w:t>，</w:t>
            </w:r>
            <w:r>
              <w:rPr>
                <w:rFonts w:hint="default" w:ascii="Times New Roman" w:hAnsi="Times New Roman" w:cs="Times New Roman"/>
                <w:color w:val="auto"/>
                <w:sz w:val="24"/>
                <w:szCs w:val="24"/>
                <w:highlight w:val="none"/>
              </w:rPr>
              <w:t>不作定量分析，污水处理站采取加盖密闭、加强通风措施后无组织排放，经处理后预计能够满足《恶臭污染物排放标准》（GB14554-1993）表1恶臭污染物新扩改建厂界标准值二级标准，生产异味对周边环境的影响不大。</w:t>
            </w:r>
          </w:p>
          <w:p w14:paraId="7661A0DD">
            <w:pPr>
              <w:widowControl w:val="0"/>
              <w:kinsoku/>
              <w:autoSpaceDE/>
              <w:autoSpaceDN/>
              <w:adjustRightInd/>
              <w:snapToGrid/>
              <w:spacing w:line="360" w:lineRule="auto"/>
              <w:ind w:firstLine="470" w:firstLineChars="200"/>
              <w:jc w:val="both"/>
              <w:textAlignment w:val="auto"/>
              <w:rPr>
                <w:rFonts w:hint="default" w:ascii="Times New Roman" w:hAnsi="Times New Roman" w:cs="Times New Roman"/>
                <w:color w:val="auto"/>
                <w:sz w:val="24"/>
                <w:szCs w:val="24"/>
                <w:highlight w:val="none"/>
              </w:rPr>
            </w:pPr>
            <w:r>
              <w:rPr>
                <w:rFonts w:hint="eastAsia" w:cs="Times New Roman"/>
                <w:b/>
                <w:bCs/>
                <w:color w:val="auto"/>
                <w:spacing w:val="-3"/>
                <w:sz w:val="24"/>
                <w:szCs w:val="24"/>
                <w:highlight w:val="none"/>
                <w:lang w:val="en-US" w:eastAsia="zh-CN"/>
              </w:rPr>
              <w:t>1</w:t>
            </w:r>
            <w:r>
              <w:rPr>
                <w:rFonts w:hint="default" w:ascii="Times New Roman" w:hAnsi="Times New Roman" w:cs="Times New Roman"/>
                <w:b/>
                <w:bCs/>
                <w:color w:val="auto"/>
                <w:spacing w:val="-3"/>
                <w:sz w:val="24"/>
                <w:szCs w:val="24"/>
                <w:highlight w:val="none"/>
                <w:lang w:val="en-US" w:eastAsia="zh-CN"/>
              </w:rPr>
              <w:t>.</w:t>
            </w:r>
            <w:r>
              <w:rPr>
                <w:rFonts w:hint="eastAsia" w:cs="Times New Roman"/>
                <w:b/>
                <w:bCs/>
                <w:color w:val="auto"/>
                <w:spacing w:val="-3"/>
                <w:sz w:val="24"/>
                <w:szCs w:val="24"/>
                <w:highlight w:val="none"/>
                <w:lang w:val="en-US" w:eastAsia="zh-CN"/>
              </w:rPr>
              <w:t>2</w:t>
            </w:r>
            <w:r>
              <w:rPr>
                <w:rFonts w:hint="default" w:ascii="Times New Roman" w:hAnsi="Times New Roman" w:cs="Times New Roman"/>
                <w:b/>
                <w:bCs/>
                <w:color w:val="auto"/>
                <w:spacing w:val="-3"/>
                <w:sz w:val="24"/>
                <w:szCs w:val="24"/>
                <w:highlight w:val="none"/>
                <w:lang w:val="en-US" w:eastAsia="zh-CN"/>
              </w:rPr>
              <w:t>.</w:t>
            </w:r>
            <w:r>
              <w:rPr>
                <w:rFonts w:hint="eastAsia" w:ascii="Times New Roman" w:hAnsi="Times New Roman" w:cs="Times New Roman"/>
                <w:b/>
                <w:bCs/>
                <w:color w:val="auto"/>
                <w:spacing w:val="-3"/>
                <w:sz w:val="24"/>
                <w:szCs w:val="24"/>
                <w:highlight w:val="none"/>
                <w:lang w:val="en-US" w:eastAsia="zh-CN"/>
              </w:rPr>
              <w:t>9</w:t>
            </w:r>
            <w:r>
              <w:rPr>
                <w:rFonts w:hint="default" w:ascii="Times New Roman" w:hAnsi="Times New Roman" w:cs="Times New Roman"/>
                <w:b/>
                <w:bCs/>
                <w:color w:val="auto"/>
                <w:spacing w:val="-3"/>
                <w:sz w:val="24"/>
                <w:szCs w:val="24"/>
                <w:highlight w:val="none"/>
              </w:rPr>
              <w:t>厨房油烟废气</w:t>
            </w:r>
          </w:p>
          <w:p w14:paraId="1E72099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本项目拟设厨房灶炉</w:t>
            </w:r>
            <w:r>
              <w:rPr>
                <w:rFonts w:hint="default" w:ascii="Times New Roman" w:hAnsi="Times New Roman" w:eastAsia="宋体" w:cs="Times New Roman"/>
                <w:snapToGrid/>
                <w:color w:val="auto"/>
                <w:kern w:val="0"/>
                <w:sz w:val="24"/>
                <w:szCs w:val="24"/>
                <w:highlight w:val="none"/>
                <w:lang w:val="en-US" w:eastAsia="zh-CN"/>
              </w:rPr>
              <w:t>3</w:t>
            </w:r>
            <w:r>
              <w:rPr>
                <w:rFonts w:hint="default" w:ascii="Times New Roman" w:hAnsi="Times New Roman" w:eastAsia="宋体" w:cs="Times New Roman"/>
                <w:snapToGrid/>
                <w:color w:val="auto"/>
                <w:kern w:val="0"/>
                <w:sz w:val="24"/>
                <w:szCs w:val="24"/>
                <w:highlight w:val="none"/>
                <w:lang w:eastAsia="zh-CN"/>
              </w:rPr>
              <w:t>个，属于</w:t>
            </w:r>
            <w:r>
              <w:rPr>
                <w:rFonts w:hint="default" w:ascii="Times New Roman" w:hAnsi="Times New Roman" w:eastAsia="宋体" w:cs="Times New Roman"/>
                <w:snapToGrid/>
                <w:color w:val="auto"/>
                <w:kern w:val="0"/>
                <w:sz w:val="24"/>
                <w:szCs w:val="24"/>
                <w:highlight w:val="none"/>
                <w:lang w:val="en-US" w:eastAsia="zh-CN"/>
              </w:rPr>
              <w:t>中</w:t>
            </w:r>
            <w:r>
              <w:rPr>
                <w:rFonts w:hint="default" w:ascii="Times New Roman" w:hAnsi="Times New Roman" w:eastAsia="宋体" w:cs="Times New Roman"/>
                <w:snapToGrid/>
                <w:color w:val="auto"/>
                <w:kern w:val="0"/>
                <w:sz w:val="24"/>
                <w:szCs w:val="24"/>
                <w:highlight w:val="none"/>
                <w:lang w:eastAsia="zh-CN"/>
              </w:rPr>
              <w:t>型规模，以液化石油气为能源，是清洁能源，燃烧过程中产生的大气污染物较少，对环境影响不大。</w:t>
            </w:r>
            <w:r>
              <w:rPr>
                <w:rFonts w:hint="default" w:ascii="Times New Roman" w:hAnsi="Times New Roman" w:eastAsia="宋体" w:cs="Times New Roman"/>
                <w:color w:val="auto"/>
                <w:sz w:val="24"/>
                <w:szCs w:val="24"/>
                <w:highlight w:val="none"/>
              </w:rPr>
              <w:t>本项目拟雇佣员工1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0人，</w:t>
            </w:r>
            <w:r>
              <w:rPr>
                <w:rFonts w:hint="default" w:ascii="Times New Roman" w:hAnsi="Times New Roman" w:eastAsia="宋体" w:cs="Times New Roman"/>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在厂区内就餐。</w:t>
            </w:r>
            <w:r>
              <w:rPr>
                <w:rFonts w:hint="default" w:ascii="Times New Roman" w:hAnsi="Times New Roman" w:eastAsia="宋体" w:cs="Times New Roman"/>
                <w:snapToGrid/>
                <w:color w:val="auto"/>
                <w:kern w:val="0"/>
                <w:sz w:val="24"/>
                <w:szCs w:val="24"/>
                <w:highlight w:val="none"/>
                <w:lang w:eastAsia="zh-CN"/>
              </w:rPr>
              <w:t>参考《中国居民膳食指南（2016版）》中提出“中国居民每天食用油摄入量不宜超过25g或30g”，本项目食用油消耗系数按30g/人·d计算，即食用油消耗量为</w:t>
            </w:r>
            <w:r>
              <w:rPr>
                <w:rFonts w:hint="default" w:ascii="Times New Roman" w:hAnsi="Times New Roman" w:eastAsia="宋体" w:cs="Times New Roman"/>
                <w:snapToGrid/>
                <w:color w:val="auto"/>
                <w:kern w:val="0"/>
                <w:sz w:val="24"/>
                <w:szCs w:val="24"/>
                <w:highlight w:val="none"/>
                <w:lang w:val="en-US" w:eastAsia="zh-CN"/>
              </w:rPr>
              <w:t>1.012</w:t>
            </w:r>
            <w:r>
              <w:rPr>
                <w:rFonts w:hint="default" w:ascii="Times New Roman" w:hAnsi="Times New Roman" w:eastAsia="宋体" w:cs="Times New Roman"/>
                <w:snapToGrid/>
                <w:color w:val="auto"/>
                <w:kern w:val="0"/>
                <w:sz w:val="24"/>
                <w:szCs w:val="24"/>
                <w:highlight w:val="none"/>
                <w:lang w:eastAsia="zh-CN"/>
              </w:rPr>
              <w:t>t/a。炒菜时油烟挥发量占总耗油量2%～4%之间，本评价取4%，则油烟产生量为0.0</w:t>
            </w:r>
            <w:r>
              <w:rPr>
                <w:rFonts w:hint="default" w:ascii="Times New Roman" w:hAnsi="Times New Roman" w:eastAsia="宋体" w:cs="Times New Roman"/>
                <w:snapToGrid/>
                <w:color w:val="auto"/>
                <w:kern w:val="0"/>
                <w:sz w:val="24"/>
                <w:szCs w:val="24"/>
                <w:highlight w:val="none"/>
                <w:lang w:val="en-US" w:eastAsia="zh-CN"/>
              </w:rPr>
              <w:t>40</w:t>
            </w:r>
            <w:r>
              <w:rPr>
                <w:rFonts w:hint="default" w:ascii="Times New Roman" w:hAnsi="Times New Roman" w:eastAsia="宋体" w:cs="Times New Roman"/>
                <w:snapToGrid/>
                <w:color w:val="auto"/>
                <w:kern w:val="0"/>
                <w:sz w:val="24"/>
                <w:szCs w:val="24"/>
                <w:highlight w:val="none"/>
                <w:lang w:eastAsia="zh-CN"/>
              </w:rPr>
              <w:t>t/a，</w:t>
            </w:r>
            <w:r>
              <w:rPr>
                <w:rFonts w:hint="default" w:ascii="Times New Roman" w:hAnsi="Times New Roman" w:eastAsia="宋体" w:cs="Times New Roman"/>
                <w:color w:val="auto"/>
                <w:sz w:val="24"/>
                <w:szCs w:val="24"/>
                <w:highlight w:val="none"/>
              </w:rPr>
              <w:t>开炉时间按4h/d计，</w:t>
            </w:r>
            <w:r>
              <w:rPr>
                <w:rFonts w:hint="default" w:ascii="Times New Roman" w:hAnsi="Times New Roman" w:eastAsia="宋体" w:cs="Times New Roman"/>
                <w:snapToGrid/>
                <w:color w:val="auto"/>
                <w:kern w:val="0"/>
                <w:sz w:val="24"/>
                <w:szCs w:val="24"/>
                <w:highlight w:val="none"/>
                <w:lang w:eastAsia="zh-CN"/>
              </w:rPr>
              <w:t>每个基准炉头的风量为2000m</w:t>
            </w:r>
            <w:r>
              <w:rPr>
                <w:rFonts w:hint="default" w:ascii="Times New Roman" w:hAnsi="Times New Roman" w:eastAsia="宋体" w:cs="Times New Roman"/>
                <w:snapToGrid/>
                <w:color w:val="auto"/>
                <w:kern w:val="0"/>
                <w:sz w:val="24"/>
                <w:szCs w:val="24"/>
                <w:highlight w:val="none"/>
                <w:vertAlign w:val="superscript"/>
                <w:lang w:eastAsia="zh-CN"/>
              </w:rPr>
              <w:t>3</w:t>
            </w:r>
            <w:r>
              <w:rPr>
                <w:rFonts w:hint="default" w:ascii="Times New Roman" w:hAnsi="Times New Roman" w:eastAsia="宋体" w:cs="Times New Roman"/>
                <w:snapToGrid/>
                <w:color w:val="auto"/>
                <w:kern w:val="0"/>
                <w:sz w:val="24"/>
                <w:szCs w:val="24"/>
                <w:highlight w:val="none"/>
                <w:lang w:eastAsia="zh-CN"/>
              </w:rPr>
              <w:t>/h。</w:t>
            </w:r>
          </w:p>
          <w:p w14:paraId="03C71147">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厨房油烟废气经收集后引至高效静电油烟净化器处理，处理达标后尾气引至</w:t>
            </w:r>
            <w:r>
              <w:rPr>
                <w:rFonts w:hint="default" w:ascii="Times New Roman" w:hAnsi="Times New Roman" w:eastAsia="宋体" w:cs="Times New Roman"/>
                <w:snapToGrid/>
                <w:color w:val="auto"/>
                <w:kern w:val="0"/>
                <w:sz w:val="24"/>
                <w:szCs w:val="24"/>
                <w:highlight w:val="none"/>
                <w:lang w:val="en-US" w:eastAsia="zh-CN"/>
              </w:rPr>
              <w:t>宿舍楼一楼</w:t>
            </w:r>
            <w:r>
              <w:rPr>
                <w:rFonts w:hint="default" w:ascii="Times New Roman" w:hAnsi="Times New Roman" w:eastAsia="宋体" w:cs="Times New Roman"/>
                <w:snapToGrid/>
                <w:color w:val="auto"/>
                <w:kern w:val="0"/>
                <w:sz w:val="24"/>
                <w:szCs w:val="24"/>
                <w:highlight w:val="none"/>
                <w:lang w:eastAsia="zh-CN"/>
              </w:rPr>
              <w:t>楼顶高空达标排放（</w:t>
            </w:r>
            <w:r>
              <w:rPr>
                <w:rFonts w:hint="eastAsia" w:cs="Times New Roman"/>
                <w:snapToGrid/>
                <w:color w:val="auto"/>
                <w:kern w:val="0"/>
                <w:sz w:val="24"/>
                <w:szCs w:val="24"/>
                <w:highlight w:val="none"/>
                <w:lang w:eastAsia="zh-CN"/>
              </w:rPr>
              <w:t>DA00</w:t>
            </w:r>
            <w:r>
              <w:rPr>
                <w:rFonts w:hint="eastAsia" w:cs="Times New Roman"/>
                <w:snapToGrid/>
                <w:color w:val="auto"/>
                <w:kern w:val="0"/>
                <w:sz w:val="24"/>
                <w:szCs w:val="24"/>
                <w:highlight w:val="none"/>
                <w:lang w:val="en-US" w:eastAsia="zh-CN"/>
              </w:rPr>
              <w:t>4</w:t>
            </w:r>
            <w:r>
              <w:rPr>
                <w:rFonts w:hint="default" w:ascii="Times New Roman" w:hAnsi="Times New Roman" w:eastAsia="宋体" w:cs="Times New Roman"/>
                <w:snapToGrid/>
                <w:color w:val="auto"/>
                <w:kern w:val="0"/>
                <w:sz w:val="24"/>
                <w:szCs w:val="24"/>
                <w:highlight w:val="none"/>
                <w:lang w:eastAsia="zh-CN"/>
              </w:rPr>
              <w:t>）。参考《新型静电油烟净化设备的特点及应用》（黄付平、覃理嘉等），在额定风量下静电油烟净化器对油烟的净化效率达93.9%，本评价保守估算为</w:t>
            </w:r>
            <w:r>
              <w:rPr>
                <w:rFonts w:hint="default" w:ascii="Times New Roman" w:hAnsi="Times New Roman" w:eastAsia="宋体" w:cs="Times New Roman"/>
                <w:snapToGrid/>
                <w:color w:val="auto"/>
                <w:kern w:val="0"/>
                <w:sz w:val="24"/>
                <w:szCs w:val="24"/>
                <w:highlight w:val="none"/>
                <w:lang w:val="en-US" w:eastAsia="zh-CN"/>
              </w:rPr>
              <w:t>75</w:t>
            </w:r>
            <w:r>
              <w:rPr>
                <w:rFonts w:hint="default" w:ascii="Times New Roman" w:hAnsi="Times New Roman" w:eastAsia="宋体" w:cs="Times New Roman"/>
                <w:snapToGrid/>
                <w:color w:val="auto"/>
                <w:kern w:val="0"/>
                <w:sz w:val="24"/>
                <w:szCs w:val="24"/>
                <w:highlight w:val="none"/>
                <w:lang w:eastAsia="zh-CN"/>
              </w:rPr>
              <w:t>%的净化效率，具体产排情况如上表4-</w:t>
            </w:r>
            <w:r>
              <w:rPr>
                <w:rFonts w:hint="eastAsia" w:cs="Times New Roman"/>
                <w:snapToGrid/>
                <w:color w:val="auto"/>
                <w:kern w:val="0"/>
                <w:sz w:val="24"/>
                <w:szCs w:val="24"/>
                <w:highlight w:val="none"/>
                <w:lang w:val="en-US" w:eastAsia="zh-CN"/>
              </w:rPr>
              <w:t>2</w:t>
            </w:r>
            <w:r>
              <w:rPr>
                <w:rFonts w:hint="default" w:ascii="Times New Roman" w:hAnsi="Times New Roman" w:eastAsia="宋体" w:cs="Times New Roman"/>
                <w:snapToGrid/>
                <w:color w:val="auto"/>
                <w:kern w:val="0"/>
                <w:sz w:val="24"/>
                <w:szCs w:val="24"/>
                <w:highlight w:val="none"/>
                <w:lang w:eastAsia="zh-CN"/>
              </w:rPr>
              <w:t>。</w:t>
            </w:r>
          </w:p>
          <w:p w14:paraId="2013CB3C">
            <w:pPr>
              <w:keepNext/>
              <w:keepLines/>
              <w:suppressLineNumbers w:val="0"/>
              <w:tabs>
                <w:tab w:val="left" w:pos="0"/>
              </w:tabs>
              <w:spacing w:before="0" w:beforeAutospacing="0" w:after="0" w:afterAutospacing="0" w:line="360" w:lineRule="auto"/>
              <w:ind w:left="0" w:right="0" w:firstLine="466" w:firstLineChars="200"/>
              <w:outlineLvl w:val="3"/>
              <w:rPr>
                <w:rFonts w:hint="eastAsia" w:cs="Times New Roman"/>
                <w:b/>
                <w:bCs/>
                <w:snapToGrid/>
                <w:color w:val="auto"/>
                <w:spacing w:val="-4"/>
                <w:kern w:val="2"/>
                <w:sz w:val="24"/>
                <w:szCs w:val="24"/>
                <w:highlight w:val="none"/>
                <w:lang w:val="en-US" w:eastAsia="zh-CN"/>
              </w:rPr>
            </w:pPr>
            <w:r>
              <w:rPr>
                <w:rFonts w:hint="eastAsia" w:cs="Times New Roman"/>
                <w:b/>
                <w:bCs/>
                <w:snapToGrid/>
                <w:color w:val="auto"/>
                <w:spacing w:val="-4"/>
                <w:kern w:val="2"/>
                <w:sz w:val="24"/>
                <w:szCs w:val="24"/>
                <w:highlight w:val="none"/>
                <w:lang w:val="en-US" w:eastAsia="zh-CN"/>
              </w:rPr>
              <w:t>1.2.10表面预处理废气</w:t>
            </w:r>
          </w:p>
          <w:p w14:paraId="04E0C7C4">
            <w:pPr>
              <w:keepNext/>
              <w:keepLines/>
              <w:suppressLineNumbers w:val="0"/>
              <w:tabs>
                <w:tab w:val="left" w:pos="0"/>
              </w:tabs>
              <w:spacing w:before="0" w:beforeAutospacing="0" w:after="0" w:afterAutospacing="0" w:line="360" w:lineRule="auto"/>
              <w:ind w:left="0" w:right="0" w:firstLine="464" w:firstLineChars="200"/>
              <w:outlineLvl w:val="3"/>
              <w:rPr>
                <w:rFonts w:hint="default" w:ascii="Times New Roman" w:hAnsi="Times New Roman" w:eastAsia="宋体" w:cs="Times New Roman"/>
                <w:b/>
                <w:bCs/>
                <w:snapToGrid/>
                <w:color w:val="auto"/>
                <w:spacing w:val="-4"/>
                <w:kern w:val="2"/>
                <w:sz w:val="24"/>
                <w:szCs w:val="24"/>
                <w:highlight w:val="none"/>
                <w:vertAlign w:val="baseline"/>
                <w:lang w:val="en-US" w:eastAsia="zh-CN"/>
              </w:rPr>
            </w:pPr>
            <w:r>
              <w:rPr>
                <w:rFonts w:hint="eastAsia" w:cs="Times New Roman"/>
                <w:b w:val="0"/>
                <w:bCs w:val="0"/>
                <w:snapToGrid/>
                <w:color w:val="auto"/>
                <w:spacing w:val="-4"/>
                <w:kern w:val="2"/>
                <w:sz w:val="24"/>
                <w:szCs w:val="24"/>
                <w:highlight w:val="none"/>
                <w:lang w:val="en-US" w:eastAsia="zh-CN"/>
              </w:rPr>
              <w:t>本项目表面预处理废气主要来自脱脂工序和无铬钝化工序，脱脂槽液面表面积合计为7×2×4=56m</w:t>
            </w:r>
            <w:r>
              <w:rPr>
                <w:rFonts w:hint="eastAsia" w:cs="Times New Roman"/>
                <w:b w:val="0"/>
                <w:bCs w:val="0"/>
                <w:snapToGrid/>
                <w:color w:val="auto"/>
                <w:spacing w:val="-4"/>
                <w:kern w:val="2"/>
                <w:sz w:val="24"/>
                <w:szCs w:val="24"/>
                <w:highlight w:val="none"/>
                <w:vertAlign w:val="superscript"/>
                <w:lang w:val="en-US" w:eastAsia="zh-CN"/>
              </w:rPr>
              <w:t>2</w:t>
            </w:r>
            <w:r>
              <w:rPr>
                <w:rFonts w:hint="eastAsia" w:cs="Times New Roman"/>
                <w:b w:val="0"/>
                <w:bCs w:val="0"/>
                <w:snapToGrid/>
                <w:color w:val="auto"/>
                <w:spacing w:val="-4"/>
                <w:kern w:val="2"/>
                <w:sz w:val="24"/>
                <w:szCs w:val="24"/>
                <w:highlight w:val="none"/>
                <w:lang w:val="en-US" w:eastAsia="zh-CN"/>
              </w:rPr>
              <w:t>，无铬钝化槽表面积合计为3.5×2×2=14m</w:t>
            </w:r>
            <w:r>
              <w:rPr>
                <w:rFonts w:hint="eastAsia" w:cs="Times New Roman"/>
                <w:b w:val="0"/>
                <w:bCs w:val="0"/>
                <w:snapToGrid/>
                <w:color w:val="auto"/>
                <w:spacing w:val="-4"/>
                <w:kern w:val="2"/>
                <w:sz w:val="24"/>
                <w:szCs w:val="24"/>
                <w:highlight w:val="none"/>
                <w:vertAlign w:val="superscript"/>
                <w:lang w:val="en-US" w:eastAsia="zh-CN"/>
              </w:rPr>
              <w:t>2</w:t>
            </w:r>
            <w:r>
              <w:rPr>
                <w:rFonts w:hint="eastAsia" w:cs="Times New Roman"/>
                <w:b w:val="0"/>
                <w:bCs w:val="0"/>
                <w:snapToGrid/>
                <w:color w:val="auto"/>
                <w:spacing w:val="-4"/>
                <w:kern w:val="2"/>
                <w:sz w:val="24"/>
                <w:szCs w:val="24"/>
                <w:highlight w:val="none"/>
                <w:lang w:val="en-US" w:eastAsia="zh-CN"/>
              </w:rPr>
              <w:t>。脱脂工序使用的除油剂成分中氢氟酸质量占比为 1%，无铬钝化剂中氟锆酸、氟钛酸量均为5~10%（均以10%计），氟锆酸（H₂ZrF₆）纯物质中总氟质量占比约 55.0%；氟钛酸（H₂TiF₆）纯物质中总氟质量占比约 69.6%，氟均以络合态 [ZrF₆]²⁻、[TiF₆]²⁻存在，正常钝化槽内游离氟离子占比很低，根据当地生态环保主管部门建议，本环评按保守计算，即按照总氟全挥发进行定量计算。因此脱脂、无铬钝化过程中会产生少量氟化物废气。根据建设单位提供资料，脱脂工序除油剂工艺浓度为3%，无铬钝化工艺浓度为1%，除油剂年使用量为27.746t、无铬钝化剂年使用量为3.750t/a，经核算可知，则脱脂工序氟化物产生量为27.746×3%×1%=0.0083t/a，无铬钝化工序氟化物产生量为3.750×1%×10%×（55.0%+69.6%）=0.0047t/a，合计氟化物产生量为0.013t/a，经集气罩收集后采用碱液喷淋处理，然后通过15m排气筒DA003高空排放。项目前处理线设置密闭通道并与烘水通道相连，《广东省工业源挥发性有机物减排量核算方法（2023年修订版）》（粤环函〔2023〕538 号）中“表3.3-2 废气收集集气效率参考值”的说明，当废气收集类型为“全密封设备/空间”，废气收集方式为“设备废气排口直连”，收集情况为“设备有固定排放管（或口）直接与风管连接，设备整体密闭只留产品进出口，且进出口处有废气收集措施，收集系统运行时周边基本无VOCs散发。”，此时收集效率可取95%。因此表面预处理废气集气效率取95%；根据表4-</w:t>
            </w:r>
            <w:r>
              <w:rPr>
                <w:rFonts w:hint="eastAsia"/>
                <w:color w:val="auto"/>
                <w:sz w:val="24"/>
                <w:szCs w:val="24"/>
                <w:lang w:val="en-US" w:eastAsia="zh-CN"/>
              </w:rPr>
              <w:t>12</w:t>
            </w:r>
            <w:r>
              <w:rPr>
                <w:rFonts w:hint="eastAsia" w:cs="Times New Roman"/>
                <w:b w:val="0"/>
                <w:bCs w:val="0"/>
                <w:snapToGrid/>
                <w:color w:val="auto"/>
                <w:spacing w:val="-4"/>
                <w:kern w:val="2"/>
                <w:sz w:val="24"/>
                <w:szCs w:val="24"/>
                <w:highlight w:val="none"/>
                <w:lang w:val="en-US" w:eastAsia="zh-CN"/>
              </w:rPr>
              <w:t>计算，表面预处理废气风量为11000m</w:t>
            </w:r>
            <w:r>
              <w:rPr>
                <w:rFonts w:hint="eastAsia" w:cs="Times New Roman"/>
                <w:b w:val="0"/>
                <w:bCs w:val="0"/>
                <w:snapToGrid/>
                <w:color w:val="auto"/>
                <w:spacing w:val="-4"/>
                <w:kern w:val="2"/>
                <w:sz w:val="24"/>
                <w:szCs w:val="24"/>
                <w:highlight w:val="none"/>
                <w:vertAlign w:val="superscript"/>
                <w:lang w:val="en-US" w:eastAsia="zh-CN"/>
              </w:rPr>
              <w:t>3</w:t>
            </w:r>
            <w:r>
              <w:rPr>
                <w:rFonts w:hint="eastAsia" w:cs="Times New Roman"/>
                <w:b w:val="0"/>
                <w:bCs w:val="0"/>
                <w:snapToGrid/>
                <w:color w:val="auto"/>
                <w:spacing w:val="-4"/>
                <w:kern w:val="2"/>
                <w:sz w:val="24"/>
                <w:szCs w:val="24"/>
                <w:highlight w:val="none"/>
                <w:vertAlign w:val="baseline"/>
                <w:lang w:val="en-US" w:eastAsia="zh-CN"/>
              </w:rPr>
              <w:t>/h。</w:t>
            </w:r>
            <w:r>
              <w:rPr>
                <w:rFonts w:hint="eastAsia" w:cs="Times New Roman"/>
                <w:b w:val="0"/>
                <w:bCs w:val="0"/>
                <w:i w:val="0"/>
                <w:iCs w:val="0"/>
                <w:color w:val="auto"/>
                <w:kern w:val="0"/>
                <w:sz w:val="24"/>
                <w:szCs w:val="24"/>
                <w:highlight w:val="none"/>
                <w:u w:val="none"/>
                <w:lang w:val="en-US" w:eastAsia="zh-CN" w:bidi="ar"/>
              </w:rPr>
              <w:t xml:space="preserve"> 根据《电镀污染防治可行技术指南 》（HJ 1306—2023），碱液喷淋法对氟化物的处理效率为85%。</w:t>
            </w:r>
          </w:p>
          <w:p w14:paraId="02ABD7CF">
            <w:pPr>
              <w:keepNext/>
              <w:keepLines/>
              <w:suppressLineNumbers w:val="0"/>
              <w:tabs>
                <w:tab w:val="left" w:pos="0"/>
              </w:tabs>
              <w:spacing w:before="0" w:beforeAutospacing="0" w:after="0" w:afterAutospacing="0" w:line="360" w:lineRule="auto"/>
              <w:ind w:left="0" w:right="0" w:firstLine="466" w:firstLineChars="200"/>
              <w:outlineLvl w:val="3"/>
              <w:rPr>
                <w:rFonts w:hint="default" w:ascii="Times New Roman" w:hAnsi="Times New Roman" w:cs="Times New Roman"/>
                <w:b/>
                <w:bCs/>
                <w:color w:val="auto"/>
                <w:sz w:val="24"/>
                <w:szCs w:val="24"/>
                <w:highlight w:val="none"/>
                <w:lang w:val="en-US"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废气治理系统可行性分析</w:t>
            </w:r>
          </w:p>
          <w:p w14:paraId="06C1D82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cs="Times New Roman"/>
                <w:b w:val="0"/>
                <w:bCs w:val="0"/>
                <w:i w:val="0"/>
                <w:iCs w:val="0"/>
                <w:color w:val="auto"/>
                <w:kern w:val="0"/>
                <w:sz w:val="24"/>
                <w:szCs w:val="24"/>
                <w:highlight w:val="none"/>
                <w:u w:val="none"/>
                <w:lang w:val="en-US" w:eastAsia="zh-CN" w:bidi="ar"/>
              </w:rPr>
              <w:t>本项目采用</w:t>
            </w:r>
            <w:r>
              <w:rPr>
                <w:rFonts w:hint="eastAsia" w:cs="Times New Roman"/>
                <w:b w:val="0"/>
                <w:bCs w:val="0"/>
                <w:i w:val="0"/>
                <w:iCs w:val="0"/>
                <w:color w:val="auto"/>
                <w:kern w:val="0"/>
                <w:sz w:val="24"/>
                <w:szCs w:val="24"/>
                <w:highlight w:val="none"/>
                <w:u w:val="none"/>
                <w:lang w:val="en-US" w:eastAsia="zh-CN" w:bidi="ar"/>
              </w:rPr>
              <w:t>滤筒式除尘器处理焊接烟尘，</w:t>
            </w:r>
            <w:r>
              <w:rPr>
                <w:rFonts w:hint="eastAsia" w:ascii="Times New Roman" w:hAnsi="Times New Roman" w:cs="Times New Roman"/>
                <w:b w:val="0"/>
                <w:bCs w:val="0"/>
                <w:i w:val="0"/>
                <w:iCs w:val="0"/>
                <w:color w:val="auto"/>
                <w:kern w:val="0"/>
                <w:sz w:val="24"/>
                <w:szCs w:val="24"/>
                <w:highlight w:val="none"/>
                <w:u w:val="none"/>
                <w:lang w:val="en-US" w:eastAsia="zh-CN" w:bidi="ar"/>
              </w:rPr>
              <w:t>采用喷淋+干式过滤器+</w:t>
            </w:r>
            <w:r>
              <w:rPr>
                <w:rFonts w:hint="eastAsia" w:cs="Times New Roman"/>
                <w:b w:val="0"/>
                <w:bCs w:val="0"/>
                <w:i w:val="0"/>
                <w:iCs w:val="0"/>
                <w:color w:val="auto"/>
                <w:kern w:val="0"/>
                <w:sz w:val="24"/>
                <w:szCs w:val="24"/>
                <w:highlight w:val="none"/>
                <w:u w:val="none"/>
                <w:lang w:val="en-US" w:eastAsia="zh-CN" w:bidi="ar"/>
              </w:rPr>
              <w:t>活性炭吸脱附+催化燃烧+活性炭吸附</w:t>
            </w:r>
            <w:r>
              <w:rPr>
                <w:rFonts w:hint="eastAsia" w:ascii="Times New Roman" w:hAnsi="Times New Roman" w:cs="Times New Roman"/>
                <w:b w:val="0"/>
                <w:bCs w:val="0"/>
                <w:i w:val="0"/>
                <w:iCs w:val="0"/>
                <w:color w:val="auto"/>
                <w:kern w:val="0"/>
                <w:sz w:val="24"/>
                <w:szCs w:val="24"/>
                <w:highlight w:val="none"/>
                <w:u w:val="none"/>
                <w:lang w:val="en-US" w:eastAsia="zh-CN" w:bidi="ar"/>
              </w:rPr>
              <w:t>处理喷漆废气</w:t>
            </w:r>
            <w:r>
              <w:rPr>
                <w:rFonts w:hint="eastAsia" w:cs="Times New Roman"/>
                <w:b w:val="0"/>
                <w:bCs w:val="0"/>
                <w:i w:val="0"/>
                <w:iCs w:val="0"/>
                <w:color w:val="auto"/>
                <w:kern w:val="0"/>
                <w:sz w:val="24"/>
                <w:szCs w:val="24"/>
                <w:highlight w:val="none"/>
                <w:u w:val="none"/>
                <w:lang w:val="en-US" w:eastAsia="zh-CN" w:bidi="ar"/>
              </w:rPr>
              <w:t>；采用</w:t>
            </w:r>
            <w:r>
              <w:rPr>
                <w:rFonts w:hint="eastAsia" w:ascii="Times New Roman" w:hAnsi="Times New Roman" w:cs="Times New Roman"/>
                <w:b w:val="0"/>
                <w:bCs w:val="0"/>
                <w:i w:val="0"/>
                <w:iCs w:val="0"/>
                <w:color w:val="auto"/>
                <w:kern w:val="0"/>
                <w:sz w:val="24"/>
                <w:szCs w:val="24"/>
                <w:highlight w:val="none"/>
                <w:u w:val="none"/>
                <w:lang w:val="en-US" w:eastAsia="zh-CN" w:bidi="ar"/>
              </w:rPr>
              <w:t>喷淋+干式过滤器+二级活性炭吸附处理固化废气</w:t>
            </w:r>
            <w:r>
              <w:rPr>
                <w:rFonts w:hint="default" w:ascii="Times New Roman" w:hAnsi="Times New Roman" w:cs="Times New Roman"/>
                <w:b w:val="0"/>
                <w:bCs w:val="0"/>
                <w:i w:val="0"/>
                <w:iCs w:val="0"/>
                <w:color w:val="auto"/>
                <w:kern w:val="0"/>
                <w:sz w:val="24"/>
                <w:szCs w:val="24"/>
                <w:highlight w:val="none"/>
                <w:u w:val="none"/>
                <w:lang w:val="en-US" w:eastAsia="zh-CN" w:bidi="ar"/>
              </w:rPr>
              <w:t>，</w:t>
            </w:r>
            <w:r>
              <w:rPr>
                <w:rFonts w:hint="eastAsia" w:cs="Times New Roman"/>
                <w:b w:val="0"/>
                <w:bCs w:val="0"/>
                <w:i w:val="0"/>
                <w:iCs w:val="0"/>
                <w:color w:val="auto"/>
                <w:kern w:val="0"/>
                <w:sz w:val="24"/>
                <w:szCs w:val="24"/>
                <w:highlight w:val="none"/>
                <w:u w:val="none"/>
                <w:lang w:val="en-US" w:eastAsia="zh-CN" w:bidi="ar"/>
              </w:rPr>
              <w:t>采用碱液喷淋法去除氟化物，</w:t>
            </w:r>
            <w:r>
              <w:rPr>
                <w:rFonts w:hint="default" w:ascii="Times New Roman" w:hAnsi="Times New Roman" w:cs="Times New Roman"/>
                <w:b w:val="0"/>
                <w:bCs w:val="0"/>
                <w:i w:val="0"/>
                <w:iCs w:val="0"/>
                <w:color w:val="auto"/>
                <w:kern w:val="0"/>
                <w:sz w:val="24"/>
                <w:szCs w:val="24"/>
                <w:highlight w:val="none"/>
                <w:u w:val="none"/>
                <w:lang w:val="en-US" w:eastAsia="zh-CN" w:bidi="ar"/>
              </w:rPr>
              <w:t>参照《排污许可证申请与核发技术规范 铁路、船舶、航空航天和其他运输设备制造业》（HJ1124—2020）</w:t>
            </w:r>
            <w:r>
              <w:rPr>
                <w:rFonts w:hint="eastAsia" w:cs="Times New Roman"/>
                <w:b w:val="0"/>
                <w:bCs w:val="0"/>
                <w:i w:val="0"/>
                <w:iCs w:val="0"/>
                <w:color w:val="auto"/>
                <w:kern w:val="0"/>
                <w:sz w:val="24"/>
                <w:szCs w:val="24"/>
                <w:highlight w:val="none"/>
                <w:u w:val="none"/>
                <w:lang w:val="en-US" w:eastAsia="zh-CN" w:bidi="ar"/>
              </w:rPr>
              <w:t>、《排污许可证申请与核发技术规范 电镀工业》（HJ855—2017）</w:t>
            </w:r>
            <w:r>
              <w:rPr>
                <w:rFonts w:hint="default" w:ascii="Times New Roman" w:hAnsi="Times New Roman" w:cs="Times New Roman"/>
                <w:b w:val="0"/>
                <w:bCs w:val="0"/>
                <w:i w:val="0"/>
                <w:iCs w:val="0"/>
                <w:color w:val="auto"/>
                <w:kern w:val="0"/>
                <w:sz w:val="24"/>
                <w:szCs w:val="24"/>
                <w:highlight w:val="none"/>
                <w:u w:val="none"/>
                <w:lang w:val="en-US" w:eastAsia="zh-CN" w:bidi="ar"/>
              </w:rPr>
              <w:t>，</w:t>
            </w:r>
            <w:r>
              <w:rPr>
                <w:rFonts w:hint="eastAsia" w:cs="Times New Roman"/>
                <w:b w:val="0"/>
                <w:bCs w:val="0"/>
                <w:i w:val="0"/>
                <w:iCs w:val="0"/>
                <w:color w:val="auto"/>
                <w:kern w:val="0"/>
                <w:sz w:val="24"/>
                <w:szCs w:val="24"/>
                <w:highlight w:val="none"/>
                <w:u w:val="none"/>
                <w:lang w:val="en-US" w:eastAsia="zh-CN" w:bidi="ar"/>
              </w:rPr>
              <w:t>本项目采取的措施均</w:t>
            </w:r>
            <w:r>
              <w:rPr>
                <w:rFonts w:hint="default" w:ascii="Times New Roman" w:hAnsi="Times New Roman" w:cs="Times New Roman"/>
                <w:b w:val="0"/>
                <w:bCs w:val="0"/>
                <w:i w:val="0"/>
                <w:iCs w:val="0"/>
                <w:color w:val="auto"/>
                <w:kern w:val="0"/>
                <w:sz w:val="24"/>
                <w:szCs w:val="24"/>
                <w:highlight w:val="none"/>
                <w:u w:val="none"/>
                <w:lang w:val="en-US" w:eastAsia="zh-CN" w:bidi="ar"/>
              </w:rPr>
              <w:t>属于排污许可技术规范中的可行技术，因此本项目使用该治理设施是可行的。</w:t>
            </w:r>
          </w:p>
          <w:p w14:paraId="6B177615">
            <w:pPr>
              <w:keepNext w:val="0"/>
              <w:keepLines w:val="0"/>
              <w:suppressLineNumbers w:val="0"/>
              <w:spacing w:before="0" w:beforeAutospacing="0" w:after="0" w:afterAutospacing="0" w:line="360" w:lineRule="auto"/>
              <w:ind w:left="0" w:right="0" w:firstLine="466" w:firstLineChars="200"/>
              <w:rPr>
                <w:rFonts w:hint="default" w:ascii="Times New Roman" w:hAnsi="Times New Roman" w:cs="Times New Roman"/>
                <w:b/>
                <w:bCs/>
                <w:color w:val="auto"/>
                <w:sz w:val="24"/>
                <w:szCs w:val="24"/>
                <w:highlight w:val="none"/>
              </w:rPr>
            </w:pPr>
            <w:r>
              <w:rPr>
                <w:rFonts w:hint="eastAsia" w:cs="Times New Roman"/>
                <w:b/>
                <w:bCs/>
                <w:snapToGrid/>
                <w:color w:val="auto"/>
                <w:spacing w:val="-4"/>
                <w:kern w:val="2"/>
                <w:sz w:val="24"/>
                <w:szCs w:val="24"/>
                <w:highlight w:val="none"/>
                <w:lang w:val="en-US" w:eastAsia="zh-CN"/>
              </w:rPr>
              <w:t>1.4</w:t>
            </w:r>
            <w:r>
              <w:rPr>
                <w:rFonts w:hint="default" w:ascii="Times New Roman" w:hAnsi="Times New Roman" w:cs="Times New Roman"/>
                <w:b/>
                <w:bCs/>
                <w:color w:val="auto"/>
                <w:sz w:val="24"/>
                <w:szCs w:val="24"/>
                <w:highlight w:val="none"/>
              </w:rPr>
              <w:t>达标情况分析</w:t>
            </w:r>
          </w:p>
          <w:p w14:paraId="089A8E3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kern w:val="2"/>
                <w:sz w:val="24"/>
                <w:szCs w:val="24"/>
                <w:highlight w:val="none"/>
              </w:rPr>
            </w:pPr>
            <w:r>
              <w:rPr>
                <w:rFonts w:hint="default" w:ascii="Times New Roman" w:hAnsi="Times New Roman" w:cs="Times New Roman"/>
                <w:b/>
                <w:bCs/>
                <w:color w:val="auto"/>
                <w:kern w:val="2"/>
                <w:sz w:val="24"/>
                <w:szCs w:val="24"/>
                <w:highlight w:val="none"/>
              </w:rPr>
              <w:t>（1）</w:t>
            </w:r>
            <w:r>
              <w:rPr>
                <w:rFonts w:hint="default" w:ascii="Times New Roman" w:hAnsi="Times New Roman" w:cs="Times New Roman"/>
                <w:b/>
                <w:bCs/>
                <w:color w:val="auto"/>
                <w:kern w:val="2"/>
                <w:sz w:val="24"/>
                <w:szCs w:val="24"/>
                <w:highlight w:val="none"/>
                <w:lang w:val="en-US" w:eastAsia="zh-CN"/>
              </w:rPr>
              <w:t>有组织废气达标分析</w:t>
            </w:r>
          </w:p>
          <w:p w14:paraId="5985B3C2">
            <w:pPr>
              <w:pStyle w:val="2"/>
              <w:keepNext w:val="0"/>
              <w:keepLines w:val="0"/>
              <w:suppressLineNumbers w:val="0"/>
              <w:spacing w:before="0" w:beforeAutospacing="0" w:after="0" w:afterAutospacing="0" w:line="360" w:lineRule="auto"/>
              <w:ind w:left="0" w:right="0" w:firstLine="480" w:firstLineChars="200"/>
              <w:rPr>
                <w:rFonts w:hint="eastAsia" w:eastAsia="宋体....."/>
                <w:color w:val="auto"/>
                <w:lang w:val="en-US" w:eastAsia="zh-CN"/>
              </w:rPr>
            </w:pPr>
            <w:r>
              <w:rPr>
                <w:rFonts w:hint="eastAsia" w:ascii="Times New Roman" w:cs="Times New Roman"/>
                <w:b w:val="0"/>
                <w:bCs/>
                <w:color w:val="auto"/>
                <w:szCs w:val="21"/>
                <w:highlight w:val="none"/>
                <w:lang w:val="en-US" w:eastAsia="zh-CN"/>
              </w:rPr>
              <w:t>喷漆废气</w:t>
            </w:r>
            <w:r>
              <w:rPr>
                <w:rFonts w:hint="eastAsia" w:ascii="Times New Roman" w:hAnsi="Times New Roman" w:cs="Times New Roman"/>
                <w:color w:val="auto"/>
                <w:kern w:val="2"/>
                <w:sz w:val="24"/>
                <w:szCs w:val="24"/>
                <w:highlight w:val="none"/>
                <w:lang w:val="en-US" w:eastAsia="zh-CN"/>
              </w:rPr>
              <w:t>经</w:t>
            </w:r>
            <w:r>
              <w:rPr>
                <w:rFonts w:hint="eastAsia"/>
                <w:color w:val="auto"/>
                <w:sz w:val="24"/>
                <w:szCs w:val="32"/>
                <w:highlight w:val="none"/>
                <w:lang w:val="en-US" w:eastAsia="zh-CN"/>
              </w:rPr>
              <w:t>水帘柜+喷淋</w:t>
            </w:r>
            <w:r>
              <w:rPr>
                <w:rFonts w:hint="eastAsia"/>
                <w:color w:val="auto"/>
                <w:sz w:val="24"/>
                <w:szCs w:val="32"/>
                <w:highlight w:val="none"/>
              </w:rPr>
              <w:t>+干式过滤+活性炭吸附脱附催化燃烧</w:t>
            </w:r>
            <w:r>
              <w:rPr>
                <w:rFonts w:hint="default" w:ascii="Times New Roman" w:hAnsi="Times New Roman" w:cs="Times New Roman"/>
                <w:color w:val="auto"/>
                <w:kern w:val="2"/>
                <w:sz w:val="24"/>
                <w:szCs w:val="24"/>
                <w:highlight w:val="none"/>
                <w:lang w:val="en-US" w:eastAsia="zh-CN"/>
              </w:rPr>
              <w:t>处理后</w:t>
            </w:r>
            <w:r>
              <w:rPr>
                <w:rFonts w:hint="default" w:ascii="Times New Roman" w:hAnsi="Times New Roman" w:cs="Times New Roman"/>
                <w:color w:val="auto"/>
                <w:kern w:val="2"/>
                <w:sz w:val="24"/>
                <w:szCs w:val="24"/>
                <w:highlight w:val="none"/>
              </w:rPr>
              <w:t>经</w:t>
            </w:r>
            <w:r>
              <w:rPr>
                <w:rFonts w:hint="default" w:ascii="Times New Roman" w:hAnsi="Times New Roman" w:cs="Times New Roman"/>
                <w:color w:val="auto"/>
                <w:kern w:val="0"/>
                <w:sz w:val="24"/>
                <w:szCs w:val="24"/>
                <w:highlight w:val="none"/>
                <w:lang w:val="en-US" w:eastAsia="zh-CN" w:bidi="ar"/>
              </w:rPr>
              <w:t>15</w:t>
            </w:r>
            <w:r>
              <w:rPr>
                <w:rFonts w:hint="default" w:ascii="Times New Roman" w:hAnsi="Times New Roman" w:cs="Times New Roman"/>
                <w:color w:val="auto"/>
                <w:kern w:val="0"/>
                <w:sz w:val="24"/>
                <w:szCs w:val="24"/>
                <w:highlight w:val="none"/>
                <w:lang w:bidi="ar"/>
              </w:rPr>
              <w:t>m</w:t>
            </w:r>
            <w:r>
              <w:rPr>
                <w:rFonts w:hint="default" w:ascii="Times New Roman" w:hAnsi="Times New Roman" w:cs="Times New Roman"/>
                <w:color w:val="auto"/>
                <w:kern w:val="2"/>
                <w:sz w:val="24"/>
                <w:szCs w:val="24"/>
                <w:highlight w:val="none"/>
              </w:rPr>
              <w:t>高排气筒（</w:t>
            </w:r>
            <w:r>
              <w:rPr>
                <w:rFonts w:hint="eastAsia" w:ascii="Times New Roman" w:cs="Times New Roman"/>
                <w:color w:val="auto"/>
                <w:kern w:val="2"/>
                <w:sz w:val="24"/>
                <w:szCs w:val="24"/>
                <w:highlight w:val="none"/>
                <w:lang w:eastAsia="zh-CN"/>
              </w:rPr>
              <w:t>DA00</w:t>
            </w:r>
            <w:r>
              <w:rPr>
                <w:rFonts w:hint="eastAsia" w:ascii="Times New Roman" w:cs="Times New Roman"/>
                <w:color w:val="auto"/>
                <w:kern w:val="2"/>
                <w:sz w:val="24"/>
                <w:szCs w:val="24"/>
                <w:highlight w:val="none"/>
                <w:lang w:val="en-US" w:eastAsia="zh-CN"/>
              </w:rPr>
              <w:t>1</w:t>
            </w:r>
            <w:r>
              <w:rPr>
                <w:rFonts w:hint="default" w:ascii="Times New Roman" w:hAnsi="Times New Roman" w:cs="Times New Roman"/>
                <w:color w:val="auto"/>
                <w:kern w:val="2"/>
                <w:sz w:val="24"/>
                <w:szCs w:val="24"/>
                <w:highlight w:val="none"/>
              </w:rPr>
              <w:t>）排放</w:t>
            </w:r>
            <w:r>
              <w:rPr>
                <w:rFonts w:hint="eastAsia" w:ascii="Times New Roman" w:hAnsi="Times New Roman" w:cs="Times New Roman"/>
                <w:color w:val="auto"/>
                <w:kern w:val="2"/>
                <w:sz w:val="24"/>
                <w:szCs w:val="24"/>
                <w:highlight w:val="none"/>
                <w:lang w:val="en-US" w:eastAsia="zh-CN"/>
              </w:rPr>
              <w:t>颗粒物满足</w:t>
            </w:r>
            <w:r>
              <w:rPr>
                <w:rFonts w:hint="default" w:ascii="Times New Roman" w:hAnsi="Times New Roman" w:cs="Times New Roman"/>
                <w:color w:val="auto"/>
                <w:kern w:val="2"/>
                <w:sz w:val="24"/>
                <w:szCs w:val="24"/>
                <w:highlight w:val="none"/>
              </w:rPr>
              <w:t>广东省《大气污染物排放限值》（DB44/27-2001）第二时段</w:t>
            </w:r>
            <w:r>
              <w:rPr>
                <w:rFonts w:hint="default" w:ascii="Times New Roman" w:hAnsi="Times New Roman" w:cs="Times New Roman"/>
                <w:color w:val="auto"/>
                <w:kern w:val="2"/>
                <w:sz w:val="24"/>
                <w:szCs w:val="24"/>
                <w:highlight w:val="none"/>
                <w:lang w:val="en-US" w:eastAsia="zh-CN"/>
              </w:rPr>
              <w:t>排放限值</w:t>
            </w:r>
            <w:r>
              <w:rPr>
                <w:rFonts w:hint="eastAsia" w:ascii="Times New Roman" w:hAnsi="Times New Roman" w:cs="Times New Roman"/>
                <w:color w:val="auto"/>
                <w:kern w:val="2"/>
                <w:sz w:val="24"/>
                <w:szCs w:val="24"/>
                <w:highlight w:val="none"/>
                <w:lang w:val="en-US" w:eastAsia="zh-CN"/>
              </w:rPr>
              <w:t>，非甲烷总烃</w:t>
            </w:r>
            <w:r>
              <w:rPr>
                <w:rFonts w:hint="eastAsia" w:ascii="Times New Roman" w:cs="Times New Roman"/>
                <w:color w:val="auto"/>
                <w:kern w:val="2"/>
                <w:sz w:val="24"/>
                <w:szCs w:val="24"/>
                <w:highlight w:val="none"/>
                <w:lang w:val="en-US" w:eastAsia="zh-CN"/>
              </w:rPr>
              <w:t>、</w:t>
            </w:r>
            <w:r>
              <w:rPr>
                <w:rFonts w:hint="eastAsia" w:ascii="Times New Roman" w:hAnsi="Times New Roman" w:cs="Times New Roman"/>
                <w:color w:val="auto"/>
                <w:kern w:val="2"/>
                <w:sz w:val="24"/>
                <w:szCs w:val="24"/>
                <w:highlight w:val="none"/>
                <w:lang w:val="en-US" w:eastAsia="zh-CN"/>
              </w:rPr>
              <w:t>苯系物</w:t>
            </w:r>
            <w:r>
              <w:rPr>
                <w:rFonts w:hint="eastAsia" w:ascii="Times New Roman" w:cs="Times New Roman"/>
                <w:color w:val="auto"/>
                <w:kern w:val="2"/>
                <w:sz w:val="24"/>
                <w:szCs w:val="24"/>
                <w:highlight w:val="none"/>
                <w:lang w:val="en-US" w:eastAsia="zh-CN"/>
              </w:rPr>
              <w:t>均</w:t>
            </w:r>
            <w:r>
              <w:rPr>
                <w:rFonts w:hint="eastAsia" w:ascii="Times New Roman" w:hAnsi="Times New Roman" w:cs="Times New Roman"/>
                <w:color w:val="auto"/>
                <w:kern w:val="2"/>
                <w:sz w:val="24"/>
                <w:szCs w:val="24"/>
                <w:highlight w:val="none"/>
                <w:lang w:val="en-US" w:eastAsia="zh-CN"/>
              </w:rPr>
              <w:t>满足广东省《固定污染源挥发性有机物综合排放标准》（DB44/2367-2022）表1挥发性有机物排放限值</w:t>
            </w:r>
            <w:r>
              <w:rPr>
                <w:rFonts w:hint="eastAsia" w:ascii="Times New Roman" w:cs="Times New Roman"/>
                <w:color w:val="auto"/>
                <w:kern w:val="2"/>
                <w:sz w:val="24"/>
                <w:szCs w:val="24"/>
                <w:highlight w:val="none"/>
                <w:lang w:val="en-US" w:eastAsia="zh-CN"/>
              </w:rPr>
              <w:t>要求，</w:t>
            </w:r>
            <w:r>
              <w:rPr>
                <w:rFonts w:hint="eastAsia" w:cs="Times New Roman"/>
                <w:color w:val="auto"/>
                <w:sz w:val="24"/>
                <w:szCs w:val="24"/>
                <w:lang w:val="en-US" w:eastAsia="zh-CN"/>
              </w:rPr>
              <w:t>臭气浓度满足</w:t>
            </w:r>
            <w:r>
              <w:rPr>
                <w:rFonts w:hint="default" w:ascii="Times New Roman" w:hAnsi="Times New Roman" w:cs="Times New Roman"/>
                <w:color w:val="auto"/>
                <w:spacing w:val="-2"/>
                <w:sz w:val="24"/>
                <w:szCs w:val="24"/>
                <w:highlight w:val="none"/>
              </w:rPr>
              <w:t>《恶臭污染物排放标准》（GB14554-93）表2污染物排放标准值</w:t>
            </w:r>
            <w:r>
              <w:rPr>
                <w:rFonts w:hint="eastAsia" w:ascii="Times New Roman" w:hAnsi="Times New Roman" w:cs="Times New Roman"/>
                <w:color w:val="auto"/>
                <w:spacing w:val="-2"/>
                <w:sz w:val="24"/>
                <w:szCs w:val="24"/>
                <w:highlight w:val="none"/>
                <w:lang w:eastAsia="zh-CN"/>
              </w:rPr>
              <w:t>。</w:t>
            </w:r>
          </w:p>
          <w:p w14:paraId="30A49EA6">
            <w:pPr>
              <w:pStyle w:val="2"/>
              <w:keepNext w:val="0"/>
              <w:keepLines w:val="0"/>
              <w:suppressLineNumbers w:val="0"/>
              <w:spacing w:before="0" w:beforeAutospacing="0" w:after="0" w:afterAutospacing="0" w:line="360" w:lineRule="auto"/>
              <w:ind w:left="0" w:right="0" w:firstLine="480" w:firstLineChars="200"/>
              <w:rPr>
                <w:rFonts w:hint="eastAsia" w:asci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固化废气</w:t>
            </w:r>
            <w:r>
              <w:rPr>
                <w:rFonts w:hint="eastAsia" w:ascii="Times New Roman" w:hAnsi="Times New Roman" w:cs="Times New Roman"/>
                <w:color w:val="auto"/>
                <w:kern w:val="2"/>
                <w:sz w:val="24"/>
                <w:szCs w:val="24"/>
                <w:highlight w:val="none"/>
                <w:lang w:val="en-US" w:eastAsia="zh-CN"/>
              </w:rPr>
              <w:t>经</w:t>
            </w:r>
            <w:r>
              <w:rPr>
                <w:rFonts w:hint="eastAsia"/>
                <w:color w:val="auto"/>
                <w:sz w:val="24"/>
                <w:szCs w:val="32"/>
                <w:highlight w:val="none"/>
                <w:lang w:val="en-US" w:eastAsia="zh-CN"/>
              </w:rPr>
              <w:t>喷淋</w:t>
            </w:r>
            <w:r>
              <w:rPr>
                <w:rFonts w:hint="eastAsia"/>
                <w:color w:val="auto"/>
                <w:sz w:val="24"/>
                <w:szCs w:val="32"/>
                <w:highlight w:val="none"/>
              </w:rPr>
              <w:t>+干式过滤+二级活性炭吸附</w:t>
            </w:r>
            <w:r>
              <w:rPr>
                <w:rFonts w:hint="default" w:ascii="Times New Roman" w:hAnsi="Times New Roman" w:cs="Times New Roman"/>
                <w:color w:val="auto"/>
                <w:kern w:val="2"/>
                <w:sz w:val="24"/>
                <w:szCs w:val="24"/>
                <w:highlight w:val="none"/>
                <w:lang w:val="en-US" w:eastAsia="zh-CN"/>
              </w:rPr>
              <w:t>处理后</w:t>
            </w:r>
            <w:r>
              <w:rPr>
                <w:rFonts w:hint="default" w:ascii="Times New Roman" w:hAnsi="Times New Roman" w:cs="Times New Roman"/>
                <w:color w:val="auto"/>
                <w:kern w:val="2"/>
                <w:sz w:val="24"/>
                <w:szCs w:val="24"/>
                <w:highlight w:val="none"/>
              </w:rPr>
              <w:t>经</w:t>
            </w:r>
            <w:r>
              <w:rPr>
                <w:rFonts w:hint="default" w:ascii="Times New Roman" w:hAnsi="Times New Roman" w:cs="Times New Roman"/>
                <w:color w:val="auto"/>
                <w:kern w:val="0"/>
                <w:sz w:val="24"/>
                <w:szCs w:val="24"/>
                <w:highlight w:val="none"/>
                <w:lang w:val="en-US" w:eastAsia="zh-CN" w:bidi="ar"/>
              </w:rPr>
              <w:t>15</w:t>
            </w:r>
            <w:r>
              <w:rPr>
                <w:rFonts w:hint="default" w:ascii="Times New Roman" w:hAnsi="Times New Roman" w:cs="Times New Roman"/>
                <w:color w:val="auto"/>
                <w:kern w:val="0"/>
                <w:sz w:val="24"/>
                <w:szCs w:val="24"/>
                <w:highlight w:val="none"/>
                <w:lang w:bidi="ar"/>
              </w:rPr>
              <w:t>m</w:t>
            </w:r>
            <w:r>
              <w:rPr>
                <w:rFonts w:hint="default" w:ascii="Times New Roman" w:hAnsi="Times New Roman" w:cs="Times New Roman"/>
                <w:color w:val="auto"/>
                <w:kern w:val="2"/>
                <w:sz w:val="24"/>
                <w:szCs w:val="24"/>
                <w:highlight w:val="none"/>
              </w:rPr>
              <w:t>高排气筒（</w:t>
            </w:r>
            <w:r>
              <w:rPr>
                <w:rFonts w:hint="eastAsia" w:ascii="Times New Roman" w:cs="Times New Roman"/>
                <w:color w:val="auto"/>
                <w:kern w:val="2"/>
                <w:sz w:val="24"/>
                <w:szCs w:val="24"/>
                <w:highlight w:val="none"/>
                <w:lang w:eastAsia="zh-CN"/>
              </w:rPr>
              <w:t>DA00</w:t>
            </w:r>
            <w:r>
              <w:rPr>
                <w:rFonts w:hint="eastAsia" w:ascii="Times New Roman" w:cs="Times New Roman"/>
                <w:color w:val="auto"/>
                <w:kern w:val="2"/>
                <w:sz w:val="24"/>
                <w:szCs w:val="24"/>
                <w:highlight w:val="none"/>
                <w:lang w:val="en-US" w:eastAsia="zh-CN"/>
              </w:rPr>
              <w:t>2</w:t>
            </w:r>
            <w:r>
              <w:rPr>
                <w:rFonts w:hint="default" w:ascii="Times New Roman" w:hAnsi="Times New Roman" w:cs="Times New Roman"/>
                <w:color w:val="auto"/>
                <w:kern w:val="2"/>
                <w:sz w:val="24"/>
                <w:szCs w:val="24"/>
                <w:highlight w:val="none"/>
              </w:rPr>
              <w:t>）排放</w:t>
            </w:r>
            <w:r>
              <w:rPr>
                <w:rFonts w:hint="eastAsia" w:ascii="Times New Roman" w:hAnsi="Times New Roman" w:cs="Times New Roman"/>
                <w:color w:val="auto"/>
                <w:kern w:val="2"/>
                <w:sz w:val="24"/>
                <w:szCs w:val="24"/>
                <w:highlight w:val="none"/>
                <w:lang w:eastAsia="zh-CN"/>
              </w:rPr>
              <w:t>，</w:t>
            </w:r>
            <w:r>
              <w:rPr>
                <w:rFonts w:hint="eastAsia" w:ascii="Times New Roman" w:hAnsi="Times New Roman" w:cs="Times New Roman"/>
                <w:color w:val="auto"/>
                <w:kern w:val="2"/>
                <w:sz w:val="24"/>
                <w:szCs w:val="24"/>
                <w:highlight w:val="none"/>
                <w:lang w:val="en-US" w:eastAsia="zh-CN"/>
              </w:rPr>
              <w:t>非甲烷总烃</w:t>
            </w:r>
            <w:r>
              <w:rPr>
                <w:rFonts w:hint="eastAsia" w:ascii="Times New Roman" w:cs="Times New Roman"/>
                <w:color w:val="auto"/>
                <w:kern w:val="2"/>
                <w:sz w:val="24"/>
                <w:szCs w:val="24"/>
                <w:highlight w:val="none"/>
                <w:lang w:val="en-US" w:eastAsia="zh-CN"/>
              </w:rPr>
              <w:t>、</w:t>
            </w:r>
            <w:r>
              <w:rPr>
                <w:rFonts w:hint="eastAsia" w:ascii="Times New Roman" w:eastAsia="宋体" w:cs="Times New Roman"/>
                <w:bCs/>
                <w:color w:val="auto"/>
                <w:sz w:val="24"/>
                <w:szCs w:val="24"/>
                <w:highlight w:val="none"/>
                <w:lang w:val="en-US" w:eastAsia="zh-CN"/>
              </w:rPr>
              <w:t>苯系物有组织排放均</w:t>
            </w:r>
            <w:r>
              <w:rPr>
                <w:rFonts w:hint="eastAsia" w:ascii="Times New Roman" w:hAnsi="Times New Roman" w:cs="Times New Roman"/>
                <w:color w:val="auto"/>
                <w:kern w:val="2"/>
                <w:sz w:val="24"/>
                <w:szCs w:val="24"/>
                <w:highlight w:val="none"/>
                <w:lang w:val="en-US" w:eastAsia="zh-CN"/>
              </w:rPr>
              <w:t>满足</w:t>
            </w:r>
            <w:r>
              <w:rPr>
                <w:rFonts w:hint="default" w:ascii="Times New Roman" w:hAnsi="Times New Roman" w:eastAsia="宋体" w:cs="Times New Roman"/>
                <w:color w:val="auto"/>
                <w:sz w:val="24"/>
                <w:szCs w:val="24"/>
                <w:lang w:val="en-US" w:eastAsia="zh-CN"/>
              </w:rPr>
              <w:t>广东省《固定污染源挥发性有机物综合排放标准》（DB44/2367-2022）中表</w:t>
            </w:r>
            <w:r>
              <w:rPr>
                <w:rFonts w:hint="eastAsia" w:cs="Times New Roman"/>
                <w:color w:val="auto"/>
                <w:sz w:val="24"/>
                <w:szCs w:val="24"/>
                <w:lang w:val="en-US" w:eastAsia="zh-CN"/>
              </w:rPr>
              <w:t>1挥发性有机物排放限值，臭气浓度</w:t>
            </w:r>
            <w:r>
              <w:rPr>
                <w:rFonts w:hint="default" w:ascii="Times New Roman" w:hAnsi="Times New Roman" w:cs="Times New Roman"/>
                <w:color w:val="auto"/>
                <w:spacing w:val="-2"/>
                <w:sz w:val="24"/>
                <w:szCs w:val="24"/>
                <w:highlight w:val="none"/>
              </w:rPr>
              <w:t>《恶臭污染物排放标准》（GB14554-93）表2污染物排放标准值</w:t>
            </w:r>
            <w:r>
              <w:rPr>
                <w:rFonts w:hint="eastAsia" w:ascii="Times New Roman" w:hAnsi="Times New Roman" w:cs="Times New Roman"/>
                <w:color w:val="auto"/>
                <w:spacing w:val="-2"/>
                <w:sz w:val="24"/>
                <w:szCs w:val="24"/>
                <w:highlight w:val="none"/>
                <w:lang w:eastAsia="zh-CN"/>
              </w:rPr>
              <w:t>。</w:t>
            </w:r>
            <w:r>
              <w:rPr>
                <w:rFonts w:hint="eastAsia" w:ascii="Times New Roman" w:cs="Times New Roman"/>
                <w:b w:val="0"/>
                <w:bCs/>
                <w:color w:val="auto"/>
                <w:szCs w:val="21"/>
                <w:highlight w:val="none"/>
                <w:lang w:val="en-US" w:eastAsia="zh-CN"/>
              </w:rPr>
              <w:t>固化工段的天然气燃烧废气一同由DA002排放</w:t>
            </w:r>
            <w:r>
              <w:rPr>
                <w:rFonts w:hint="default" w:ascii="Times New Roman" w:hAnsi="Times New Roman" w:eastAsia="宋体" w:cs="Times New Roman"/>
                <w:bCs/>
                <w:color w:val="auto"/>
                <w:sz w:val="24"/>
                <w:szCs w:val="24"/>
                <w:highlight w:val="none"/>
                <w:lang w:val="en-US" w:eastAsia="zh-CN"/>
              </w:rPr>
              <w:t>，</w:t>
            </w:r>
            <w:r>
              <w:rPr>
                <w:rFonts w:hint="eastAsia" w:ascii="Times New Roman" w:eastAsia="宋体" w:cs="Times New Roman"/>
                <w:bCs/>
                <w:color w:val="auto"/>
                <w:sz w:val="24"/>
                <w:szCs w:val="24"/>
                <w:highlight w:val="none"/>
                <w:lang w:val="en-US" w:eastAsia="zh-CN"/>
              </w:rPr>
              <w:t>排放的</w:t>
            </w:r>
            <w:r>
              <w:rPr>
                <w:rFonts w:hint="default" w:ascii="Times New Roman" w:hAnsi="Times New Roman" w:eastAsia="宋体" w:cs="Times New Roman"/>
                <w:bCs/>
                <w:color w:val="auto"/>
                <w:sz w:val="24"/>
                <w:szCs w:val="24"/>
                <w:highlight w:val="none"/>
                <w:lang w:val="en-US" w:eastAsia="zh-CN"/>
              </w:rPr>
              <w:t>SO</w:t>
            </w:r>
            <w:r>
              <w:rPr>
                <w:rFonts w:hint="default" w:ascii="Times New Roman" w:hAnsi="Times New Roman" w:eastAsia="宋体" w:cs="Times New Roman"/>
                <w:bCs/>
                <w:color w:val="auto"/>
                <w:sz w:val="24"/>
                <w:szCs w:val="24"/>
                <w:highlight w:val="none"/>
                <w:vertAlign w:val="subscript"/>
                <w:lang w:val="en-US" w:eastAsia="zh-CN"/>
              </w:rPr>
              <w:t>2</w:t>
            </w:r>
            <w:r>
              <w:rPr>
                <w:rFonts w:hint="default" w:ascii="Times New Roman" w:hAnsi="Times New Roman" w:eastAsia="宋体" w:cs="Times New Roman"/>
                <w:bCs/>
                <w:color w:val="auto"/>
                <w:sz w:val="24"/>
                <w:szCs w:val="24"/>
                <w:highlight w:val="none"/>
                <w:lang w:val="en-US" w:eastAsia="zh-CN"/>
              </w:rPr>
              <w:t>、NO</w:t>
            </w:r>
            <w:r>
              <w:rPr>
                <w:rFonts w:hint="default" w:ascii="Times New Roman" w:hAnsi="Times New Roman" w:eastAsia="宋体" w:cs="Times New Roman"/>
                <w:bCs/>
                <w:color w:val="auto"/>
                <w:sz w:val="24"/>
                <w:szCs w:val="24"/>
                <w:highlight w:val="none"/>
                <w:vertAlign w:val="subscript"/>
                <w:lang w:val="en-US" w:eastAsia="zh-CN"/>
              </w:rPr>
              <w:t>X</w:t>
            </w:r>
            <w:r>
              <w:rPr>
                <w:rFonts w:hint="default" w:ascii="Times New Roman" w:hAnsi="Times New Roman" w:eastAsia="宋体" w:cs="Times New Roman"/>
                <w:bCs/>
                <w:color w:val="auto"/>
                <w:sz w:val="24"/>
                <w:szCs w:val="24"/>
                <w:highlight w:val="none"/>
                <w:lang w:val="en-US" w:eastAsia="zh-CN"/>
              </w:rPr>
              <w:t>、颗粒物</w:t>
            </w:r>
            <w:r>
              <w:rPr>
                <w:rFonts w:hint="eastAsia" w:ascii="Times New Roman" w:eastAsia="宋体" w:cs="Times New Roman"/>
                <w:bCs/>
                <w:color w:val="auto"/>
                <w:sz w:val="24"/>
                <w:szCs w:val="24"/>
                <w:highlight w:val="none"/>
                <w:lang w:val="en-US" w:eastAsia="zh-CN"/>
              </w:rPr>
              <w:t>有组织排放</w:t>
            </w:r>
            <w:r>
              <w:rPr>
                <w:rFonts w:hint="default" w:ascii="Times New Roman" w:hAnsi="Times New Roman" w:eastAsia="宋体" w:cs="Times New Roman"/>
                <w:bCs/>
                <w:color w:val="auto"/>
                <w:sz w:val="24"/>
                <w:szCs w:val="24"/>
                <w:highlight w:val="none"/>
                <w:lang w:val="en-US" w:eastAsia="zh-CN"/>
              </w:rPr>
              <w:t>均能</w:t>
            </w:r>
            <w:r>
              <w:rPr>
                <w:rFonts w:hint="default" w:ascii="Times New Roman" w:hAnsi="Times New Roman" w:cs="Times New Roman"/>
                <w:color w:val="auto"/>
                <w:sz w:val="24"/>
                <w:szCs w:val="24"/>
                <w:highlight w:val="none"/>
              </w:rPr>
              <w:t>满足</w:t>
            </w:r>
            <w:r>
              <w:rPr>
                <w:rFonts w:hint="eastAsia" w:ascii="Times New Roman" w:cs="Times New Roman"/>
                <w:color w:val="auto"/>
                <w:sz w:val="24"/>
                <w:szCs w:val="24"/>
                <w:highlight w:val="none"/>
                <w:lang w:val="en-US" w:eastAsia="zh-CN"/>
              </w:rPr>
              <w:t>《关于印发&lt;工业炉窑大气污染综合治理方案&gt;的通知》（环大气〔2019〕56号）和《关于贯彻落实&lt;工业炉窑大气污染物综合治理方案&gt;的实施意见》（粤环函〔2019〕1112号）中颗粒物、二氧化硫、氮氧化物排放限值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烟气黑度满足《工业炉窑大气污染物排放标准》（GB 9078-1996）要求</w:t>
            </w:r>
            <w:r>
              <w:rPr>
                <w:rFonts w:hint="eastAsia" w:ascii="Times New Roman" w:cs="Times New Roman"/>
                <w:color w:val="auto"/>
                <w:sz w:val="24"/>
                <w:szCs w:val="24"/>
                <w:highlight w:val="none"/>
                <w:lang w:val="en-US" w:eastAsia="zh-CN"/>
              </w:rPr>
              <w:t>。</w:t>
            </w:r>
          </w:p>
          <w:p w14:paraId="6AAABF46">
            <w:pPr>
              <w:pStyle w:val="2"/>
              <w:keepNext w:val="0"/>
              <w:keepLines w:val="0"/>
              <w:suppressLineNumbers w:val="0"/>
              <w:spacing w:before="0" w:beforeAutospacing="0" w:after="0" w:afterAutospacing="0" w:line="360" w:lineRule="auto"/>
              <w:ind w:left="0" w:right="0" w:firstLine="480" w:firstLineChars="200"/>
              <w:rPr>
                <w:rFonts w:hint="default"/>
                <w:color w:val="auto"/>
                <w:lang w:val="en-US" w:eastAsia="zh-CN"/>
              </w:rPr>
            </w:pPr>
            <w:r>
              <w:rPr>
                <w:rFonts w:hint="eastAsia" w:ascii="Times New Roman" w:cs="Times New Roman"/>
                <w:color w:val="auto"/>
                <w:sz w:val="24"/>
                <w:szCs w:val="24"/>
                <w:highlight w:val="none"/>
                <w:lang w:val="en-US" w:eastAsia="zh-CN"/>
              </w:rPr>
              <w:t>表面预处理废气采用碱液喷淋后通过15m排气筒高空排放，排放的氟化物满足</w:t>
            </w:r>
            <w:r>
              <w:rPr>
                <w:rFonts w:hint="default" w:ascii="Times New Roman" w:hAnsi="Times New Roman" w:cs="Times New Roman"/>
                <w:color w:val="auto"/>
                <w:kern w:val="2"/>
                <w:sz w:val="24"/>
                <w:szCs w:val="24"/>
                <w:highlight w:val="none"/>
              </w:rPr>
              <w:t>广东省《大气污染物排放限值》（DB44/27-2001）第二时段</w:t>
            </w:r>
            <w:r>
              <w:rPr>
                <w:rFonts w:hint="default" w:ascii="Times New Roman" w:hAnsi="Times New Roman" w:cs="Times New Roman"/>
                <w:color w:val="auto"/>
                <w:kern w:val="2"/>
                <w:sz w:val="24"/>
                <w:szCs w:val="24"/>
                <w:highlight w:val="none"/>
                <w:lang w:val="en-US" w:eastAsia="zh-CN"/>
              </w:rPr>
              <w:t>排放限值</w:t>
            </w:r>
            <w:r>
              <w:rPr>
                <w:rFonts w:hint="eastAsia" w:ascii="Times New Roman" w:cs="Times New Roman"/>
                <w:color w:val="auto"/>
                <w:sz w:val="24"/>
                <w:szCs w:val="24"/>
                <w:highlight w:val="none"/>
                <w:lang w:val="en-US" w:eastAsia="zh-CN"/>
              </w:rPr>
              <w:t>，</w:t>
            </w:r>
            <w:r>
              <w:rPr>
                <w:rFonts w:hint="eastAsia" w:ascii="Times New Roman" w:eastAsia="宋体" w:cs="Times New Roman"/>
                <w:bCs/>
                <w:color w:val="auto"/>
                <w:sz w:val="24"/>
                <w:szCs w:val="24"/>
                <w:highlight w:val="none"/>
                <w:lang w:val="en-US" w:eastAsia="zh-CN"/>
              </w:rPr>
              <w:t>排放的</w:t>
            </w:r>
            <w:r>
              <w:rPr>
                <w:rFonts w:hint="default" w:ascii="Times New Roman" w:hAnsi="Times New Roman" w:eastAsia="宋体" w:cs="Times New Roman"/>
                <w:bCs/>
                <w:color w:val="auto"/>
                <w:sz w:val="24"/>
                <w:szCs w:val="24"/>
                <w:highlight w:val="none"/>
                <w:lang w:val="en-US" w:eastAsia="zh-CN"/>
              </w:rPr>
              <w:t>SO</w:t>
            </w:r>
            <w:r>
              <w:rPr>
                <w:rFonts w:hint="default" w:ascii="Times New Roman" w:hAnsi="Times New Roman" w:eastAsia="宋体" w:cs="Times New Roman"/>
                <w:bCs/>
                <w:color w:val="auto"/>
                <w:sz w:val="24"/>
                <w:szCs w:val="24"/>
                <w:highlight w:val="none"/>
                <w:vertAlign w:val="subscript"/>
                <w:lang w:val="en-US" w:eastAsia="zh-CN"/>
              </w:rPr>
              <w:t>2</w:t>
            </w:r>
            <w:r>
              <w:rPr>
                <w:rFonts w:hint="default" w:ascii="Times New Roman" w:hAnsi="Times New Roman" w:eastAsia="宋体" w:cs="Times New Roman"/>
                <w:bCs/>
                <w:color w:val="auto"/>
                <w:sz w:val="24"/>
                <w:szCs w:val="24"/>
                <w:highlight w:val="none"/>
                <w:lang w:val="en-US" w:eastAsia="zh-CN"/>
              </w:rPr>
              <w:t>、NO</w:t>
            </w:r>
            <w:r>
              <w:rPr>
                <w:rFonts w:hint="default" w:ascii="Times New Roman" w:hAnsi="Times New Roman" w:eastAsia="宋体" w:cs="Times New Roman"/>
                <w:bCs/>
                <w:color w:val="auto"/>
                <w:sz w:val="24"/>
                <w:szCs w:val="24"/>
                <w:highlight w:val="none"/>
                <w:vertAlign w:val="subscript"/>
                <w:lang w:val="en-US" w:eastAsia="zh-CN"/>
              </w:rPr>
              <w:t>X</w:t>
            </w:r>
            <w:r>
              <w:rPr>
                <w:rFonts w:hint="default" w:ascii="Times New Roman" w:hAnsi="Times New Roman" w:eastAsia="宋体" w:cs="Times New Roman"/>
                <w:bCs/>
                <w:color w:val="auto"/>
                <w:sz w:val="24"/>
                <w:szCs w:val="24"/>
                <w:highlight w:val="none"/>
                <w:lang w:val="en-US" w:eastAsia="zh-CN"/>
              </w:rPr>
              <w:t>、颗粒物</w:t>
            </w:r>
            <w:r>
              <w:rPr>
                <w:rFonts w:hint="eastAsia" w:ascii="Times New Roman" w:eastAsia="宋体" w:cs="Times New Roman"/>
                <w:bCs/>
                <w:color w:val="auto"/>
                <w:sz w:val="24"/>
                <w:szCs w:val="24"/>
                <w:highlight w:val="none"/>
                <w:lang w:val="en-US" w:eastAsia="zh-CN"/>
              </w:rPr>
              <w:t>有组织排放</w:t>
            </w:r>
            <w:r>
              <w:rPr>
                <w:rFonts w:hint="default" w:ascii="Times New Roman" w:hAnsi="Times New Roman" w:eastAsia="宋体" w:cs="Times New Roman"/>
                <w:bCs/>
                <w:color w:val="auto"/>
                <w:sz w:val="24"/>
                <w:szCs w:val="24"/>
                <w:highlight w:val="none"/>
                <w:lang w:val="en-US" w:eastAsia="zh-CN"/>
              </w:rPr>
              <w:t>均能</w:t>
            </w:r>
            <w:r>
              <w:rPr>
                <w:rFonts w:hint="default" w:ascii="Times New Roman" w:hAnsi="Times New Roman" w:cs="Times New Roman"/>
                <w:color w:val="auto"/>
                <w:sz w:val="24"/>
                <w:szCs w:val="24"/>
                <w:highlight w:val="none"/>
              </w:rPr>
              <w:t>满足</w:t>
            </w:r>
            <w:r>
              <w:rPr>
                <w:rFonts w:hint="eastAsia" w:ascii="Times New Roman" w:cs="Times New Roman"/>
                <w:color w:val="auto"/>
                <w:sz w:val="24"/>
                <w:szCs w:val="24"/>
                <w:highlight w:val="none"/>
                <w:lang w:val="en-US" w:eastAsia="zh-CN"/>
              </w:rPr>
              <w:t>《关于印发&lt;工业炉窑大气污染综合治理方案&gt;的通知》（环大气〔2019〕56号）和《关于贯彻落实&lt;工业炉窑大气污染物综合治理方案&gt;的实施意见》（粤环函〔2019〕1112号）中颗粒物、二氧化硫、氮氧化物排放限值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烟气黑度满足《工业炉窑大气污染物排放标准》（GB 9078-1996）要求</w:t>
            </w:r>
            <w:r>
              <w:rPr>
                <w:rFonts w:hint="eastAsia" w:ascii="Times New Roman" w:cs="Times New Roman"/>
                <w:color w:val="auto"/>
                <w:sz w:val="24"/>
                <w:szCs w:val="24"/>
                <w:highlight w:val="none"/>
                <w:lang w:val="en-US" w:eastAsia="zh-CN"/>
              </w:rPr>
              <w:t>。</w:t>
            </w:r>
          </w:p>
          <w:p w14:paraId="1D1D6DDF">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b w:val="0"/>
                <w:bCs/>
                <w:color w:val="auto"/>
                <w:szCs w:val="21"/>
                <w:highlight w:val="none"/>
                <w:lang w:val="en-US" w:eastAsia="zh-CN"/>
              </w:rPr>
              <w:t>本项目食堂运行过程中产生的油烟拟收集后经高效静电油烟</w:t>
            </w:r>
            <w:r>
              <w:rPr>
                <w:rFonts w:hint="default" w:ascii="Times New Roman" w:hAnsi="Times New Roman" w:eastAsia="宋体" w:cs="Times New Roman"/>
                <w:color w:val="auto"/>
                <w:sz w:val="24"/>
                <w:szCs w:val="24"/>
                <w:highlight w:val="none"/>
                <w:lang w:val="en-US" w:eastAsia="zh-CN"/>
              </w:rPr>
              <w:t>净化器处理后由专用的排烟管道引至宿舍一层楼顶</w:t>
            </w:r>
            <w:r>
              <w:rPr>
                <w:rFonts w:hint="eastAsia" w:ascii="Times New Roman" w:eastAsia="宋体" w:cs="Times New Roman"/>
                <w:color w:val="auto"/>
                <w:sz w:val="24"/>
                <w:szCs w:val="24"/>
                <w:highlight w:val="none"/>
                <w:lang w:val="en-US" w:eastAsia="zh-CN"/>
              </w:rPr>
              <w:t>（DA004）</w:t>
            </w:r>
            <w:r>
              <w:rPr>
                <w:rFonts w:hint="default" w:ascii="Times New Roman" w:hAnsi="Times New Roman" w:eastAsia="宋体" w:cs="Times New Roman"/>
                <w:color w:val="auto"/>
                <w:sz w:val="24"/>
                <w:szCs w:val="24"/>
                <w:highlight w:val="none"/>
                <w:lang w:val="en-US" w:eastAsia="zh-CN"/>
              </w:rPr>
              <w:t>排放</w:t>
            </w:r>
            <w:r>
              <w:rPr>
                <w:rFonts w:hint="default" w:ascii="Times New Roman" w:hAnsi="Times New Roman" w:cs="Times New Roman"/>
                <w:b w:val="0"/>
                <w:bCs/>
                <w:color w:val="auto"/>
                <w:szCs w:val="21"/>
                <w:highlight w:val="none"/>
                <w:lang w:val="en-US" w:eastAsia="zh-CN"/>
              </w:rPr>
              <w:t>，</w:t>
            </w:r>
            <w:r>
              <w:rPr>
                <w:rFonts w:hint="default" w:ascii="Times New Roman" w:hAnsi="Times New Roman" w:eastAsia="宋体" w:cs="Times New Roman"/>
                <w:color w:val="auto"/>
                <w:sz w:val="24"/>
                <w:szCs w:val="24"/>
                <w:highlight w:val="none"/>
              </w:rPr>
              <w:t>排放浓度为</w:t>
            </w:r>
            <w:r>
              <w:rPr>
                <w:rFonts w:hint="default"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处理效率为75%，</w:t>
            </w:r>
            <w:r>
              <w:rPr>
                <w:rFonts w:hint="default" w:ascii="Times New Roman" w:hAnsi="Times New Roman" w:eastAsia="宋体" w:cs="Times New Roman"/>
                <w:color w:val="auto"/>
                <w:sz w:val="24"/>
                <w:szCs w:val="24"/>
                <w:highlight w:val="none"/>
                <w:vertAlign w:val="baseline"/>
                <w:lang w:val="en-US" w:eastAsia="zh-CN"/>
              </w:rPr>
              <w:t>其排放可满足《饮食业油烟排放标准（试行）》（GB18483-2001）中型规模标准。</w:t>
            </w:r>
          </w:p>
          <w:p w14:paraId="0D0724C9">
            <w:pPr>
              <w:widowControl w:val="0"/>
              <w:wordWrap/>
              <w:spacing w:line="360" w:lineRule="auto"/>
              <w:ind w:firstLine="482" w:firstLineChars="200"/>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lang w:val="en-US" w:eastAsia="zh-CN"/>
              </w:rPr>
              <w:t>（2）无组织废气达标分析</w:t>
            </w:r>
          </w:p>
          <w:p w14:paraId="2260A42A">
            <w:pPr>
              <w:widowControl w:val="0"/>
              <w:wordWrap/>
              <w:spacing w:line="360" w:lineRule="auto"/>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本项目生产过程中未收集的颗粒物在加强车间通风的情况下无组织排放，</w:t>
            </w:r>
            <w:r>
              <w:rPr>
                <w:rFonts w:hint="eastAsia" w:cs="Times New Roman"/>
                <w:bCs/>
                <w:color w:val="auto"/>
                <w:sz w:val="24"/>
                <w:szCs w:val="24"/>
                <w:highlight w:val="none"/>
                <w:lang w:val="en-US" w:eastAsia="zh-CN"/>
              </w:rPr>
              <w:t>颗粒物、非甲烷总烃、苯系物（二甲苯）、氟化物满足</w:t>
            </w:r>
            <w:r>
              <w:rPr>
                <w:rFonts w:hint="default" w:ascii="Times New Roman" w:hAnsi="Times New Roman" w:eastAsia="宋体" w:cs="Times New Roman"/>
                <w:color w:val="auto"/>
                <w:kern w:val="2"/>
                <w:sz w:val="24"/>
                <w:szCs w:val="24"/>
                <w:highlight w:val="none"/>
              </w:rPr>
              <w:t>广东省《大气污染物排放限值》（DB44/27-2001）第二时段无组织排放监控浓度限值</w:t>
            </w:r>
            <w:r>
              <w:rPr>
                <w:rFonts w:hint="eastAsia" w:ascii="Times New Roman" w:hAnsi="Times New Roman" w:eastAsia="宋体" w:cs="Times New Roman"/>
                <w:color w:val="auto"/>
                <w:kern w:val="2"/>
                <w:sz w:val="24"/>
                <w:szCs w:val="24"/>
                <w:highlight w:val="none"/>
                <w:lang w:val="en-US" w:eastAsia="zh-CN"/>
              </w:rPr>
              <w:t>要求</w:t>
            </w:r>
            <w:r>
              <w:rPr>
                <w:rFonts w:hint="default" w:ascii="Times New Roman" w:hAnsi="Times New Roman" w:eastAsia="宋体" w:cs="Times New Roman"/>
                <w:bCs/>
                <w:color w:val="auto"/>
                <w:sz w:val="24"/>
                <w:szCs w:val="24"/>
                <w:highlight w:val="none"/>
                <w:lang w:val="en-US" w:eastAsia="zh-CN"/>
              </w:rPr>
              <w:t>。</w:t>
            </w:r>
          </w:p>
          <w:p w14:paraId="3F7E655B">
            <w:pPr>
              <w:widowControl w:val="0"/>
              <w:wordWrap/>
              <w:spacing w:line="360" w:lineRule="auto"/>
              <w:ind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非甲烷总烃还满足</w:t>
            </w:r>
            <w:r>
              <w:rPr>
                <w:rFonts w:hint="default" w:ascii="Times New Roman" w:hAnsi="Times New Roman" w:eastAsia="宋体" w:cs="Times New Roman"/>
                <w:color w:val="auto"/>
                <w:kern w:val="2"/>
                <w:sz w:val="24"/>
                <w:szCs w:val="24"/>
                <w:highlight w:val="none"/>
              </w:rPr>
              <w:t>《固定污染源挥发性有机物综合排放标准》（DB44/2367-2022）表3厂区内VOCs 无组织排放限值要求</w:t>
            </w:r>
            <w:r>
              <w:rPr>
                <w:rFonts w:hint="eastAsia" w:ascii="Times New Roman" w:hAnsi="Times New Roman" w:eastAsia="宋体" w:cs="Times New Roman"/>
                <w:color w:val="auto"/>
                <w:kern w:val="2"/>
                <w:sz w:val="24"/>
                <w:szCs w:val="24"/>
                <w:highlight w:val="none"/>
                <w:lang w:val="en-US" w:eastAsia="zh-CN"/>
              </w:rPr>
              <w:t>。</w:t>
            </w:r>
          </w:p>
          <w:p w14:paraId="68F5E4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bidi="ar"/>
              </w:rPr>
              <w:t>本项目通过对污水处理设施</w:t>
            </w:r>
            <w:r>
              <w:rPr>
                <w:rFonts w:hint="default" w:ascii="Times New Roman" w:hAnsi="Times New Roman" w:cs="Times New Roman"/>
                <w:color w:val="auto"/>
                <w:sz w:val="24"/>
                <w:szCs w:val="24"/>
                <w:highlight w:val="none"/>
              </w:rPr>
              <w:t>采取加盖密闭、加强通风措施后</w:t>
            </w:r>
            <w:r>
              <w:rPr>
                <w:rFonts w:hint="default" w:ascii="Times New Roman" w:hAnsi="Times New Roman" w:eastAsia="宋体" w:cs="Times New Roman"/>
                <w:b w:val="0"/>
                <w:bCs w:val="0"/>
                <w:color w:val="auto"/>
                <w:kern w:val="0"/>
                <w:sz w:val="24"/>
                <w:szCs w:val="24"/>
                <w:highlight w:val="none"/>
                <w:lang w:val="en-US" w:eastAsia="zh-CN" w:bidi="ar"/>
              </w:rPr>
              <w:t>，</w:t>
            </w:r>
            <w:r>
              <w:rPr>
                <w:rFonts w:hint="default" w:ascii="Times New Roman" w:hAnsi="Times New Roman" w:eastAsia="宋体" w:cs="Times New Roman"/>
                <w:b w:val="0"/>
                <w:bCs w:val="0"/>
                <w:color w:val="auto"/>
                <w:kern w:val="2"/>
                <w:sz w:val="24"/>
                <w:szCs w:val="24"/>
                <w:highlight w:val="none"/>
                <w:lang w:val="en-US" w:eastAsia="zh-CN" w:bidi="ar"/>
              </w:rPr>
              <w:t>臭气浓度可满足</w:t>
            </w:r>
            <w:r>
              <w:rPr>
                <w:rFonts w:hint="default" w:ascii="Times New Roman" w:hAnsi="Times New Roman" w:eastAsia="宋体" w:cs="Times New Roman"/>
                <w:b w:val="0"/>
                <w:bCs w:val="0"/>
                <w:color w:val="auto"/>
                <w:kern w:val="0"/>
                <w:sz w:val="24"/>
                <w:szCs w:val="24"/>
                <w:highlight w:val="none"/>
                <w:lang w:val="en-US" w:eastAsia="zh-CN" w:bidi="ar"/>
              </w:rPr>
              <w:t>《恶臭污染物排放标准》(GB14554-93)表1二级标准中“新改扩建”限值要求。</w:t>
            </w:r>
          </w:p>
          <w:p w14:paraId="7590DA85">
            <w:pPr>
              <w:spacing w:line="336" w:lineRule="auto"/>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根据</w:t>
            </w:r>
            <w:r>
              <w:rPr>
                <w:rFonts w:hint="default" w:ascii="Times New Roman" w:hAnsi="Times New Roman" w:cs="Times New Roman"/>
                <w:color w:val="auto"/>
                <w:sz w:val="24"/>
                <w:highlight w:val="none"/>
              </w:rPr>
              <w:t>《2024年韶关市生态环境状况公报》</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color w:val="auto"/>
                <w:sz w:val="24"/>
                <w:highlight w:val="none"/>
              </w:rPr>
              <w:t>202</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lang w:val="en-US" w:eastAsia="zh-CN"/>
              </w:rPr>
              <w:t>乐昌</w:t>
            </w:r>
            <w:r>
              <w:rPr>
                <w:rFonts w:hint="default" w:ascii="Times New Roman" w:hAnsi="Times New Roman" w:eastAsia="宋体" w:cs="Times New Roman"/>
                <w:color w:val="auto"/>
                <w:sz w:val="24"/>
                <w:highlight w:val="none"/>
              </w:rPr>
              <w:t>市环境空气中</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eastAsia="宋体" w:cs="Times New Roman"/>
                <w:color w:val="auto"/>
                <w:sz w:val="24"/>
                <w:highlight w:val="none"/>
              </w:rPr>
              <w:t>二氧化硫、二氧化氮、可吸入颗粒物（PM</w:t>
            </w:r>
            <w:r>
              <w:rPr>
                <w:rFonts w:hint="default" w:ascii="Times New Roman" w:hAnsi="Times New Roman" w:eastAsia="宋体" w:cs="Times New Roman"/>
                <w:color w:val="auto"/>
                <w:sz w:val="24"/>
                <w:highlight w:val="none"/>
                <w:vertAlign w:val="subscript"/>
              </w:rPr>
              <w:t>10</w:t>
            </w:r>
            <w:r>
              <w:rPr>
                <w:rFonts w:hint="default" w:ascii="Times New Roman" w:hAnsi="Times New Roman" w:eastAsia="宋体" w:cs="Times New Roman"/>
                <w:color w:val="auto"/>
                <w:sz w:val="24"/>
                <w:highlight w:val="none"/>
              </w:rPr>
              <w:t>）、细颗粒物（PM</w:t>
            </w:r>
            <w:r>
              <w:rPr>
                <w:rFonts w:hint="default" w:ascii="Times New Roman" w:hAnsi="Times New Roman" w:eastAsia="宋体" w:cs="Times New Roman"/>
                <w:color w:val="auto"/>
                <w:sz w:val="24"/>
                <w:highlight w:val="none"/>
                <w:vertAlign w:val="subscript"/>
              </w:rPr>
              <w:t>2.5</w:t>
            </w:r>
            <w:r>
              <w:rPr>
                <w:rFonts w:hint="default" w:ascii="Times New Roman" w:hAnsi="Times New Roman" w:eastAsia="宋体" w:cs="Times New Roman"/>
                <w:color w:val="auto"/>
                <w:sz w:val="24"/>
                <w:highlight w:val="none"/>
              </w:rPr>
              <w:t>）年平均浓度及一氧化碳24小时平均第95百分位数、臭氧日最大8小时滑动平均值的第90百分位数均符合国家《环境空气质量标准》（GB3095-2026）过渡阶段浓度限值二级标准</w:t>
            </w:r>
            <w:r>
              <w:rPr>
                <w:rFonts w:hint="default" w:ascii="Times New Roman" w:hAnsi="Times New Roman" w:eastAsia="宋体" w:cs="Times New Roman"/>
                <w:color w:val="auto"/>
                <w:kern w:val="21"/>
                <w:sz w:val="24"/>
                <w:szCs w:val="24"/>
                <w:highlight w:val="none"/>
              </w:rPr>
              <w:t>。</w:t>
            </w:r>
            <w:r>
              <w:rPr>
                <w:rFonts w:hint="default" w:ascii="Times New Roman" w:hAnsi="Times New Roman" w:eastAsia="宋体" w:cs="Times New Roman"/>
                <w:bCs/>
                <w:color w:val="auto"/>
                <w:sz w:val="24"/>
                <w:szCs w:val="24"/>
                <w:highlight w:val="none"/>
              </w:rPr>
              <w:t>项目采取的废气治理设施为可行技术，厂界外500米范围内</w:t>
            </w:r>
            <w:r>
              <w:rPr>
                <w:rFonts w:hint="default" w:ascii="Times New Roman" w:hAnsi="Times New Roman" w:eastAsia="宋体" w:cs="Times New Roman"/>
                <w:color w:val="auto"/>
                <w:sz w:val="24"/>
                <w:szCs w:val="24"/>
                <w:highlight w:val="none"/>
                <w:lang w:val="en-US" w:eastAsia="zh-CN"/>
              </w:rPr>
              <w:t>大气环境保护目标为位于项目</w:t>
            </w:r>
            <w:r>
              <w:rPr>
                <w:rFonts w:hint="eastAsia" w:ascii="Times New Roman" w:hAnsi="Times New Roman" w:eastAsia="宋体" w:cs="Times New Roman"/>
                <w:color w:val="auto"/>
                <w:sz w:val="24"/>
                <w:szCs w:val="24"/>
                <w:highlight w:val="none"/>
                <w:lang w:val="en-US" w:eastAsia="zh-CN"/>
              </w:rPr>
              <w:t>东</w:t>
            </w:r>
            <w:r>
              <w:rPr>
                <w:rFonts w:hint="default" w:ascii="Times New Roman" w:hAnsi="Times New Roman" w:eastAsia="宋体" w:cs="Times New Roman"/>
                <w:color w:val="auto"/>
                <w:sz w:val="24"/>
                <w:szCs w:val="24"/>
                <w:highlight w:val="none"/>
                <w:lang w:val="en-US" w:eastAsia="zh-CN"/>
              </w:rPr>
              <w:t>北面</w:t>
            </w:r>
            <w:r>
              <w:rPr>
                <w:rFonts w:hint="eastAsia" w:cs="Times New Roman"/>
                <w:color w:val="auto"/>
                <w:sz w:val="24"/>
                <w:szCs w:val="24"/>
                <w:highlight w:val="none"/>
                <w:lang w:val="en-US" w:eastAsia="zh-CN"/>
              </w:rPr>
              <w:t>377</w:t>
            </w:r>
            <w:r>
              <w:rPr>
                <w:rFonts w:hint="default" w:ascii="Times New Roman" w:hAnsi="Times New Roman" w:eastAsia="宋体" w:cs="Times New Roman"/>
                <w:color w:val="auto"/>
                <w:sz w:val="24"/>
                <w:szCs w:val="24"/>
                <w:highlight w:val="none"/>
                <w:lang w:val="en-US" w:eastAsia="zh-CN"/>
              </w:rPr>
              <w:t>m的王屋小学</w:t>
            </w:r>
            <w:r>
              <w:rPr>
                <w:rFonts w:hint="eastAsia" w:cs="Times New Roman"/>
                <w:color w:val="auto"/>
                <w:sz w:val="24"/>
                <w:szCs w:val="24"/>
                <w:highlight w:val="none"/>
                <w:lang w:val="en-US" w:eastAsia="zh-CN"/>
              </w:rPr>
              <w:t>、464m处村落</w:t>
            </w:r>
            <w:r>
              <w:rPr>
                <w:rFonts w:hint="default" w:ascii="Times New Roman" w:hAnsi="Times New Roman" w:eastAsia="宋体" w:cs="Times New Roman"/>
                <w:color w:val="auto"/>
                <w:sz w:val="24"/>
                <w:szCs w:val="24"/>
                <w:highlight w:val="none"/>
                <w:lang w:val="en-US" w:eastAsia="zh-CN"/>
              </w:rPr>
              <w:t>，且不在多年主导风向下风向，</w:t>
            </w:r>
            <w:r>
              <w:rPr>
                <w:rFonts w:hint="default" w:ascii="Times New Roman" w:hAnsi="Times New Roman" w:eastAsia="宋体" w:cs="Times New Roman"/>
                <w:bCs/>
                <w:color w:val="auto"/>
                <w:sz w:val="24"/>
                <w:szCs w:val="24"/>
                <w:highlight w:val="none"/>
              </w:rPr>
              <w:t>在建设单位在加强环保管理，确保废气处理设施的正常运行的情况下，废气经收集处理后可做到稳定达标。项目在废气稳定达标的前提下，项目对周边环境</w:t>
            </w:r>
            <w:r>
              <w:rPr>
                <w:rFonts w:hint="default" w:ascii="Times New Roman" w:hAnsi="Times New Roman" w:eastAsia="宋体" w:cs="Times New Roman"/>
                <w:bCs/>
                <w:color w:val="auto"/>
                <w:sz w:val="24"/>
                <w:szCs w:val="24"/>
                <w:highlight w:val="none"/>
                <w:lang w:val="en-US" w:eastAsia="zh-CN"/>
              </w:rPr>
              <w:t>空气及</w:t>
            </w:r>
            <w:r>
              <w:rPr>
                <w:rFonts w:hint="default" w:ascii="Times New Roman" w:hAnsi="Times New Roman" w:eastAsia="宋体" w:cs="Times New Roman"/>
                <w:color w:val="auto"/>
                <w:sz w:val="24"/>
                <w:szCs w:val="24"/>
                <w:highlight w:val="none"/>
                <w:lang w:val="en-US" w:eastAsia="zh-CN"/>
              </w:rPr>
              <w:t>大气环境保护目标</w:t>
            </w:r>
            <w:r>
              <w:rPr>
                <w:rFonts w:hint="default" w:ascii="Times New Roman" w:hAnsi="Times New Roman" w:eastAsia="宋体" w:cs="Times New Roman"/>
                <w:bCs/>
                <w:color w:val="auto"/>
                <w:sz w:val="24"/>
                <w:szCs w:val="24"/>
                <w:highlight w:val="none"/>
              </w:rPr>
              <w:t>的影响是可以接受的。</w:t>
            </w:r>
          </w:p>
          <w:p w14:paraId="72BF7CEA">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1.5</w:t>
            </w:r>
            <w:r>
              <w:rPr>
                <w:rFonts w:hint="default" w:ascii="Times New Roman" w:hAnsi="Times New Roman" w:eastAsia="宋体" w:cs="Times New Roman"/>
                <w:b/>
                <w:bCs/>
                <w:color w:val="auto"/>
                <w:sz w:val="24"/>
                <w:szCs w:val="24"/>
                <w:highlight w:val="none"/>
                <w:lang w:val="en-US" w:eastAsia="zh-CN"/>
              </w:rPr>
              <w:t>废气非正常工况分析</w:t>
            </w:r>
          </w:p>
          <w:p w14:paraId="23B184B3">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非正常排放是指生产过程中开停车（工、炉）、设备检修、工艺设备运转异常等非正常情况下的污染物排放，以及污</w:t>
            </w:r>
            <w:r>
              <w:rPr>
                <w:rFonts w:hint="default" w:ascii="Times New Roman" w:hAnsi="Times New Roman" w:eastAsia="宋体" w:cs="Times New Roman"/>
                <w:color w:val="auto"/>
                <w:sz w:val="24"/>
                <w:szCs w:val="24"/>
                <w:highlight w:val="none"/>
              </w:rPr>
              <w:t>染物排放控制措施达不到应有效率等情况下的排放。本项目废气非正常工况排放主要为</w:t>
            </w:r>
            <w:r>
              <w:rPr>
                <w:rFonts w:hint="eastAsia" w:cs="Times New Roman"/>
                <w:color w:val="auto"/>
                <w:sz w:val="24"/>
                <w:szCs w:val="24"/>
                <w:highlight w:val="none"/>
                <w:lang w:val="en-US" w:eastAsia="zh-CN"/>
              </w:rPr>
              <w:t>废气设施</w:t>
            </w:r>
            <w:r>
              <w:rPr>
                <w:rFonts w:hint="default" w:ascii="Times New Roman" w:hAnsi="Times New Roman" w:eastAsia="宋体" w:cs="Times New Roman"/>
                <w:color w:val="auto"/>
                <w:sz w:val="24"/>
                <w:szCs w:val="24"/>
                <w:highlight w:val="none"/>
                <w:lang w:val="en-US" w:eastAsia="zh-CN"/>
              </w:rPr>
              <w:t>故障，</w:t>
            </w:r>
            <w:r>
              <w:rPr>
                <w:rFonts w:hint="default" w:ascii="Times New Roman" w:hAnsi="Times New Roman" w:eastAsia="宋体" w:cs="Times New Roman"/>
                <w:color w:val="auto"/>
                <w:sz w:val="24"/>
                <w:szCs w:val="24"/>
                <w:highlight w:val="none"/>
              </w:rPr>
              <w:t>废气未经处理直接排放，废气处理效率</w:t>
            </w:r>
            <w:r>
              <w:rPr>
                <w:rFonts w:hint="default" w:ascii="Times New Roman" w:hAnsi="Times New Roman" w:eastAsia="宋体" w:cs="Times New Roman"/>
                <w:color w:val="auto"/>
                <w:sz w:val="24"/>
                <w:szCs w:val="24"/>
                <w:highlight w:val="none"/>
                <w:lang w:eastAsia="zh-CN"/>
              </w:rPr>
              <w:t>降</w:t>
            </w:r>
            <w:r>
              <w:rPr>
                <w:rFonts w:hint="default" w:ascii="Times New Roman" w:hAnsi="Times New Roman" w:eastAsia="宋体" w:cs="Times New Roman"/>
                <w:color w:val="auto"/>
                <w:sz w:val="24"/>
                <w:szCs w:val="24"/>
                <w:highlight w:val="none"/>
              </w:rPr>
              <w:t>为0%的状态估算，但废气收集系统可以正常运行，废气通过排气筒排放等情况，废气处理设施出现故障时不能正常运行时，应立即停产进行维修，避免对周围环境造成污染。</w:t>
            </w:r>
          </w:p>
          <w:p w14:paraId="38EE9BA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19</w:t>
            </w:r>
            <w:r>
              <w:rPr>
                <w:rFonts w:hint="default" w:ascii="Times New Roman" w:hAnsi="Times New Roman" w:eastAsia="宋体" w:cs="Times New Roman"/>
                <w:b/>
                <w:bCs/>
                <w:color w:val="auto"/>
                <w:sz w:val="21"/>
                <w:szCs w:val="21"/>
                <w:highlight w:val="none"/>
                <w:lang w:eastAsia="zh-CN"/>
              </w:rPr>
              <w:t>本项目污染源非正常排放量核算表</w:t>
            </w:r>
          </w:p>
          <w:tbl>
            <w:tblPr>
              <w:tblStyle w:val="132"/>
              <w:tblW w:w="499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1"/>
              <w:gridCol w:w="935"/>
              <w:gridCol w:w="1535"/>
              <w:gridCol w:w="1094"/>
              <w:gridCol w:w="1281"/>
              <w:gridCol w:w="871"/>
              <w:gridCol w:w="660"/>
              <w:gridCol w:w="599"/>
              <w:gridCol w:w="1009"/>
            </w:tblGrid>
            <w:tr w14:paraId="21E5F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tcBorders>
                    <w:tl2br w:val="nil"/>
                    <w:tr2bl w:val="nil"/>
                  </w:tcBorders>
                  <w:noWrap w:val="0"/>
                  <w:vAlign w:val="center"/>
                </w:tcPr>
                <w:p w14:paraId="2C48EF69">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序号</w:t>
                  </w:r>
                </w:p>
              </w:tc>
              <w:tc>
                <w:tcPr>
                  <w:tcW w:w="934" w:type="dxa"/>
                  <w:tcBorders>
                    <w:tl2br w:val="nil"/>
                    <w:tr2bl w:val="nil"/>
                  </w:tcBorders>
                  <w:noWrap w:val="0"/>
                  <w:vAlign w:val="center"/>
                </w:tcPr>
                <w:p w14:paraId="16CE4998">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排放源</w:t>
                  </w:r>
                </w:p>
              </w:tc>
              <w:tc>
                <w:tcPr>
                  <w:tcW w:w="1534" w:type="dxa"/>
                  <w:tcBorders>
                    <w:tl2br w:val="nil"/>
                    <w:tr2bl w:val="nil"/>
                  </w:tcBorders>
                  <w:noWrap w:val="0"/>
                  <w:vAlign w:val="center"/>
                </w:tcPr>
                <w:p w14:paraId="6862BAC2">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非正常排放原因</w:t>
                  </w:r>
                </w:p>
              </w:tc>
              <w:tc>
                <w:tcPr>
                  <w:tcW w:w="1093" w:type="dxa"/>
                  <w:tcBorders>
                    <w:tl2br w:val="nil"/>
                    <w:tr2bl w:val="nil"/>
                  </w:tcBorders>
                  <w:noWrap w:val="0"/>
                  <w:vAlign w:val="center"/>
                </w:tcPr>
                <w:p w14:paraId="5A993654">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污染物</w:t>
                  </w:r>
                </w:p>
              </w:tc>
              <w:tc>
                <w:tcPr>
                  <w:tcW w:w="1280" w:type="dxa"/>
                  <w:tcBorders>
                    <w:tl2br w:val="nil"/>
                    <w:tr2bl w:val="nil"/>
                  </w:tcBorders>
                  <w:noWrap w:val="0"/>
                  <w:vAlign w:val="center"/>
                </w:tcPr>
                <w:p w14:paraId="7166B10E">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870" w:type="dxa"/>
                  <w:tcBorders>
                    <w:tl2br w:val="nil"/>
                    <w:tr2bl w:val="nil"/>
                  </w:tcBorders>
                  <w:noWrap w:val="0"/>
                  <w:vAlign w:val="center"/>
                </w:tcPr>
                <w:p w14:paraId="3C5EEEFB">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非正常排放速率</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660" w:type="dxa"/>
                  <w:tcBorders>
                    <w:tl2br w:val="nil"/>
                    <w:tr2bl w:val="nil"/>
                  </w:tcBorders>
                  <w:noWrap w:val="0"/>
                  <w:vAlign w:val="center"/>
                </w:tcPr>
                <w:p w14:paraId="38186C03">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单次持续时间</w:t>
                  </w:r>
                  <w:r>
                    <w:rPr>
                      <w:rFonts w:hint="default" w:ascii="Times New Roman" w:hAnsi="Times New Roman" w:eastAsia="宋体" w:cs="Times New Roman"/>
                      <w:b/>
                      <w:bCs/>
                      <w:i w:val="0"/>
                      <w:iCs w:val="0"/>
                      <w:color w:val="auto"/>
                      <w:kern w:val="0"/>
                      <w:sz w:val="21"/>
                      <w:szCs w:val="21"/>
                      <w:u w:val="none"/>
                      <w:lang w:val="en-US" w:eastAsia="zh-CN" w:bidi="ar"/>
                    </w:rPr>
                    <w:t>/h</w:t>
                  </w:r>
                </w:p>
              </w:tc>
              <w:tc>
                <w:tcPr>
                  <w:tcW w:w="599" w:type="dxa"/>
                  <w:tcBorders>
                    <w:tl2br w:val="nil"/>
                    <w:tr2bl w:val="nil"/>
                  </w:tcBorders>
                  <w:noWrap w:val="0"/>
                  <w:vAlign w:val="center"/>
                </w:tcPr>
                <w:p w14:paraId="3687870D">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年发生频次</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次</w:t>
                  </w:r>
                </w:p>
              </w:tc>
              <w:tc>
                <w:tcPr>
                  <w:tcW w:w="1008" w:type="dxa"/>
                  <w:tcBorders>
                    <w:tl2br w:val="nil"/>
                    <w:tr2bl w:val="nil"/>
                  </w:tcBorders>
                  <w:noWrap w:val="0"/>
                  <w:vAlign w:val="center"/>
                </w:tcPr>
                <w:p w14:paraId="66919989">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应对措施</w:t>
                  </w:r>
                </w:p>
              </w:tc>
            </w:tr>
            <w:tr w14:paraId="3545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700F030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cs="Times New Roman"/>
                      <w:i w:val="0"/>
                      <w:iCs w:val="0"/>
                      <w:color w:val="auto"/>
                      <w:kern w:val="0"/>
                      <w:sz w:val="21"/>
                      <w:szCs w:val="21"/>
                      <w:u w:val="none"/>
                      <w:lang w:val="en-US" w:eastAsia="zh-CN" w:bidi="ar"/>
                    </w:rPr>
                    <w:t>1</w:t>
                  </w:r>
                </w:p>
              </w:tc>
              <w:tc>
                <w:tcPr>
                  <w:tcW w:w="934" w:type="dxa"/>
                  <w:vMerge w:val="restart"/>
                  <w:tcBorders>
                    <w:tl2br w:val="nil"/>
                    <w:tr2bl w:val="nil"/>
                  </w:tcBorders>
                  <w:noWrap w:val="0"/>
                  <w:vAlign w:val="center"/>
                </w:tcPr>
                <w:p w14:paraId="06D8FB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DA001</w:t>
                  </w:r>
                  <w:r>
                    <w:rPr>
                      <w:rFonts w:hint="eastAsia" w:ascii="宋体" w:hAnsi="宋体" w:eastAsia="宋体" w:cs="宋体"/>
                      <w:i w:val="0"/>
                      <w:iCs w:val="0"/>
                      <w:color w:val="auto"/>
                      <w:kern w:val="0"/>
                      <w:sz w:val="21"/>
                      <w:szCs w:val="21"/>
                      <w:u w:val="none"/>
                      <w:lang w:val="en-US" w:eastAsia="zh-CN" w:bidi="ar"/>
                    </w:rPr>
                    <w:t>排气筒</w:t>
                  </w:r>
                </w:p>
              </w:tc>
              <w:tc>
                <w:tcPr>
                  <w:tcW w:w="1534" w:type="dxa"/>
                  <w:vMerge w:val="restart"/>
                  <w:tcBorders>
                    <w:tl2br w:val="nil"/>
                    <w:tr2bl w:val="nil"/>
                  </w:tcBorders>
                  <w:noWrap w:val="0"/>
                  <w:vAlign w:val="center"/>
                </w:tcPr>
                <w:p w14:paraId="764DCFB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5C4669C5">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1280" w:type="dxa"/>
                  <w:tcBorders>
                    <w:tl2br w:val="nil"/>
                    <w:tr2bl w:val="nil"/>
                  </w:tcBorders>
                  <w:noWrap w:val="0"/>
                  <w:vAlign w:val="center"/>
                </w:tcPr>
                <w:p w14:paraId="2E16475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870" w:type="dxa"/>
                  <w:tcBorders>
                    <w:tl2br w:val="nil"/>
                    <w:tr2bl w:val="nil"/>
                  </w:tcBorders>
                  <w:noWrap w:val="0"/>
                  <w:vAlign w:val="center"/>
                </w:tcPr>
                <w:p w14:paraId="7A5098D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660" w:type="dxa"/>
                  <w:vMerge w:val="restart"/>
                  <w:tcBorders>
                    <w:tl2br w:val="nil"/>
                    <w:tr2bl w:val="nil"/>
                  </w:tcBorders>
                  <w:noWrap w:val="0"/>
                  <w:vAlign w:val="center"/>
                </w:tcPr>
                <w:p w14:paraId="3BCF69F0">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599" w:type="dxa"/>
                  <w:vMerge w:val="restart"/>
                  <w:tcBorders>
                    <w:tl2br w:val="nil"/>
                    <w:tr2bl w:val="nil"/>
                  </w:tcBorders>
                  <w:noWrap w:val="0"/>
                  <w:vAlign w:val="center"/>
                </w:tcPr>
                <w:p w14:paraId="35FF2CF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8" w:type="dxa"/>
                  <w:vMerge w:val="restart"/>
                  <w:tcBorders>
                    <w:tl2br w:val="nil"/>
                    <w:tr2bl w:val="nil"/>
                  </w:tcBorders>
                  <w:noWrap w:val="0"/>
                  <w:vAlign w:val="center"/>
                </w:tcPr>
                <w:p w14:paraId="365FBDA1">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r w14:paraId="242DD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A7A7FA8">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4DC0535F">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3E6435BD">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1CFD683D">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1280" w:type="dxa"/>
                  <w:tcBorders>
                    <w:tl2br w:val="nil"/>
                    <w:tr2bl w:val="nil"/>
                  </w:tcBorders>
                  <w:noWrap w:val="0"/>
                  <w:vAlign w:val="center"/>
                </w:tcPr>
                <w:p w14:paraId="09D7452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8.6 </w:t>
                  </w:r>
                </w:p>
              </w:tc>
              <w:tc>
                <w:tcPr>
                  <w:tcW w:w="870" w:type="dxa"/>
                  <w:tcBorders>
                    <w:tl2br w:val="nil"/>
                    <w:tr2bl w:val="nil"/>
                  </w:tcBorders>
                  <w:noWrap w:val="0"/>
                  <w:vAlign w:val="center"/>
                </w:tcPr>
                <w:p w14:paraId="5B92366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1.562 </w:t>
                  </w:r>
                </w:p>
              </w:tc>
              <w:tc>
                <w:tcPr>
                  <w:tcW w:w="660" w:type="dxa"/>
                  <w:vMerge w:val="continue"/>
                  <w:tcBorders>
                    <w:tl2br w:val="nil"/>
                    <w:tr2bl w:val="nil"/>
                  </w:tcBorders>
                  <w:noWrap w:val="0"/>
                  <w:vAlign w:val="center"/>
                </w:tcPr>
                <w:p w14:paraId="4B4515E1">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0BE2E4A9">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5D1C6ACA">
                  <w:pPr>
                    <w:jc w:val="center"/>
                    <w:rPr>
                      <w:rFonts w:hint="default" w:ascii="Times New Roman" w:hAnsi="Times New Roman" w:eastAsia="宋体" w:cs="Times New Roman"/>
                      <w:snapToGrid/>
                      <w:color w:val="auto"/>
                      <w:kern w:val="2"/>
                      <w:sz w:val="21"/>
                      <w:szCs w:val="21"/>
                      <w:highlight w:val="none"/>
                      <w:lang w:eastAsia="zh-CN"/>
                    </w:rPr>
                  </w:pPr>
                </w:p>
              </w:tc>
            </w:tr>
            <w:tr w14:paraId="4B4E3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1054050">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0864DAB5">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0A09DDBE">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shd w:val="clear" w:color="auto" w:fill="auto"/>
                  <w:noWrap w:val="0"/>
                  <w:vAlign w:val="center"/>
                </w:tcPr>
                <w:p w14:paraId="0927E60D">
                  <w:pPr>
                    <w:keepNext w:val="0"/>
                    <w:keepLines w:val="0"/>
                    <w:widowControl/>
                    <w:suppressLineNumbers w:val="0"/>
                    <w:jc w:val="center"/>
                    <w:textAlignment w:val="center"/>
                    <w:rPr>
                      <w:rFonts w:hint="eastAsia" w:ascii="Times New Roman" w:hAnsi="Times New Roman" w:eastAsia="宋体" w:cs="Times New Roman"/>
                      <w:snapToGrid/>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苯系物</w:t>
                  </w:r>
                </w:p>
              </w:tc>
              <w:tc>
                <w:tcPr>
                  <w:tcW w:w="1280" w:type="dxa"/>
                  <w:tcBorders>
                    <w:tl2br w:val="nil"/>
                    <w:tr2bl w:val="nil"/>
                  </w:tcBorders>
                  <w:shd w:val="clear" w:color="auto" w:fill="auto"/>
                  <w:noWrap w:val="0"/>
                  <w:vAlign w:val="center"/>
                </w:tcPr>
                <w:p w14:paraId="4E0A3A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4.3 </w:t>
                  </w:r>
                </w:p>
              </w:tc>
              <w:tc>
                <w:tcPr>
                  <w:tcW w:w="870" w:type="dxa"/>
                  <w:tcBorders>
                    <w:tl2br w:val="nil"/>
                    <w:tr2bl w:val="nil"/>
                  </w:tcBorders>
                  <w:shd w:val="clear" w:color="auto" w:fill="auto"/>
                  <w:noWrap w:val="0"/>
                  <w:vAlign w:val="center"/>
                </w:tcPr>
                <w:p w14:paraId="670E0E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0.777 </w:t>
                  </w:r>
                </w:p>
              </w:tc>
              <w:tc>
                <w:tcPr>
                  <w:tcW w:w="660" w:type="dxa"/>
                  <w:vMerge w:val="continue"/>
                  <w:tcBorders>
                    <w:tl2br w:val="nil"/>
                    <w:tr2bl w:val="nil"/>
                  </w:tcBorders>
                  <w:noWrap w:val="0"/>
                  <w:vAlign w:val="center"/>
                </w:tcPr>
                <w:p w14:paraId="5BF37F46">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57401444">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6DD1EAFD">
                  <w:pPr>
                    <w:jc w:val="center"/>
                    <w:rPr>
                      <w:rFonts w:hint="default" w:ascii="Times New Roman" w:hAnsi="Times New Roman" w:eastAsia="宋体" w:cs="Times New Roman"/>
                      <w:snapToGrid/>
                      <w:color w:val="auto"/>
                      <w:kern w:val="2"/>
                      <w:sz w:val="21"/>
                      <w:szCs w:val="21"/>
                      <w:highlight w:val="none"/>
                      <w:lang w:eastAsia="zh-CN"/>
                    </w:rPr>
                  </w:pPr>
                </w:p>
              </w:tc>
            </w:tr>
            <w:tr w14:paraId="64D69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4B33FFFC">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25866ACB">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7FE8C730">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7C294DE9">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1280" w:type="dxa"/>
                  <w:tcBorders>
                    <w:tl2br w:val="nil"/>
                    <w:tr2bl w:val="nil"/>
                  </w:tcBorders>
                  <w:noWrap w:val="0"/>
                  <w:vAlign w:val="center"/>
                </w:tcPr>
                <w:p w14:paraId="0504D8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0" w:type="dxa"/>
                  <w:tcBorders>
                    <w:tl2br w:val="nil"/>
                    <w:tr2bl w:val="nil"/>
                  </w:tcBorders>
                  <w:noWrap w:val="0"/>
                  <w:vAlign w:val="center"/>
                </w:tcPr>
                <w:p w14:paraId="57DDE2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660" w:type="dxa"/>
                  <w:vMerge w:val="continue"/>
                  <w:tcBorders>
                    <w:tl2br w:val="nil"/>
                    <w:tr2bl w:val="nil"/>
                  </w:tcBorders>
                  <w:noWrap w:val="0"/>
                  <w:vAlign w:val="center"/>
                </w:tcPr>
                <w:p w14:paraId="6C976287">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3DE0A12F">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6D02B071">
                  <w:pPr>
                    <w:jc w:val="center"/>
                    <w:rPr>
                      <w:rFonts w:hint="default" w:ascii="Times New Roman" w:hAnsi="Times New Roman" w:eastAsia="宋体" w:cs="Times New Roman"/>
                      <w:snapToGrid/>
                      <w:color w:val="auto"/>
                      <w:kern w:val="2"/>
                      <w:sz w:val="21"/>
                      <w:szCs w:val="21"/>
                      <w:highlight w:val="none"/>
                      <w:lang w:eastAsia="zh-CN"/>
                    </w:rPr>
                  </w:pPr>
                </w:p>
              </w:tc>
            </w:tr>
            <w:tr w14:paraId="03707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3E440CF0">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cs="Times New Roman"/>
                      <w:i w:val="0"/>
                      <w:iCs w:val="0"/>
                      <w:color w:val="auto"/>
                      <w:kern w:val="0"/>
                      <w:sz w:val="21"/>
                      <w:szCs w:val="21"/>
                      <w:u w:val="none"/>
                      <w:lang w:val="en-US" w:eastAsia="zh-CN" w:bidi="ar"/>
                    </w:rPr>
                    <w:t>2</w:t>
                  </w:r>
                </w:p>
              </w:tc>
              <w:tc>
                <w:tcPr>
                  <w:tcW w:w="934" w:type="dxa"/>
                  <w:vMerge w:val="restart"/>
                  <w:tcBorders>
                    <w:tl2br w:val="nil"/>
                    <w:tr2bl w:val="nil"/>
                  </w:tcBorders>
                  <w:noWrap w:val="0"/>
                  <w:vAlign w:val="center"/>
                </w:tcPr>
                <w:p w14:paraId="64796C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DA002</w:t>
                  </w:r>
                  <w:r>
                    <w:rPr>
                      <w:rFonts w:hint="eastAsia" w:ascii="宋体" w:hAnsi="宋体" w:eastAsia="宋体" w:cs="宋体"/>
                      <w:i w:val="0"/>
                      <w:iCs w:val="0"/>
                      <w:color w:val="auto"/>
                      <w:kern w:val="0"/>
                      <w:sz w:val="21"/>
                      <w:szCs w:val="21"/>
                      <w:u w:val="none"/>
                      <w:lang w:val="en-US" w:eastAsia="zh-CN" w:bidi="ar"/>
                    </w:rPr>
                    <w:t>排气筒</w:t>
                  </w:r>
                </w:p>
              </w:tc>
              <w:tc>
                <w:tcPr>
                  <w:tcW w:w="1534" w:type="dxa"/>
                  <w:vMerge w:val="restart"/>
                  <w:tcBorders>
                    <w:tl2br w:val="nil"/>
                    <w:tr2bl w:val="nil"/>
                  </w:tcBorders>
                  <w:noWrap w:val="0"/>
                  <w:vAlign w:val="center"/>
                </w:tcPr>
                <w:p w14:paraId="181DCFC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33027167">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1280" w:type="dxa"/>
                  <w:tcBorders>
                    <w:tl2br w:val="nil"/>
                    <w:tr2bl w:val="nil"/>
                  </w:tcBorders>
                  <w:noWrap w:val="0"/>
                  <w:vAlign w:val="center"/>
                </w:tcPr>
                <w:p w14:paraId="7C6505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 </w:t>
                  </w:r>
                </w:p>
              </w:tc>
              <w:tc>
                <w:tcPr>
                  <w:tcW w:w="870" w:type="dxa"/>
                  <w:tcBorders>
                    <w:tl2br w:val="nil"/>
                    <w:tr2bl w:val="nil"/>
                  </w:tcBorders>
                  <w:noWrap w:val="0"/>
                  <w:vAlign w:val="center"/>
                </w:tcPr>
                <w:p w14:paraId="339028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0.175 </w:t>
                  </w:r>
                </w:p>
              </w:tc>
              <w:tc>
                <w:tcPr>
                  <w:tcW w:w="660" w:type="dxa"/>
                  <w:vMerge w:val="restart"/>
                  <w:tcBorders>
                    <w:tl2br w:val="nil"/>
                    <w:tr2bl w:val="nil"/>
                  </w:tcBorders>
                  <w:noWrap w:val="0"/>
                  <w:vAlign w:val="center"/>
                </w:tcPr>
                <w:p w14:paraId="34FD44C2">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599" w:type="dxa"/>
                  <w:vMerge w:val="restart"/>
                  <w:tcBorders>
                    <w:tl2br w:val="nil"/>
                    <w:tr2bl w:val="nil"/>
                  </w:tcBorders>
                  <w:noWrap w:val="0"/>
                  <w:vAlign w:val="center"/>
                </w:tcPr>
                <w:p w14:paraId="6BF845EE">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8" w:type="dxa"/>
                  <w:vMerge w:val="restart"/>
                  <w:tcBorders>
                    <w:tl2br w:val="nil"/>
                    <w:tr2bl w:val="nil"/>
                  </w:tcBorders>
                  <w:noWrap w:val="0"/>
                  <w:vAlign w:val="center"/>
                </w:tcPr>
                <w:p w14:paraId="299E1EEC">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r w14:paraId="1F0E3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53906C57">
                  <w:pPr>
                    <w:jc w:val="center"/>
                    <w:rPr>
                      <w:rFonts w:hint="eastAsia" w:ascii="Times New Roman" w:hAnsi="Times New Roman" w:eastAsia="宋体" w:cs="Times New Roman"/>
                      <w:snapToGrid/>
                      <w:color w:val="auto"/>
                      <w:kern w:val="2"/>
                      <w:sz w:val="21"/>
                      <w:szCs w:val="21"/>
                      <w:lang w:val="en-US" w:eastAsia="zh-CN"/>
                    </w:rPr>
                  </w:pPr>
                </w:p>
              </w:tc>
              <w:tc>
                <w:tcPr>
                  <w:tcW w:w="934" w:type="dxa"/>
                  <w:vMerge w:val="continue"/>
                  <w:tcBorders>
                    <w:tl2br w:val="nil"/>
                    <w:tr2bl w:val="nil"/>
                  </w:tcBorders>
                  <w:noWrap w:val="0"/>
                  <w:vAlign w:val="center"/>
                </w:tcPr>
                <w:p w14:paraId="36779F39">
                  <w:pPr>
                    <w:jc w:val="center"/>
                    <w:rPr>
                      <w:rFonts w:hint="eastAsia" w:ascii="Times New Roman" w:hAnsi="Times New Roman" w:eastAsia="宋体" w:cs="Times New Roman"/>
                      <w:i w:val="0"/>
                      <w:iCs w:val="0"/>
                      <w:color w:val="auto"/>
                      <w:kern w:val="0"/>
                      <w:sz w:val="21"/>
                      <w:szCs w:val="21"/>
                      <w:u w:val="none"/>
                      <w:lang w:val="en-US" w:eastAsia="zh-CN" w:bidi="ar"/>
                    </w:rPr>
                  </w:pPr>
                </w:p>
              </w:tc>
              <w:tc>
                <w:tcPr>
                  <w:tcW w:w="1534" w:type="dxa"/>
                  <w:vMerge w:val="continue"/>
                  <w:tcBorders>
                    <w:tl2br w:val="nil"/>
                    <w:tr2bl w:val="nil"/>
                  </w:tcBorders>
                  <w:noWrap w:val="0"/>
                  <w:vAlign w:val="center"/>
                </w:tcPr>
                <w:p w14:paraId="31327884">
                  <w:pPr>
                    <w:jc w:val="center"/>
                    <w:rPr>
                      <w:rFonts w:hint="eastAsia" w:ascii="Times New Roman" w:hAnsi="Times New Roman" w:eastAsia="宋体" w:cs="Times New Roman"/>
                      <w:color w:val="auto"/>
                      <w:sz w:val="21"/>
                      <w:szCs w:val="21"/>
                      <w:lang w:val="en-US" w:eastAsia="zh-CN"/>
                    </w:rPr>
                  </w:pPr>
                </w:p>
              </w:tc>
              <w:tc>
                <w:tcPr>
                  <w:tcW w:w="1093" w:type="dxa"/>
                  <w:tcBorders>
                    <w:tl2br w:val="nil"/>
                    <w:tr2bl w:val="nil"/>
                  </w:tcBorders>
                  <w:noWrap w:val="0"/>
                  <w:vAlign w:val="center"/>
                </w:tcPr>
                <w:p w14:paraId="63103F1C">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1280" w:type="dxa"/>
                  <w:tcBorders>
                    <w:tl2br w:val="nil"/>
                    <w:tr2bl w:val="nil"/>
                  </w:tcBorders>
                  <w:noWrap w:val="0"/>
                  <w:vAlign w:val="center"/>
                </w:tcPr>
                <w:p w14:paraId="01BA2254">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870" w:type="dxa"/>
                  <w:tcBorders>
                    <w:tl2br w:val="nil"/>
                    <w:tr2bl w:val="nil"/>
                  </w:tcBorders>
                  <w:noWrap w:val="0"/>
                  <w:vAlign w:val="center"/>
                </w:tcPr>
                <w:p w14:paraId="67A58D11">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660" w:type="dxa"/>
                  <w:vMerge w:val="continue"/>
                  <w:tcBorders>
                    <w:tl2br w:val="nil"/>
                    <w:tr2bl w:val="nil"/>
                  </w:tcBorders>
                  <w:noWrap w:val="0"/>
                  <w:vAlign w:val="center"/>
                </w:tcPr>
                <w:p w14:paraId="351795D9">
                  <w:pPr>
                    <w:jc w:val="center"/>
                    <w:rPr>
                      <w:rFonts w:hint="default" w:ascii="Times New Roman" w:hAnsi="Times New Roman" w:eastAsia="宋体" w:cs="Times New Roman"/>
                      <w:snapToGrid/>
                      <w:color w:val="auto"/>
                      <w:kern w:val="2"/>
                      <w:sz w:val="21"/>
                      <w:szCs w:val="21"/>
                      <w:lang w:eastAsia="zh-CN"/>
                    </w:rPr>
                  </w:pPr>
                </w:p>
              </w:tc>
              <w:tc>
                <w:tcPr>
                  <w:tcW w:w="599" w:type="dxa"/>
                  <w:vMerge w:val="continue"/>
                  <w:tcBorders>
                    <w:tl2br w:val="nil"/>
                    <w:tr2bl w:val="nil"/>
                  </w:tcBorders>
                  <w:noWrap w:val="0"/>
                  <w:vAlign w:val="center"/>
                </w:tcPr>
                <w:p w14:paraId="1A191914">
                  <w:pPr>
                    <w:jc w:val="center"/>
                    <w:rPr>
                      <w:rFonts w:hint="eastAsia" w:ascii="Times New Roman" w:hAnsi="Times New Roman" w:eastAsia="宋体" w:cs="Times New Roman"/>
                      <w:snapToGrid/>
                      <w:color w:val="auto"/>
                      <w:kern w:val="2"/>
                      <w:sz w:val="21"/>
                      <w:szCs w:val="21"/>
                      <w:lang w:val="en-US" w:eastAsia="zh-CN"/>
                    </w:rPr>
                  </w:pPr>
                </w:p>
              </w:tc>
              <w:tc>
                <w:tcPr>
                  <w:tcW w:w="1008" w:type="dxa"/>
                  <w:vMerge w:val="continue"/>
                  <w:tcBorders>
                    <w:tl2br w:val="nil"/>
                    <w:tr2bl w:val="nil"/>
                  </w:tcBorders>
                  <w:noWrap w:val="0"/>
                  <w:vAlign w:val="center"/>
                </w:tcPr>
                <w:p w14:paraId="2D6DC92E">
                  <w:pPr>
                    <w:jc w:val="center"/>
                    <w:rPr>
                      <w:rFonts w:hint="default" w:ascii="Times New Roman" w:hAnsi="Times New Roman" w:eastAsia="宋体" w:cs="Times New Roman"/>
                      <w:snapToGrid/>
                      <w:color w:val="auto"/>
                      <w:kern w:val="2"/>
                      <w:sz w:val="21"/>
                      <w:szCs w:val="21"/>
                      <w:lang w:eastAsia="zh-CN"/>
                    </w:rPr>
                  </w:pPr>
                </w:p>
              </w:tc>
            </w:tr>
            <w:tr w14:paraId="345B1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68712EB2">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203F7ED1">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3E1783F8">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3212058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1280" w:type="dxa"/>
                  <w:tcBorders>
                    <w:tl2br w:val="nil"/>
                    <w:tr2bl w:val="nil"/>
                  </w:tcBorders>
                  <w:noWrap w:val="0"/>
                  <w:vAlign w:val="center"/>
                </w:tcPr>
                <w:p w14:paraId="4651BE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870" w:type="dxa"/>
                  <w:tcBorders>
                    <w:tl2br w:val="nil"/>
                    <w:tr2bl w:val="nil"/>
                  </w:tcBorders>
                  <w:noWrap w:val="0"/>
                  <w:vAlign w:val="center"/>
                </w:tcPr>
                <w:p w14:paraId="51AB3A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660" w:type="dxa"/>
                  <w:vMerge w:val="continue"/>
                  <w:tcBorders>
                    <w:tl2br w:val="nil"/>
                    <w:tr2bl w:val="nil"/>
                  </w:tcBorders>
                  <w:noWrap w:val="0"/>
                  <w:vAlign w:val="center"/>
                </w:tcPr>
                <w:p w14:paraId="33CBB98A">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171C2E6B">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3B6D7458">
                  <w:pPr>
                    <w:jc w:val="center"/>
                    <w:rPr>
                      <w:rFonts w:hint="default" w:ascii="Times New Roman" w:hAnsi="Times New Roman" w:eastAsia="宋体" w:cs="Times New Roman"/>
                      <w:snapToGrid/>
                      <w:color w:val="auto"/>
                      <w:kern w:val="2"/>
                      <w:sz w:val="21"/>
                      <w:szCs w:val="21"/>
                      <w:highlight w:val="none"/>
                      <w:lang w:eastAsia="zh-CN"/>
                    </w:rPr>
                  </w:pPr>
                </w:p>
              </w:tc>
            </w:tr>
            <w:tr w14:paraId="70C2E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tcBorders>
                    <w:tl2br w:val="nil"/>
                    <w:tr2bl w:val="nil"/>
                  </w:tcBorders>
                  <w:noWrap w:val="0"/>
                  <w:vAlign w:val="center"/>
                </w:tcPr>
                <w:p w14:paraId="3692ED8D">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p>
              </w:tc>
              <w:tc>
                <w:tcPr>
                  <w:tcW w:w="934" w:type="dxa"/>
                  <w:tcBorders>
                    <w:tl2br w:val="nil"/>
                    <w:tr2bl w:val="nil"/>
                  </w:tcBorders>
                  <w:noWrap w:val="0"/>
                  <w:vAlign w:val="center"/>
                </w:tcPr>
                <w:p w14:paraId="2CF3C9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DA003</w:t>
                  </w:r>
                  <w:r>
                    <w:rPr>
                      <w:rFonts w:hint="eastAsia" w:ascii="宋体" w:hAnsi="宋体" w:eastAsia="宋体" w:cs="宋体"/>
                      <w:i w:val="0"/>
                      <w:iCs w:val="0"/>
                      <w:color w:val="auto"/>
                      <w:kern w:val="0"/>
                      <w:sz w:val="21"/>
                      <w:szCs w:val="21"/>
                      <w:u w:val="none"/>
                      <w:lang w:val="en-US" w:eastAsia="zh-CN" w:bidi="ar"/>
                    </w:rPr>
                    <w:t>排气筒</w:t>
                  </w:r>
                </w:p>
              </w:tc>
              <w:tc>
                <w:tcPr>
                  <w:tcW w:w="1534" w:type="dxa"/>
                  <w:tcBorders>
                    <w:tl2br w:val="nil"/>
                    <w:tr2bl w:val="nil"/>
                  </w:tcBorders>
                  <w:noWrap w:val="0"/>
                  <w:vAlign w:val="center"/>
                </w:tcPr>
                <w:p w14:paraId="1F83F92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3FA328C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1280" w:type="dxa"/>
                  <w:tcBorders>
                    <w:tl2br w:val="nil"/>
                    <w:tr2bl w:val="nil"/>
                  </w:tcBorders>
                  <w:shd w:val="clear" w:color="auto" w:fill="auto"/>
                  <w:noWrap w:val="0"/>
                  <w:vAlign w:val="center"/>
                </w:tcPr>
                <w:p w14:paraId="7A036D4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870" w:type="dxa"/>
                  <w:tcBorders>
                    <w:tl2br w:val="nil"/>
                    <w:tr2bl w:val="nil"/>
                  </w:tcBorders>
                  <w:shd w:val="clear" w:color="auto" w:fill="auto"/>
                  <w:noWrap w:val="0"/>
                  <w:vAlign w:val="center"/>
                </w:tcPr>
                <w:p w14:paraId="3CB55E3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660" w:type="dxa"/>
                  <w:tcBorders>
                    <w:tl2br w:val="nil"/>
                    <w:tr2bl w:val="nil"/>
                  </w:tcBorders>
                  <w:noWrap w:val="0"/>
                  <w:vAlign w:val="center"/>
                </w:tcPr>
                <w:p w14:paraId="18F2FC2B">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w:t>
                  </w:r>
                </w:p>
              </w:tc>
              <w:tc>
                <w:tcPr>
                  <w:tcW w:w="599" w:type="dxa"/>
                  <w:tcBorders>
                    <w:tl2br w:val="nil"/>
                    <w:tr2bl w:val="nil"/>
                  </w:tcBorders>
                  <w:noWrap w:val="0"/>
                  <w:vAlign w:val="center"/>
                </w:tcPr>
                <w:p w14:paraId="636CA1F6">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w:t>
                  </w:r>
                </w:p>
              </w:tc>
              <w:tc>
                <w:tcPr>
                  <w:tcW w:w="1008" w:type="dxa"/>
                  <w:tcBorders>
                    <w:tl2br w:val="nil"/>
                    <w:tr2bl w:val="nil"/>
                  </w:tcBorders>
                  <w:noWrap w:val="0"/>
                  <w:vAlign w:val="center"/>
                </w:tcPr>
                <w:p w14:paraId="36261B3D">
                  <w:pPr>
                    <w:jc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bl>
          <w:p w14:paraId="49343FCF">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auto"/>
                <w:highlight w:val="none"/>
              </w:rPr>
            </w:pPr>
          </w:p>
          <w:p w14:paraId="1D4628A2">
            <w:pPr>
              <w:pStyle w:val="43"/>
              <w:spacing w:after="0" w:line="360" w:lineRule="auto"/>
              <w:ind w:firstLine="480"/>
              <w:rPr>
                <w:rFonts w:hint="default" w:ascii="Times New Roman" w:hAnsi="Times New Roman" w:eastAsia="宋体" w:cs="Times New Roman"/>
                <w:b/>
                <w:color w:val="auto"/>
                <w:sz w:val="24"/>
                <w:szCs w:val="24"/>
                <w:highlight w:val="none"/>
                <w:lang w:val="en-US"/>
              </w:rPr>
            </w:pPr>
            <w:r>
              <w:rPr>
                <w:rFonts w:hint="default" w:ascii="Times New Roman" w:hAnsi="Times New Roman" w:eastAsia="宋体" w:cs="Times New Roman"/>
                <w:b/>
                <w:color w:val="auto"/>
                <w:sz w:val="24"/>
                <w:szCs w:val="24"/>
                <w:highlight w:val="none"/>
                <w:lang w:val="en-US" w:eastAsia="zh-CN"/>
              </w:rPr>
              <w:t>2、废水</w:t>
            </w:r>
          </w:p>
          <w:p w14:paraId="599B3C7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2.1</w:t>
            </w:r>
            <w:r>
              <w:rPr>
                <w:rFonts w:hint="default" w:ascii="Times New Roman" w:hAnsi="Times New Roman" w:cs="Times New Roman"/>
                <w:b/>
                <w:bCs/>
                <w:color w:val="auto"/>
                <w:sz w:val="24"/>
                <w:szCs w:val="24"/>
                <w:highlight w:val="none"/>
              </w:rPr>
              <w:t>污染源源强分析</w:t>
            </w:r>
          </w:p>
          <w:p w14:paraId="01B4DC75">
            <w:pPr>
              <w:keepNext/>
              <w:keepLines/>
              <w:numPr>
                <w:ilvl w:val="4"/>
                <w:numId w:val="0"/>
              </w:numPr>
              <w:suppressLineNumbers w:val="0"/>
              <w:tabs>
                <w:tab w:val="left" w:pos="0"/>
              </w:tabs>
              <w:spacing w:before="0" w:beforeAutospacing="0" w:after="0" w:afterAutospacing="0" w:line="360" w:lineRule="auto"/>
              <w:ind w:left="-960" w:right="0" w:firstLine="1440"/>
              <w:outlineLvl w:val="4"/>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（1）生活污水</w:t>
            </w:r>
          </w:p>
          <w:p w14:paraId="7E24BEE1">
            <w:pPr>
              <w:widowControl w:val="0"/>
              <w:wordWrap/>
              <w:spacing w:line="360" w:lineRule="auto"/>
              <w:ind w:firstLine="480" w:firstLineChars="200"/>
              <w:textAlignment w:val="auto"/>
              <w:rPr>
                <w:rFonts w:hint="default" w:ascii="Times New Roman" w:hAnsi="Times New Roman" w:cs="Times New Roman"/>
                <w:color w:val="auto"/>
                <w:kern w:val="0"/>
                <w:sz w:val="24"/>
                <w:szCs w:val="24"/>
                <w:highlight w:val="none"/>
                <w:lang w:eastAsia="zh"/>
              </w:rPr>
            </w:pPr>
            <w:r>
              <w:rPr>
                <w:rFonts w:hint="default" w:ascii="Times New Roman" w:hAnsi="Times New Roman" w:cs="Times New Roman"/>
                <w:color w:val="auto"/>
                <w:kern w:val="0"/>
                <w:sz w:val="24"/>
                <w:szCs w:val="24"/>
                <w:highlight w:val="none"/>
              </w:rPr>
              <w:t>项目</w:t>
            </w:r>
            <w:r>
              <w:rPr>
                <w:rFonts w:hint="default" w:ascii="Times New Roman" w:hAnsi="Times New Roman" w:cs="Times New Roman"/>
                <w:color w:val="auto"/>
                <w:sz w:val="24"/>
                <w:szCs w:val="24"/>
                <w:highlight w:val="none"/>
              </w:rPr>
              <w:t>劳动定员</w:t>
            </w:r>
            <w:r>
              <w:rPr>
                <w:rFonts w:hint="default" w:ascii="Times New Roman" w:hAnsi="Times New Roman" w:cs="Times New Roman"/>
                <w:color w:val="auto"/>
                <w:sz w:val="24"/>
                <w:szCs w:val="24"/>
                <w:highlight w:val="none"/>
                <w:lang w:val="en-US" w:eastAsia="zh-CN"/>
              </w:rPr>
              <w:t>160</w:t>
            </w:r>
            <w:r>
              <w:rPr>
                <w:rFonts w:hint="default" w:ascii="Times New Roman" w:hAnsi="Times New Roman" w:cs="Times New Roman"/>
                <w:color w:val="auto"/>
                <w:sz w:val="24"/>
                <w:szCs w:val="24"/>
                <w:highlight w:val="none"/>
              </w:rPr>
              <w:t>名</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其中140人在厂区住宿</w:t>
            </w:r>
            <w:r>
              <w:rPr>
                <w:rFonts w:hint="default" w:ascii="Times New Roman" w:hAnsi="Times New Roman" w:cs="Times New Roman"/>
                <w:color w:val="auto"/>
                <w:kern w:val="0"/>
                <w:sz w:val="24"/>
                <w:szCs w:val="24"/>
                <w:highlight w:val="none"/>
              </w:rPr>
              <w:t>。不住宿</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住宿</w:t>
            </w:r>
            <w:r>
              <w:rPr>
                <w:rFonts w:hint="default" w:ascii="Times New Roman" w:hAnsi="Times New Roman" w:cs="Times New Roman"/>
                <w:color w:val="auto"/>
                <w:kern w:val="0"/>
                <w:sz w:val="24"/>
                <w:szCs w:val="24"/>
                <w:highlight w:val="none"/>
              </w:rPr>
              <w:t>员工生活用水</w:t>
            </w:r>
            <w:r>
              <w:rPr>
                <w:rFonts w:hint="default" w:ascii="Times New Roman" w:hAnsi="Times New Roman" w:cs="Times New Roman"/>
                <w:color w:val="auto"/>
                <w:kern w:val="0"/>
                <w:sz w:val="24"/>
                <w:szCs w:val="24"/>
                <w:highlight w:val="none"/>
                <w:lang w:val="en-US" w:eastAsia="zh-CN"/>
              </w:rPr>
              <w:t>分别</w:t>
            </w:r>
            <w:r>
              <w:rPr>
                <w:rFonts w:hint="default" w:ascii="Times New Roman" w:hAnsi="Times New Roman" w:eastAsia="宋体" w:cs="Times New Roman"/>
                <w:bCs/>
                <w:color w:val="auto"/>
                <w:sz w:val="24"/>
                <w:szCs w:val="24"/>
                <w:highlight w:val="none"/>
              </w:rPr>
              <w:t>参照《用水定额 第3部分：生活》（DB44/T1461-2021）中国家行政机构（无食堂无浴室）中的先进值10</w:t>
            </w:r>
            <w:r>
              <w:rPr>
                <w:rFonts w:hint="default" w:ascii="Times New Roman" w:hAnsi="Times New Roman" w:eastAsia="宋体" w:cs="Times New Roman"/>
                <w:color w:val="auto"/>
                <w:kern w:val="0"/>
                <w:sz w:val="24"/>
                <w:szCs w:val="24"/>
                <w:highlight w:val="none"/>
                <w:lang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rPr>
              <w:t>/人·年</w:t>
            </w:r>
            <w:r>
              <w:rPr>
                <w:rFonts w:hint="default" w:ascii="Times New Roman" w:hAnsi="Times New Roman" w:eastAsia="宋体" w:cs="Times New Roman"/>
                <w:bCs/>
                <w:color w:val="auto"/>
                <w:sz w:val="24"/>
                <w:szCs w:val="24"/>
                <w:highlight w:val="none"/>
                <w:lang w:val="en-US" w:eastAsia="zh-CN"/>
              </w:rPr>
              <w:t>和</w:t>
            </w:r>
            <w:r>
              <w:rPr>
                <w:rFonts w:hint="default" w:ascii="Times New Roman" w:hAnsi="Times New Roman" w:eastAsia="宋体" w:cs="Times New Roman"/>
                <w:bCs/>
                <w:color w:val="auto"/>
                <w:sz w:val="24"/>
                <w:szCs w:val="24"/>
                <w:highlight w:val="none"/>
              </w:rPr>
              <w:t>国家行政机构（</w:t>
            </w:r>
            <w:r>
              <w:rPr>
                <w:rFonts w:hint="default" w:ascii="Times New Roman" w:hAnsi="Times New Roman" w:eastAsia="宋体" w:cs="Times New Roman"/>
                <w:bCs/>
                <w:color w:val="auto"/>
                <w:sz w:val="24"/>
                <w:szCs w:val="24"/>
                <w:highlight w:val="none"/>
                <w:lang w:val="en-US" w:eastAsia="zh-CN"/>
              </w:rPr>
              <w:t>有</w:t>
            </w:r>
            <w:r>
              <w:rPr>
                <w:rFonts w:hint="default" w:ascii="Times New Roman" w:hAnsi="Times New Roman" w:eastAsia="宋体" w:cs="Times New Roman"/>
                <w:bCs/>
                <w:color w:val="auto"/>
                <w:sz w:val="24"/>
                <w:szCs w:val="24"/>
                <w:highlight w:val="none"/>
              </w:rPr>
              <w:t>食堂无浴室）中的先进值</w:t>
            </w:r>
            <w:r>
              <w:rPr>
                <w:rFonts w:hint="default" w:ascii="Times New Roman" w:hAnsi="Times New Roman" w:eastAsia="宋体" w:cs="Times New Roman"/>
                <w:bCs/>
                <w:color w:val="auto"/>
                <w:sz w:val="24"/>
                <w:szCs w:val="24"/>
                <w:highlight w:val="none"/>
                <w:lang w:val="en-US" w:eastAsia="zh-CN"/>
              </w:rPr>
              <w:t>15</w:t>
            </w:r>
            <w:r>
              <w:rPr>
                <w:rFonts w:hint="default" w:ascii="Times New Roman" w:hAnsi="Times New Roman" w:eastAsia="宋体" w:cs="Times New Roman"/>
                <w:color w:val="auto"/>
                <w:kern w:val="0"/>
                <w:sz w:val="24"/>
                <w:szCs w:val="24"/>
                <w:highlight w:val="none"/>
                <w:lang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rPr>
              <w:t>/人·年计算</w:t>
            </w:r>
            <w:r>
              <w:rPr>
                <w:rFonts w:hint="default" w:ascii="Times New Roman" w:hAnsi="Times New Roman" w:eastAsia="宋体" w:cs="Times New Roman"/>
                <w:color w:val="auto"/>
                <w:sz w:val="24"/>
                <w:szCs w:val="24"/>
                <w:highlight w:val="none"/>
              </w:rPr>
              <w:t>，则生活用水量</w:t>
            </w:r>
            <w:r>
              <w:rPr>
                <w:rFonts w:hint="default" w:ascii="Times New Roman" w:hAnsi="Times New Roman" w:eastAsia="宋体" w:cs="Times New Roman"/>
                <w:color w:val="auto"/>
                <w:sz w:val="24"/>
                <w:szCs w:val="24"/>
                <w:highlight w:val="none"/>
                <w:lang w:val="en-US" w:eastAsia="zh-CN"/>
              </w:rPr>
              <w:t>合计</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2300</w:t>
            </w:r>
            <w:r>
              <w:rPr>
                <w:rFonts w:hint="default" w:ascii="Times New Roman" w:hAnsi="Times New Roman" w:eastAsia="宋体" w:cs="Times New Roman"/>
                <w:bCs/>
                <w:color w:val="auto"/>
                <w:sz w:val="24"/>
                <w:szCs w:val="24"/>
                <w:highlight w:val="none"/>
              </w:rPr>
              <w:t>t/a</w:t>
            </w:r>
            <w:r>
              <w:rPr>
                <w:rFonts w:hint="default" w:ascii="Times New Roman" w:hAnsi="Times New Roman" w:eastAsia="宋体" w:cs="Times New Roman"/>
                <w:color w:val="auto"/>
                <w:sz w:val="24"/>
                <w:szCs w:val="24"/>
                <w:highlight w:val="none"/>
              </w:rPr>
              <w:t>。生活污水排污系数按0.9计，生活污水产生量</w:t>
            </w:r>
            <w:r>
              <w:rPr>
                <w:rFonts w:hint="default" w:ascii="Times New Roman" w:hAnsi="Times New Roman" w:eastAsia="宋体" w:cs="Times New Roman"/>
                <w:color w:val="auto"/>
                <w:sz w:val="24"/>
                <w:szCs w:val="24"/>
                <w:highlight w:val="none"/>
                <w:lang w:val="en-US" w:eastAsia="zh-CN"/>
              </w:rPr>
              <w:t>2070</w:t>
            </w:r>
            <w:r>
              <w:rPr>
                <w:rFonts w:hint="default" w:ascii="Times New Roman" w:hAnsi="Times New Roman" w:eastAsia="宋体" w:cs="Times New Roman"/>
                <w:bCs/>
                <w:color w:val="auto"/>
                <w:sz w:val="24"/>
                <w:szCs w:val="24"/>
                <w:highlight w:val="none"/>
              </w:rPr>
              <w:t>t/a</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rPr>
              <w:t>本项目办公生活污水经过三级化粪池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kern w:val="0"/>
                <w:sz w:val="24"/>
                <w:szCs w:val="24"/>
                <w:highlight w:val="none"/>
              </w:rPr>
              <w:t>处理后经管网排入园区污水处理厂，处理达标后排入武江（乐昌城-犁市河段）</w:t>
            </w:r>
            <w:r>
              <w:rPr>
                <w:rFonts w:hint="default" w:ascii="Times New Roman" w:hAnsi="Times New Roman" w:cs="Times New Roman"/>
                <w:color w:val="auto"/>
                <w:kern w:val="0"/>
                <w:sz w:val="24"/>
                <w:szCs w:val="24"/>
                <w:highlight w:val="none"/>
                <w:lang w:eastAsia="zh"/>
              </w:rPr>
              <w:t>。</w:t>
            </w:r>
          </w:p>
          <w:p w14:paraId="7DDECF9D">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20 </w:t>
            </w:r>
            <w:r>
              <w:rPr>
                <w:rFonts w:hint="default" w:ascii="Times New Roman" w:hAnsi="Times New Roman" w:eastAsia="宋体" w:cs="Times New Roman"/>
                <w:b/>
                <w:bCs/>
                <w:color w:val="auto"/>
                <w:sz w:val="21"/>
                <w:szCs w:val="21"/>
                <w:highlight w:val="none"/>
                <w:lang w:eastAsia="zh-CN"/>
              </w:rPr>
              <w:t>污水污染源源强核算结果及相关参数一览表</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315"/>
              <w:gridCol w:w="1269"/>
              <w:gridCol w:w="1134"/>
              <w:gridCol w:w="951"/>
              <w:gridCol w:w="1090"/>
              <w:gridCol w:w="1102"/>
            </w:tblGrid>
            <w:tr w14:paraId="1B77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noWrap w:val="0"/>
                  <w:vAlign w:val="center"/>
                </w:tcPr>
                <w:p w14:paraId="1A865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污水种类</w:t>
                  </w:r>
                </w:p>
              </w:tc>
              <w:tc>
                <w:tcPr>
                  <w:tcW w:w="783" w:type="pct"/>
                  <w:noWrap w:val="0"/>
                  <w:vAlign w:val="center"/>
                </w:tcPr>
                <w:p w14:paraId="2032A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756" w:type="pct"/>
                  <w:noWrap w:val="0"/>
                  <w:vAlign w:val="center"/>
                </w:tcPr>
                <w:p w14:paraId="06A1B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产生浓度（mg/L）</w:t>
                  </w:r>
                </w:p>
              </w:tc>
              <w:tc>
                <w:tcPr>
                  <w:tcW w:w="675" w:type="pct"/>
                  <w:noWrap w:val="0"/>
                  <w:vAlign w:val="center"/>
                </w:tcPr>
                <w:p w14:paraId="3287E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产生量（t/a）</w:t>
                  </w:r>
                </w:p>
              </w:tc>
              <w:tc>
                <w:tcPr>
                  <w:tcW w:w="566" w:type="pct"/>
                  <w:noWrap/>
                  <w:vAlign w:val="center"/>
                </w:tcPr>
                <w:p w14:paraId="461BD5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处理效率</w:t>
                  </w:r>
                </w:p>
              </w:tc>
              <w:tc>
                <w:tcPr>
                  <w:tcW w:w="649" w:type="pct"/>
                  <w:noWrap w:val="0"/>
                  <w:vAlign w:val="center"/>
                </w:tcPr>
                <w:p w14:paraId="1EEDD3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排放浓度（mg/L）</w:t>
                  </w:r>
                </w:p>
              </w:tc>
              <w:tc>
                <w:tcPr>
                  <w:tcW w:w="653" w:type="pct"/>
                  <w:noWrap w:val="0"/>
                  <w:vAlign w:val="center"/>
                </w:tcPr>
                <w:p w14:paraId="749B5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排放量（t/a）</w:t>
                  </w:r>
                </w:p>
              </w:tc>
            </w:tr>
            <w:tr w14:paraId="10FA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restart"/>
                  <w:noWrap w:val="0"/>
                  <w:vAlign w:val="center"/>
                </w:tcPr>
                <w:p w14:paraId="7CCB20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生活污水</w:t>
                  </w:r>
                </w:p>
                <w:p w14:paraId="7A1A2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2070m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/a</w:t>
                  </w:r>
                </w:p>
              </w:tc>
              <w:tc>
                <w:tcPr>
                  <w:tcW w:w="783" w:type="pct"/>
                  <w:noWrap w:val="0"/>
                  <w:vAlign w:val="center"/>
                </w:tcPr>
                <w:p w14:paraId="5708F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756" w:type="pct"/>
                  <w:noWrap w:val="0"/>
                  <w:vAlign w:val="center"/>
                </w:tcPr>
                <w:p w14:paraId="429D53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c>
                <w:tcPr>
                  <w:tcW w:w="675" w:type="pct"/>
                  <w:noWrap w:val="0"/>
                  <w:vAlign w:val="center"/>
                </w:tcPr>
                <w:p w14:paraId="7422658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0.518 </w:t>
                  </w:r>
                </w:p>
              </w:tc>
              <w:tc>
                <w:tcPr>
                  <w:tcW w:w="566" w:type="pct"/>
                  <w:noWrap/>
                  <w:vAlign w:val="center"/>
                </w:tcPr>
                <w:p w14:paraId="124DFA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649" w:type="pct"/>
                  <w:noWrap w:val="0"/>
                  <w:vAlign w:val="center"/>
                </w:tcPr>
                <w:p w14:paraId="10200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w:t>
                  </w:r>
                </w:p>
              </w:tc>
              <w:tc>
                <w:tcPr>
                  <w:tcW w:w="653" w:type="pct"/>
                  <w:noWrap w:val="0"/>
                  <w:vAlign w:val="center"/>
                </w:tcPr>
                <w:p w14:paraId="1672DB1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0.414 </w:t>
                  </w:r>
                </w:p>
              </w:tc>
            </w:tr>
            <w:tr w14:paraId="4D79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0"/>
                  <w:vAlign w:val="center"/>
                </w:tcPr>
                <w:p w14:paraId="314FC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75FD1A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756" w:type="pct"/>
                  <w:noWrap w:val="0"/>
                  <w:vAlign w:val="center"/>
                </w:tcPr>
                <w:p w14:paraId="4AB7FD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675" w:type="pct"/>
                  <w:noWrap w:val="0"/>
                  <w:vAlign w:val="center"/>
                </w:tcPr>
                <w:p w14:paraId="78A3C4C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0.311 </w:t>
                  </w:r>
                </w:p>
              </w:tc>
              <w:tc>
                <w:tcPr>
                  <w:tcW w:w="566" w:type="pct"/>
                  <w:noWrap/>
                  <w:vAlign w:val="center"/>
                </w:tcPr>
                <w:p w14:paraId="211A1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49" w:type="pct"/>
                  <w:noWrap w:val="0"/>
                  <w:vAlign w:val="center"/>
                </w:tcPr>
                <w:p w14:paraId="2514B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142.5</w:t>
                  </w:r>
                </w:p>
              </w:tc>
              <w:tc>
                <w:tcPr>
                  <w:tcW w:w="653" w:type="pct"/>
                  <w:noWrap w:val="0"/>
                  <w:vAlign w:val="center"/>
                </w:tcPr>
                <w:p w14:paraId="1BD5AA2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0.295 </w:t>
                  </w:r>
                </w:p>
              </w:tc>
            </w:tr>
            <w:tr w14:paraId="16B6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74CA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011D7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756" w:type="pct"/>
                  <w:noWrap w:val="0"/>
                  <w:vAlign w:val="center"/>
                </w:tcPr>
                <w:p w14:paraId="36DD82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675" w:type="pct"/>
                  <w:noWrap w:val="0"/>
                  <w:vAlign w:val="center"/>
                </w:tcPr>
                <w:p w14:paraId="27EF148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0.311 </w:t>
                  </w:r>
                </w:p>
              </w:tc>
              <w:tc>
                <w:tcPr>
                  <w:tcW w:w="566" w:type="pct"/>
                  <w:noWrap/>
                  <w:vAlign w:val="center"/>
                </w:tcPr>
                <w:p w14:paraId="740EC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49" w:type="pct"/>
                  <w:noWrap w:val="0"/>
                  <w:vAlign w:val="center"/>
                </w:tcPr>
                <w:p w14:paraId="4091E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105</w:t>
                  </w:r>
                </w:p>
              </w:tc>
              <w:tc>
                <w:tcPr>
                  <w:tcW w:w="653" w:type="pct"/>
                  <w:noWrap w:val="0"/>
                  <w:vAlign w:val="center"/>
                </w:tcPr>
                <w:p w14:paraId="5582E7A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r>
            <w:tr w14:paraId="09E9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6B0F1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52DFE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756" w:type="pct"/>
                  <w:noWrap w:val="0"/>
                  <w:vAlign w:val="center"/>
                </w:tcPr>
                <w:p w14:paraId="009A0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75" w:type="pct"/>
                  <w:noWrap w:val="0"/>
                  <w:vAlign w:val="center"/>
                </w:tcPr>
                <w:p w14:paraId="6E386FB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0.062 </w:t>
                  </w:r>
                </w:p>
              </w:tc>
              <w:tc>
                <w:tcPr>
                  <w:tcW w:w="566" w:type="pct"/>
                  <w:noWrap/>
                  <w:vAlign w:val="center"/>
                </w:tcPr>
                <w:p w14:paraId="315993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49" w:type="pct"/>
                  <w:noWrap w:val="0"/>
                  <w:vAlign w:val="center"/>
                </w:tcPr>
                <w:p w14:paraId="1ABA7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53" w:type="pct"/>
                  <w:noWrap w:val="0"/>
                  <w:vAlign w:val="center"/>
                </w:tcPr>
                <w:p w14:paraId="7E64FF3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0.062 </w:t>
                  </w:r>
                </w:p>
              </w:tc>
            </w:tr>
            <w:tr w14:paraId="7110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EB8C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6F6CF8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756" w:type="pct"/>
                  <w:noWrap w:val="0"/>
                  <w:vAlign w:val="center"/>
                </w:tcPr>
                <w:p w14:paraId="33895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75" w:type="pct"/>
                  <w:noWrap w:val="0"/>
                  <w:vAlign w:val="center"/>
                </w:tcPr>
                <w:p w14:paraId="6F58D3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0.010 </w:t>
                  </w:r>
                </w:p>
              </w:tc>
              <w:tc>
                <w:tcPr>
                  <w:tcW w:w="566" w:type="pct"/>
                  <w:noWrap/>
                  <w:vAlign w:val="center"/>
                </w:tcPr>
                <w:p w14:paraId="07634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649" w:type="pct"/>
                  <w:noWrap w:val="0"/>
                  <w:vAlign w:val="center"/>
                </w:tcPr>
                <w:p w14:paraId="23307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653" w:type="pct"/>
                  <w:noWrap w:val="0"/>
                  <w:vAlign w:val="center"/>
                </w:tcPr>
                <w:p w14:paraId="528223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0.008 </w:t>
                  </w:r>
                </w:p>
              </w:tc>
            </w:tr>
            <w:tr w14:paraId="66C2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6AB5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2E75D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动植物油</w:t>
                  </w:r>
                </w:p>
              </w:tc>
              <w:tc>
                <w:tcPr>
                  <w:tcW w:w="756" w:type="pct"/>
                  <w:noWrap w:val="0"/>
                  <w:vAlign w:val="center"/>
                </w:tcPr>
                <w:p w14:paraId="20558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100</w:t>
                  </w:r>
                </w:p>
              </w:tc>
              <w:tc>
                <w:tcPr>
                  <w:tcW w:w="675" w:type="pct"/>
                  <w:noWrap w:val="0"/>
                  <w:vAlign w:val="center"/>
                </w:tcPr>
                <w:p w14:paraId="33697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0.207 </w:t>
                  </w:r>
                </w:p>
              </w:tc>
              <w:tc>
                <w:tcPr>
                  <w:tcW w:w="566" w:type="pct"/>
                  <w:noWrap/>
                  <w:vAlign w:val="center"/>
                </w:tcPr>
                <w:p w14:paraId="585D3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80%</w:t>
                  </w:r>
                </w:p>
              </w:tc>
              <w:tc>
                <w:tcPr>
                  <w:tcW w:w="649" w:type="pct"/>
                  <w:noWrap w:val="0"/>
                  <w:vAlign w:val="center"/>
                </w:tcPr>
                <w:p w14:paraId="27A7A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w:t>
                  </w:r>
                </w:p>
              </w:tc>
              <w:tc>
                <w:tcPr>
                  <w:tcW w:w="653" w:type="pct"/>
                  <w:noWrap w:val="0"/>
                  <w:vAlign w:val="center"/>
                </w:tcPr>
                <w:p w14:paraId="0A8C5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0.041 </w:t>
                  </w:r>
                </w:p>
              </w:tc>
            </w:tr>
            <w:tr w14:paraId="563F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restart"/>
                  <w:noWrap w:val="0"/>
                  <w:vAlign w:val="center"/>
                </w:tcPr>
                <w:p w14:paraId="07E26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注：</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1、项目生活污水主要污染物为COD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Cr</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、BOD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5</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、SS、NH</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w:t>
                  </w:r>
                  <w:r>
                    <w:rPr>
                      <w:rFonts w:hint="default" w:ascii="Times New Roman" w:hAnsi="Times New Roman" w:cs="Times New Roman"/>
                      <w:b w:val="0"/>
                      <w:bCs w:val="0"/>
                      <w:i w:val="0"/>
                      <w:iCs w:val="0"/>
                      <w:color w:val="auto"/>
                      <w:kern w:val="0"/>
                      <w:sz w:val="21"/>
                      <w:szCs w:val="21"/>
                      <w:highlight w:val="none"/>
                      <w:u w:val="none"/>
                      <w:lang w:val="en-US" w:eastAsia="zh-CN" w:bidi="ar"/>
                    </w:rPr>
                    <w:t>、总磷</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，生活污水产生浓度参照《给水排水设计手册（第五册城镇排水）》（中国建筑工业出版社）表4-1典型生活污水水质示例中浓度。</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2、根据《</w:t>
                  </w:r>
                  <w:r>
                    <w:rPr>
                      <w:rFonts w:hint="eastAsia" w:cs="Times New Roman"/>
                      <w:b w:val="0"/>
                      <w:bCs w:val="0"/>
                      <w:i w:val="0"/>
                      <w:iCs w:val="0"/>
                      <w:color w:val="auto"/>
                      <w:kern w:val="0"/>
                      <w:sz w:val="21"/>
                      <w:szCs w:val="21"/>
                      <w:highlight w:val="none"/>
                      <w:u w:val="none"/>
                      <w:lang w:val="en-US" w:eastAsia="zh-CN" w:bidi="ar"/>
                    </w:rPr>
                    <w:t>室外排水设计标准</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r>
                    <w:rPr>
                      <w:rFonts w:hint="eastAsia" w:cs="Times New Roman"/>
                      <w:b w:val="0"/>
                      <w:bCs w:val="0"/>
                      <w:i w:val="0"/>
                      <w:iCs w:val="0"/>
                      <w:color w:val="auto"/>
                      <w:kern w:val="0"/>
                      <w:sz w:val="21"/>
                      <w:szCs w:val="21"/>
                      <w:highlight w:val="none"/>
                      <w:u w:val="none"/>
                      <w:lang w:val="en-US" w:eastAsia="zh-CN" w:bidi="ar"/>
                    </w:rPr>
                    <w:t>GB 50014-2021</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）、《村镇生活污染防治最佳可行技术指南（试行）》（HJ-BAT-9）三级化粪池对COD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Cr</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、BOD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5</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、SS</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NH</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w:t>
                  </w:r>
                  <w:r>
                    <w:rPr>
                      <w:rFonts w:hint="default" w:ascii="Times New Roman" w:hAnsi="Times New Roman" w:cs="Times New Roman"/>
                      <w:b w:val="0"/>
                      <w:bCs w:val="0"/>
                      <w:i w:val="0"/>
                      <w:iCs w:val="0"/>
                      <w:color w:val="auto"/>
                      <w:kern w:val="0"/>
                      <w:sz w:val="21"/>
                      <w:szCs w:val="21"/>
                      <w:highlight w:val="none"/>
                      <w:u w:val="none"/>
                      <w:lang w:val="en-US" w:eastAsia="zh-CN" w:bidi="ar"/>
                    </w:rPr>
                    <w:t>、总磷</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分别的处理效率为20%、5%、30%</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r>
                    <w:rPr>
                      <w:rFonts w:hint="default" w:ascii="Times New Roman" w:hAnsi="Times New Roman" w:cs="Times New Roman"/>
                      <w:b w:val="0"/>
                      <w:bCs w:val="0"/>
                      <w:i w:val="0"/>
                      <w:iCs w:val="0"/>
                      <w:color w:val="auto"/>
                      <w:kern w:val="0"/>
                      <w:sz w:val="21"/>
                      <w:szCs w:val="21"/>
                      <w:highlight w:val="none"/>
                      <w:u w:val="none"/>
                      <w:lang w:val="en-US" w:eastAsia="zh-CN" w:bidi="ar"/>
                    </w:rPr>
                    <w:t>和20%，对动植物油处理效率参考《村镇生活污染防治最佳可行技术指南（试行）》（HJ-BAT-9）：动植物油80%~90%，本项目取80%。</w:t>
                  </w:r>
                </w:p>
              </w:tc>
            </w:tr>
            <w:tr w14:paraId="176C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continue"/>
                  <w:noWrap w:val="0"/>
                  <w:vAlign w:val="center"/>
                </w:tcPr>
                <w:p w14:paraId="4A32E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b w:val="0"/>
                      <w:bCs w:val="0"/>
                      <w:i w:val="0"/>
                      <w:iCs w:val="0"/>
                      <w:color w:val="auto"/>
                      <w:sz w:val="21"/>
                      <w:szCs w:val="21"/>
                      <w:highlight w:val="none"/>
                      <w:u w:val="none"/>
                    </w:rPr>
                  </w:pPr>
                </w:p>
              </w:tc>
            </w:tr>
          </w:tbl>
          <w:p w14:paraId="06EC9F17">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auto"/>
                <w:highlight w:val="none"/>
              </w:rPr>
            </w:pPr>
          </w:p>
          <w:p w14:paraId="1EFB56AD">
            <w:pPr>
              <w:pStyle w:val="21"/>
              <w:widowControl/>
              <w:numPr>
                <w:ilvl w:val="4"/>
                <w:numId w:val="0"/>
              </w:numPr>
              <w:suppressLineNumbers w:val="0"/>
              <w:spacing w:before="0" w:beforeAutospacing="0" w:after="0" w:afterAutospacing="0" w:line="360" w:lineRule="auto"/>
              <w:ind w:left="0" w:right="0" w:firstLine="482" w:firstLineChars="20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（2）</w:t>
            </w:r>
            <w:r>
              <w:rPr>
                <w:rFonts w:hint="eastAsia" w:ascii="Times New Roman" w:hAnsi="Times New Roman" w:cs="Times New Roman"/>
                <w:color w:val="auto"/>
                <w:kern w:val="2"/>
                <w:sz w:val="24"/>
                <w:szCs w:val="24"/>
                <w:highlight w:val="none"/>
                <w:lang w:val="en-US" w:eastAsia="zh-CN"/>
              </w:rPr>
              <w:t>生产</w:t>
            </w:r>
            <w:r>
              <w:rPr>
                <w:rFonts w:hint="default" w:ascii="Times New Roman" w:hAnsi="Times New Roman" w:cs="Times New Roman"/>
                <w:color w:val="auto"/>
                <w:kern w:val="2"/>
                <w:sz w:val="24"/>
                <w:szCs w:val="24"/>
                <w:highlight w:val="none"/>
              </w:rPr>
              <w:t>废水</w:t>
            </w:r>
          </w:p>
          <w:p w14:paraId="6140A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auto"/>
                <w:sz w:val="24"/>
                <w:szCs w:val="24"/>
              </w:rPr>
            </w:pPr>
            <w:r>
              <w:rPr>
                <w:rFonts w:hint="eastAsia"/>
                <w:b/>
                <w:bCs/>
                <w:color w:val="auto"/>
                <w:sz w:val="24"/>
                <w:szCs w:val="24"/>
                <w:lang w:val="en-US" w:eastAsia="zh-CN"/>
              </w:rPr>
              <w:t>A.水帘柜废水：</w:t>
            </w:r>
            <w:r>
              <w:rPr>
                <w:color w:val="auto"/>
                <w:sz w:val="24"/>
                <w:szCs w:val="24"/>
              </w:rPr>
              <w:t>喷漆房内设有水帘</w:t>
            </w:r>
            <w:r>
              <w:rPr>
                <w:rFonts w:hint="eastAsia"/>
                <w:color w:val="auto"/>
                <w:sz w:val="24"/>
                <w:szCs w:val="24"/>
                <w:lang w:val="en-US" w:eastAsia="zh-CN"/>
              </w:rPr>
              <w:t>柜</w:t>
            </w:r>
            <w:r>
              <w:rPr>
                <w:color w:val="auto"/>
                <w:sz w:val="24"/>
                <w:szCs w:val="24"/>
              </w:rPr>
              <w:t>的循环水池，总有效容积为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，每</w:t>
            </w:r>
            <w:r>
              <w:rPr>
                <w:rFonts w:hint="eastAsia"/>
                <w:color w:val="auto"/>
                <w:sz w:val="24"/>
                <w:szCs w:val="24"/>
                <w:lang w:eastAsia="zh-CN"/>
              </w:rPr>
              <w:t>月</w:t>
            </w:r>
            <w:r>
              <w:rPr>
                <w:color w:val="auto"/>
                <w:sz w:val="24"/>
                <w:szCs w:val="24"/>
              </w:rPr>
              <w:t>更换一次，对应更换补充用水量为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w:t>
            </w:r>
            <w:r>
              <w:rPr>
                <w:rFonts w:hint="eastAsia"/>
                <w:color w:val="auto"/>
                <w:sz w:val="24"/>
                <w:szCs w:val="24"/>
                <w:lang w:val="en-US" w:eastAsia="zh-CN"/>
              </w:rPr>
              <w:t>12</w:t>
            </w:r>
            <w:r>
              <w:rPr>
                <w:color w:val="auto"/>
                <w:sz w:val="24"/>
                <w:szCs w:val="24"/>
              </w:rPr>
              <w:t>次/年=</w:t>
            </w:r>
            <w:r>
              <w:rPr>
                <w:rFonts w:hint="eastAsia"/>
                <w:color w:val="auto"/>
                <w:sz w:val="24"/>
                <w:szCs w:val="24"/>
                <w:lang w:val="en-US" w:eastAsia="zh-CN"/>
              </w:rPr>
              <w:t>194.4</w:t>
            </w:r>
            <w:r>
              <w:rPr>
                <w:color w:val="auto"/>
                <w:sz w:val="24"/>
                <w:szCs w:val="24"/>
              </w:rPr>
              <w:t>m</w:t>
            </w:r>
            <w:r>
              <w:rPr>
                <w:color w:val="auto"/>
                <w:sz w:val="24"/>
                <w:szCs w:val="24"/>
                <w:vertAlign w:val="superscript"/>
              </w:rPr>
              <w:t>3</w:t>
            </w:r>
            <w:r>
              <w:rPr>
                <w:color w:val="auto"/>
                <w:sz w:val="24"/>
                <w:szCs w:val="24"/>
              </w:rPr>
              <w:t>/a，更换后的废水</w:t>
            </w:r>
            <w:r>
              <w:rPr>
                <w:rFonts w:hint="eastAsia"/>
                <w:color w:val="auto"/>
                <w:sz w:val="24"/>
                <w:szCs w:val="24"/>
                <w:lang w:val="en-US" w:eastAsia="zh-CN"/>
              </w:rPr>
              <w:t>交由有危险废物处置资质单位</w:t>
            </w:r>
            <w:r>
              <w:rPr>
                <w:color w:val="auto"/>
                <w:sz w:val="24"/>
                <w:szCs w:val="24"/>
              </w:rPr>
              <w:t>处理；</w:t>
            </w:r>
          </w:p>
          <w:p w14:paraId="00F29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color w:val="auto"/>
                <w:lang w:val="en-US" w:eastAsia="zh-CN"/>
              </w:rPr>
            </w:pPr>
            <w:r>
              <w:rPr>
                <w:rFonts w:hint="eastAsia" w:ascii="Times New Roman" w:hAnsi="Times New Roman" w:cs="Times New Roman"/>
                <w:b/>
                <w:bCs/>
                <w:color w:val="auto"/>
                <w:sz w:val="24"/>
                <w:szCs w:val="24"/>
                <w:highlight w:val="none"/>
                <w:lang w:val="en-US" w:eastAsia="zh-CN"/>
              </w:rPr>
              <w:t>B.喷淋塔废水：</w:t>
            </w:r>
            <w:r>
              <w:rPr>
                <w:rFonts w:hint="eastAsia" w:ascii="Times New Roman" w:hAnsi="Times New Roman" w:cs="Times New Roman"/>
                <w:color w:val="auto"/>
                <w:sz w:val="24"/>
                <w:szCs w:val="24"/>
                <w:highlight w:val="none"/>
                <w:lang w:val="en-US" w:eastAsia="zh-CN"/>
              </w:rPr>
              <w:t>本项目废气治理设施设置有</w:t>
            </w:r>
            <w:r>
              <w:rPr>
                <w:rFonts w:hint="eastAsia"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台</w:t>
            </w:r>
            <w:r>
              <w:rPr>
                <w:rFonts w:ascii="Times New Roman" w:hAnsi="Times New Roman" w:cs="Times New Roman"/>
                <w:color w:val="auto"/>
                <w:sz w:val="24"/>
                <w:szCs w:val="24"/>
                <w:highlight w:val="none"/>
              </w:rPr>
              <w:t>喷淋塔</w:t>
            </w:r>
            <w:r>
              <w:rPr>
                <w:rFonts w:hint="eastAsia" w:ascii="Times New Roman" w:hAnsi="Times New Roman" w:cs="Times New Roman"/>
                <w:color w:val="auto"/>
                <w:sz w:val="24"/>
                <w:szCs w:val="24"/>
                <w:highlight w:val="none"/>
                <w:lang w:eastAsia="zh-CN"/>
              </w:rPr>
              <w:t>，</w:t>
            </w:r>
            <w:r>
              <w:rPr>
                <w:color w:val="auto"/>
                <w:sz w:val="24"/>
                <w:szCs w:val="24"/>
                <w:highlight w:val="none"/>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auto"/>
                <w:sz w:val="24"/>
                <w:szCs w:val="24"/>
                <w:highlight w:val="none"/>
                <w:lang w:val="en-US" w:eastAsia="zh-CN"/>
              </w:rPr>
              <w:t>1台×</w:t>
            </w:r>
            <w:r>
              <w:rPr>
                <w:rFonts w:ascii="Times New Roman" w:hAnsi="Times New Roman" w:cs="Times New Roman"/>
                <w:color w:val="auto"/>
                <w:sz w:val="24"/>
                <w:szCs w:val="24"/>
                <w:highlight w:val="none"/>
              </w:rPr>
              <w:t>0.7t×4</w:t>
            </w:r>
            <w:r>
              <w:rPr>
                <w:rFonts w:hint="eastAsia" w:ascii="Times New Roman" w:hAnsi="Times New Roman" w:cs="Times New Roman"/>
                <w:color w:val="auto"/>
                <w:sz w:val="24"/>
                <w:szCs w:val="24"/>
                <w:highlight w:val="none"/>
                <w:lang w:val="en-US" w:eastAsia="zh-CN"/>
              </w:rPr>
              <w:t>8次/年</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33.6</w:t>
            </w:r>
            <w:r>
              <w:rPr>
                <w:color w:val="auto"/>
                <w:sz w:val="24"/>
                <w:szCs w:val="24"/>
              </w:rPr>
              <w:t>m</w:t>
            </w:r>
            <w:r>
              <w:rPr>
                <w:color w:val="auto"/>
                <w:sz w:val="24"/>
                <w:szCs w:val="24"/>
                <w:vertAlign w:val="superscript"/>
              </w:rPr>
              <w:t>3</w:t>
            </w:r>
            <w:r>
              <w:rPr>
                <w:color w:val="auto"/>
                <w:sz w:val="24"/>
                <w:szCs w:val="24"/>
              </w:rPr>
              <w:t>/a</w:t>
            </w:r>
            <w:r>
              <w:rPr>
                <w:color w:val="auto"/>
                <w:sz w:val="24"/>
                <w:szCs w:val="24"/>
                <w:highlight w:val="none"/>
              </w:rPr>
              <w:t>，更换的废水</w:t>
            </w:r>
            <w:r>
              <w:rPr>
                <w:rFonts w:hint="eastAsia"/>
                <w:color w:val="auto"/>
                <w:sz w:val="24"/>
                <w:szCs w:val="24"/>
                <w:lang w:val="en-US" w:eastAsia="zh-CN"/>
              </w:rPr>
              <w:t>交由有危险废物处置资质单位</w:t>
            </w:r>
            <w:r>
              <w:rPr>
                <w:color w:val="auto"/>
                <w:sz w:val="24"/>
                <w:szCs w:val="24"/>
                <w:highlight w:val="none"/>
              </w:rPr>
              <w:t>处理。</w:t>
            </w:r>
          </w:p>
          <w:p w14:paraId="2F7CD15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C.前处理废水：</w:t>
            </w: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szCs w:val="24"/>
                <w:highlight w:val="none"/>
                <w:lang w:val="en-US" w:eastAsia="zh-CN"/>
              </w:rPr>
              <w:t>设置</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条前处理生产线，</w:t>
            </w:r>
            <w:r>
              <w:rPr>
                <w:rFonts w:hint="eastAsia" w:cs="Times New Roman"/>
                <w:color w:val="auto"/>
                <w:sz w:val="24"/>
                <w:szCs w:val="24"/>
                <w:highlight w:val="none"/>
                <w:lang w:val="en-US" w:eastAsia="zh-CN"/>
              </w:rPr>
              <w:t>每条</w:t>
            </w:r>
            <w:r>
              <w:rPr>
                <w:rFonts w:hint="default" w:ascii="Times New Roman" w:hAnsi="Times New Roman" w:cs="Times New Roman"/>
                <w:color w:val="auto"/>
                <w:sz w:val="24"/>
                <w:szCs w:val="24"/>
                <w:highlight w:val="none"/>
              </w:rPr>
              <w:t>生产线</w:t>
            </w:r>
            <w:r>
              <w:rPr>
                <w:rFonts w:hint="default" w:ascii="Times New Roman" w:hAnsi="Times New Roman" w:cs="Times New Roman"/>
                <w:color w:val="auto"/>
                <w:sz w:val="24"/>
                <w:szCs w:val="24"/>
                <w:highlight w:val="none"/>
                <w:lang w:val="en-US" w:eastAsia="zh-CN"/>
              </w:rPr>
              <w:t>共</w:t>
            </w:r>
            <w:r>
              <w:rPr>
                <w:rFonts w:hint="default" w:ascii="Times New Roman" w:hAnsi="Times New Roman" w:cs="Times New Roman"/>
                <w:color w:val="auto"/>
                <w:sz w:val="24"/>
                <w:szCs w:val="24"/>
                <w:highlight w:val="none"/>
              </w:rPr>
              <w:t>设置1个预脱脂池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1个脱脂池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个水洗池</w:t>
            </w:r>
            <w:r>
              <w:rPr>
                <w:rFonts w:hint="default" w:ascii="Times New Roman" w:hAnsi="Times New Roman" w:cs="Times New Roman"/>
                <w:color w:val="auto"/>
                <w:sz w:val="24"/>
                <w:szCs w:val="24"/>
                <w:highlight w:val="none"/>
                <w:lang w:val="en-US" w:eastAsia="zh-CN"/>
              </w:rPr>
              <w:t>以及</w:t>
            </w:r>
            <w:r>
              <w:rPr>
                <w:rFonts w:hint="default" w:ascii="Times New Roman" w:hAnsi="Times New Roman" w:cs="Times New Roman"/>
                <w:color w:val="auto"/>
                <w:sz w:val="24"/>
                <w:szCs w:val="24"/>
                <w:highlight w:val="none"/>
              </w:rPr>
              <w:t>1个无铬钝化池。预脱脂池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脱脂池、无铬钝化池、水洗池的溶液循环使用，</w:t>
            </w:r>
            <w:r>
              <w:rPr>
                <w:rFonts w:hint="default" w:ascii="Times New Roman" w:hAnsi="Times New Roman" w:cs="Times New Roman"/>
                <w:color w:val="auto"/>
                <w:sz w:val="24"/>
                <w:szCs w:val="24"/>
                <w:highlight w:val="none"/>
                <w:lang w:val="en-US" w:eastAsia="zh-CN"/>
              </w:rPr>
              <w:t>前处理废水主要为</w:t>
            </w:r>
            <w:r>
              <w:rPr>
                <w:rFonts w:hint="default" w:ascii="Times New Roman" w:hAnsi="Times New Roman" w:cs="Times New Roman"/>
                <w:color w:val="auto"/>
                <w:sz w:val="24"/>
                <w:szCs w:val="24"/>
                <w:highlight w:val="none"/>
              </w:rPr>
              <w:t>预脱脂池</w:t>
            </w:r>
            <w:r>
              <w:rPr>
                <w:rFonts w:hint="default" w:ascii="Times New Roman" w:hAnsi="Times New Roman" w:cs="Times New Roman"/>
                <w:color w:val="auto"/>
                <w:sz w:val="24"/>
                <w:szCs w:val="24"/>
                <w:highlight w:val="none"/>
                <w:lang w:val="en-US" w:eastAsia="zh-CN"/>
              </w:rPr>
              <w:t>和</w:t>
            </w:r>
            <w:r>
              <w:rPr>
                <w:rFonts w:hint="default" w:ascii="Times New Roman" w:hAnsi="Times New Roman" w:cs="Times New Roman"/>
                <w:color w:val="auto"/>
                <w:sz w:val="24"/>
                <w:szCs w:val="24"/>
                <w:highlight w:val="none"/>
              </w:rPr>
              <w:t>脱脂池</w:t>
            </w:r>
            <w:r>
              <w:rPr>
                <w:rFonts w:hint="default" w:ascii="Times New Roman" w:hAnsi="Times New Roman" w:cs="Times New Roman"/>
                <w:color w:val="auto"/>
                <w:sz w:val="24"/>
                <w:szCs w:val="24"/>
                <w:highlight w:val="none"/>
                <w:lang w:val="en-US" w:eastAsia="zh-CN"/>
              </w:rPr>
              <w:t>整槽更换废水以及水洗池溢流排水。</w:t>
            </w:r>
          </w:p>
          <w:p w14:paraId="2A097EB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lang w:val="en-US" w:eastAsia="zh-CN"/>
              </w:rPr>
              <w:t>根据前文水平衡分析，</w:t>
            </w:r>
            <w:r>
              <w:rPr>
                <w:rFonts w:hint="default" w:ascii="Times New Roman" w:hAnsi="Times New Roman" w:cs="Times New Roman"/>
                <w:color w:val="auto"/>
                <w:sz w:val="24"/>
                <w:szCs w:val="24"/>
                <w:highlight w:val="none"/>
              </w:rPr>
              <w:t>项目前处理废水产生情况详见下表。</w:t>
            </w:r>
          </w:p>
          <w:p w14:paraId="47D3E688">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1单条前处理线</w:t>
            </w:r>
            <w:r>
              <w:rPr>
                <w:rFonts w:hint="default" w:ascii="Times New Roman" w:hAnsi="Times New Roman" w:eastAsia="宋体" w:cs="Times New Roman"/>
                <w:b/>
                <w:bCs/>
                <w:color w:val="auto"/>
                <w:sz w:val="21"/>
                <w:szCs w:val="21"/>
                <w:highlight w:val="none"/>
                <w:lang w:val="en-US" w:eastAsia="zh-CN"/>
              </w:rPr>
              <w:t>整槽更换废水和溢流废水</w:t>
            </w:r>
            <w:r>
              <w:rPr>
                <w:rFonts w:hint="default" w:ascii="Times New Roman" w:hAnsi="Times New Roman" w:eastAsia="宋体" w:cs="Times New Roman"/>
                <w:b/>
                <w:bCs/>
                <w:color w:val="auto"/>
                <w:sz w:val="21"/>
                <w:szCs w:val="21"/>
                <w:highlight w:val="none"/>
                <w:lang w:eastAsia="zh-CN"/>
              </w:rPr>
              <w:t>一览表 单位t/a</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69"/>
              <w:gridCol w:w="1132"/>
              <w:gridCol w:w="2481"/>
              <w:gridCol w:w="2519"/>
            </w:tblGrid>
            <w:tr w14:paraId="2DB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noWrap w:val="0"/>
                  <w:vAlign w:val="center"/>
                </w:tcPr>
                <w:p w14:paraId="0592B0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815" w:type="pct"/>
                  <w:noWrap w:val="0"/>
                  <w:vAlign w:val="center"/>
                </w:tcPr>
                <w:p w14:paraId="2D6F83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槽体名称</w:t>
                  </w:r>
                </w:p>
              </w:tc>
              <w:tc>
                <w:tcPr>
                  <w:tcW w:w="673" w:type="pct"/>
                  <w:noWrap w:val="0"/>
                  <w:vAlign w:val="center"/>
                </w:tcPr>
                <w:p w14:paraId="51A1F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r>
                    <w:rPr>
                      <w:rFonts w:hint="default" w:ascii="Times New Roman" w:hAnsi="Times New Roman" w:cs="Times New Roman"/>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个）</w:t>
                  </w:r>
                </w:p>
              </w:tc>
              <w:tc>
                <w:tcPr>
                  <w:tcW w:w="1477" w:type="pct"/>
                  <w:noWrap/>
                  <w:vAlign w:val="center"/>
                </w:tcPr>
                <w:p w14:paraId="46A682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整槽更换废水量(t/a)</w:t>
                  </w:r>
                </w:p>
              </w:tc>
              <w:tc>
                <w:tcPr>
                  <w:tcW w:w="1499" w:type="pct"/>
                  <w:noWrap w:val="0"/>
                  <w:vAlign w:val="center"/>
                </w:tcPr>
                <w:p w14:paraId="4DD781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溢流废水量(t/a)</w:t>
                  </w:r>
                </w:p>
              </w:tc>
            </w:tr>
            <w:tr w14:paraId="20C4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restart"/>
                  <w:noWrap w:val="0"/>
                  <w:vAlign w:val="center"/>
                </w:tcPr>
                <w:p w14:paraId="64F33D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p>
              </w:tc>
              <w:tc>
                <w:tcPr>
                  <w:tcW w:w="815" w:type="pct"/>
                  <w:noWrap w:val="0"/>
                  <w:vAlign w:val="center"/>
                </w:tcPr>
                <w:p w14:paraId="2ED8E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预水洗池</w:t>
                  </w:r>
                </w:p>
              </w:tc>
              <w:tc>
                <w:tcPr>
                  <w:tcW w:w="673" w:type="pct"/>
                  <w:noWrap w:val="0"/>
                  <w:vAlign w:val="center"/>
                </w:tcPr>
                <w:p w14:paraId="71D225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095AE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2583" w:type="dxa"/>
                  <w:noWrap w:val="0"/>
                  <w:vAlign w:val="center"/>
                </w:tcPr>
                <w:p w14:paraId="0CF2E7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3FEF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6C029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5B4C5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预脱脂池</w:t>
                  </w:r>
                </w:p>
              </w:tc>
              <w:tc>
                <w:tcPr>
                  <w:tcW w:w="673" w:type="pct"/>
                  <w:noWrap w:val="0"/>
                  <w:vAlign w:val="center"/>
                </w:tcPr>
                <w:p w14:paraId="2A36D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73F3AB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2583" w:type="dxa"/>
                  <w:noWrap w:val="0"/>
                  <w:vAlign w:val="center"/>
                </w:tcPr>
                <w:p w14:paraId="6C8D9D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5E9D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51CA6A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1855FC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脱脂池</w:t>
                  </w:r>
                </w:p>
              </w:tc>
              <w:tc>
                <w:tcPr>
                  <w:tcW w:w="673" w:type="pct"/>
                  <w:noWrap w:val="0"/>
                  <w:vAlign w:val="center"/>
                </w:tcPr>
                <w:p w14:paraId="48D788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1B1F50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2583" w:type="dxa"/>
                  <w:noWrap w:val="0"/>
                  <w:vAlign w:val="center"/>
                </w:tcPr>
                <w:p w14:paraId="5B107C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432B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FDFDE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49D1FD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1#水洗池</w:t>
                  </w:r>
                </w:p>
              </w:tc>
              <w:tc>
                <w:tcPr>
                  <w:tcW w:w="673" w:type="pct"/>
                  <w:noWrap w:val="0"/>
                  <w:vAlign w:val="center"/>
                </w:tcPr>
                <w:p w14:paraId="2C5790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0A6DD3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2583" w:type="dxa"/>
                  <w:noWrap w:val="0"/>
                  <w:vAlign w:val="center"/>
                </w:tcPr>
                <w:p w14:paraId="39044E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64BD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pct"/>
                  <w:vMerge w:val="continue"/>
                  <w:noWrap w:val="0"/>
                  <w:vAlign w:val="center"/>
                </w:tcPr>
                <w:p w14:paraId="6C6073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358F7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2#水洗池</w:t>
                  </w:r>
                </w:p>
              </w:tc>
              <w:tc>
                <w:tcPr>
                  <w:tcW w:w="673" w:type="pct"/>
                  <w:noWrap w:val="0"/>
                  <w:vAlign w:val="center"/>
                </w:tcPr>
                <w:p w14:paraId="0C3C5B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79928D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2583" w:type="dxa"/>
                  <w:noWrap w:val="0"/>
                  <w:vAlign w:val="center"/>
                </w:tcPr>
                <w:p w14:paraId="12A408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4794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0DD8E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404F9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清水洗池</w:t>
                  </w:r>
                </w:p>
              </w:tc>
              <w:tc>
                <w:tcPr>
                  <w:tcW w:w="673" w:type="pct"/>
                  <w:noWrap w:val="0"/>
                  <w:vAlign w:val="center"/>
                </w:tcPr>
                <w:p w14:paraId="061A38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489115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19.2</w:t>
                  </w:r>
                </w:p>
              </w:tc>
              <w:tc>
                <w:tcPr>
                  <w:tcW w:w="2583" w:type="dxa"/>
                  <w:noWrap w:val="0"/>
                  <w:vAlign w:val="center"/>
                </w:tcPr>
                <w:p w14:paraId="6907C3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5E5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52A26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215B8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w:t>
                  </w:r>
                </w:p>
              </w:tc>
              <w:tc>
                <w:tcPr>
                  <w:tcW w:w="673" w:type="pct"/>
                  <w:noWrap w:val="0"/>
                  <w:vAlign w:val="center"/>
                </w:tcPr>
                <w:p w14:paraId="7C8088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192459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22.4</w:t>
                  </w:r>
                </w:p>
              </w:tc>
              <w:tc>
                <w:tcPr>
                  <w:tcW w:w="2583" w:type="dxa"/>
                  <w:noWrap w:val="0"/>
                  <w:vAlign w:val="center"/>
                </w:tcPr>
                <w:p w14:paraId="7E89C6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239B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D159D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506E2F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3#水洗池</w:t>
                  </w:r>
                </w:p>
              </w:tc>
              <w:tc>
                <w:tcPr>
                  <w:tcW w:w="673" w:type="pct"/>
                  <w:noWrap w:val="0"/>
                  <w:vAlign w:val="center"/>
                </w:tcPr>
                <w:p w14:paraId="2EA72A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2C8071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2583" w:type="dxa"/>
                  <w:noWrap w:val="0"/>
                  <w:vAlign w:val="center"/>
                </w:tcPr>
                <w:p w14:paraId="1EA18E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0D7D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23" w:type="pct"/>
                  <w:gridSpan w:val="3"/>
                  <w:noWrap w:val="0"/>
                  <w:vAlign w:val="center"/>
                </w:tcPr>
                <w:p w14:paraId="0C042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477" w:type="pct"/>
                  <w:noWrap/>
                  <w:vAlign w:val="center"/>
                </w:tcPr>
                <w:p w14:paraId="7990D3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320*</w:t>
                  </w:r>
                </w:p>
              </w:tc>
              <w:tc>
                <w:tcPr>
                  <w:tcW w:w="2583" w:type="dxa"/>
                  <w:noWrap w:val="0"/>
                  <w:vAlign w:val="center"/>
                </w:tcPr>
                <w:p w14:paraId="00861F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4685.04</w:t>
                  </w:r>
                </w:p>
              </w:tc>
            </w:tr>
            <w:tr w14:paraId="0890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noWrap w:val="0"/>
                  <w:vAlign w:val="center"/>
                </w:tcPr>
                <w:p w14:paraId="5556C1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备注：①整槽更换槽液=槽液量×更换频率（槽液更换不考虑损耗）；</w:t>
                  </w:r>
                </w:p>
                <w:p w14:paraId="7F6E59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②溢流废水产生量=溢流用水×排污系数，排污系数按0.9计算；</w:t>
                  </w:r>
                </w:p>
                <w:p w14:paraId="5D432E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③无铬钝化工序产生的废槽液按危废处置，故整池更换产生的废水量=342.4-22.4=320m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/a。</w:t>
                  </w:r>
                </w:p>
              </w:tc>
            </w:tr>
          </w:tbl>
          <w:p w14:paraId="61C44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4E9476D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根据表4-14的计算，本项目前处理用水和废水产生情况如下所示。</w:t>
            </w:r>
          </w:p>
          <w:p w14:paraId="2ED99319">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2 </w:t>
            </w:r>
            <w:r>
              <w:rPr>
                <w:rFonts w:hint="default" w:ascii="Times New Roman" w:hAnsi="Times New Roman" w:cs="Times New Roman"/>
                <w:b/>
                <w:bCs/>
                <w:color w:val="auto"/>
                <w:sz w:val="21"/>
                <w:szCs w:val="21"/>
                <w:highlight w:val="none"/>
                <w:lang w:val="en-US" w:eastAsia="zh-CN"/>
              </w:rPr>
              <w:t>前处理用水和废水产生一览表 单位：m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/a</w:t>
            </w:r>
          </w:p>
          <w:tbl>
            <w:tblPr>
              <w:tblStyle w:val="4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4"/>
              <w:gridCol w:w="5337"/>
            </w:tblGrid>
            <w:tr w14:paraId="1FDB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72BA1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项目</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082A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废水</w:t>
                  </w:r>
                </w:p>
              </w:tc>
            </w:tr>
            <w:tr w14:paraId="2F241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FCBE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整池更换</w:t>
                  </w:r>
                  <w:r>
                    <w:rPr>
                      <w:rFonts w:hint="default" w:ascii="Times New Roman" w:hAnsi="Times New Roman" w:cs="Times New Roman"/>
                      <w:i w:val="0"/>
                      <w:iCs w:val="0"/>
                      <w:color w:val="auto"/>
                      <w:kern w:val="0"/>
                      <w:sz w:val="21"/>
                      <w:szCs w:val="21"/>
                      <w:highlight w:val="none"/>
                      <w:u w:val="none"/>
                      <w:lang w:val="en-US" w:eastAsia="zh-CN" w:bidi="ar"/>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4CC8B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320</w:t>
                  </w:r>
                </w:p>
              </w:tc>
            </w:tr>
            <w:tr w14:paraId="36E4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0ABF5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溢流</w:t>
                  </w:r>
                  <w:r>
                    <w:rPr>
                      <w:rFonts w:hint="default" w:ascii="Times New Roman" w:hAnsi="Times New Roman" w:cs="Times New Roman"/>
                      <w:i w:val="0"/>
                      <w:iCs w:val="0"/>
                      <w:color w:val="auto"/>
                      <w:kern w:val="0"/>
                      <w:sz w:val="21"/>
                      <w:szCs w:val="21"/>
                      <w:highlight w:val="none"/>
                      <w:u w:val="none"/>
                      <w:lang w:val="en-US" w:eastAsia="zh-CN" w:bidi="ar"/>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503CD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4685.04</w:t>
                  </w:r>
                </w:p>
              </w:tc>
            </w:tr>
            <w:tr w14:paraId="3E3E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126CB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单条前处理线</w:t>
                  </w:r>
                  <w:r>
                    <w:rPr>
                      <w:rFonts w:hint="default" w:ascii="Times New Roman" w:hAnsi="Times New Roman" w:cs="Times New Roman"/>
                      <w:i w:val="0"/>
                      <w:iCs w:val="0"/>
                      <w:color w:val="auto"/>
                      <w:kern w:val="0"/>
                      <w:sz w:val="21"/>
                      <w:szCs w:val="21"/>
                      <w:highlight w:val="none"/>
                      <w:u w:val="none"/>
                      <w:lang w:val="en-US" w:eastAsia="zh-CN" w:bidi="ar"/>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0AD6A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5005.04</w:t>
                  </w:r>
                </w:p>
              </w:tc>
            </w:tr>
            <w:tr w14:paraId="7DF4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1191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62A70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10010.08（2条生产线）</w:t>
                  </w:r>
                </w:p>
              </w:tc>
            </w:tr>
          </w:tbl>
          <w:p w14:paraId="204FC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55D04B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综上，项目</w:t>
            </w:r>
            <w:r>
              <w:rPr>
                <w:rFonts w:hint="eastAsia" w:cs="Times New Roman"/>
                <w:color w:val="auto"/>
                <w:sz w:val="24"/>
                <w:szCs w:val="24"/>
                <w:highlight w:val="none"/>
                <w:lang w:val="en-US" w:eastAsia="zh-CN"/>
              </w:rPr>
              <w:t>2条</w:t>
            </w:r>
            <w:r>
              <w:rPr>
                <w:rFonts w:hint="default" w:ascii="Times New Roman" w:hAnsi="Times New Roman" w:cs="Times New Roman"/>
                <w:color w:val="auto"/>
                <w:sz w:val="24"/>
                <w:szCs w:val="24"/>
                <w:highlight w:val="none"/>
              </w:rPr>
              <w:t>前处理生产线共产生废水</w:t>
            </w:r>
            <w:r>
              <w:rPr>
                <w:rFonts w:hint="eastAsia" w:cs="Times New Roman"/>
                <w:i w:val="0"/>
                <w:iCs w:val="0"/>
                <w:color w:val="auto"/>
                <w:kern w:val="0"/>
                <w:sz w:val="24"/>
                <w:szCs w:val="24"/>
                <w:highlight w:val="none"/>
                <w:u w:val="none"/>
                <w:lang w:val="en-US" w:eastAsia="zh-CN" w:bidi="ar"/>
              </w:rPr>
              <w:t>10010.08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p>
          <w:p w14:paraId="7029A28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（3）</w:t>
            </w:r>
            <w:r>
              <w:rPr>
                <w:rFonts w:hint="eastAsia" w:cs="Times New Roman"/>
                <w:b/>
                <w:bCs/>
                <w:color w:val="auto"/>
                <w:sz w:val="24"/>
                <w:szCs w:val="24"/>
                <w:highlight w:val="none"/>
                <w:lang w:val="en-US" w:eastAsia="zh-CN"/>
              </w:rPr>
              <w:t>外排生产</w:t>
            </w:r>
            <w:r>
              <w:rPr>
                <w:rFonts w:hint="default" w:ascii="Times New Roman" w:hAnsi="Times New Roman" w:cs="Times New Roman"/>
                <w:b/>
                <w:bCs/>
                <w:color w:val="auto"/>
                <w:sz w:val="24"/>
                <w:szCs w:val="24"/>
                <w:highlight w:val="none"/>
                <w:lang w:val="en-US" w:eastAsia="zh-CN"/>
              </w:rPr>
              <w:t>废水源强核算</w:t>
            </w:r>
          </w:p>
          <w:p w14:paraId="1FEAB8FE">
            <w:pPr>
              <w:keepNext w:val="0"/>
              <w:keepLines w:val="0"/>
              <w:suppressLineNumbers w:val="0"/>
              <w:spacing w:before="0" w:beforeAutospacing="0" w:after="0" w:afterAutospacing="0" w:line="360" w:lineRule="auto"/>
              <w:ind w:left="0" w:right="0" w:firstLine="480" w:firstLineChars="200"/>
              <w:rPr>
                <w:rFonts w:hint="default"/>
                <w:color w:val="auto"/>
                <w:lang w:val="en-US" w:eastAsia="zh-CN"/>
              </w:rPr>
            </w:pPr>
            <w:r>
              <w:rPr>
                <w:rFonts w:hint="default"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主要污染物为pH、COD</w:t>
            </w:r>
            <w:r>
              <w:rPr>
                <w:rFonts w:hint="default" w:ascii="Times New Roman" w:hAnsi="Times New Roman" w:cs="Times New Roman"/>
                <w:color w:val="auto"/>
                <w:sz w:val="24"/>
                <w:szCs w:val="24"/>
                <w:highlight w:val="none"/>
                <w:vertAlign w:val="subscript"/>
              </w:rPr>
              <w:t>Cr</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SS、</w:t>
            </w:r>
            <w:r>
              <w:rPr>
                <w:rFonts w:hint="default" w:ascii="Times New Roman" w:hAnsi="Times New Roman" w:cs="Times New Roman"/>
                <w:color w:val="auto"/>
                <w:sz w:val="24"/>
                <w:szCs w:val="24"/>
                <w:highlight w:val="none"/>
                <w:lang w:val="en-US" w:eastAsia="zh-CN"/>
              </w:rPr>
              <w:t>NH</w:t>
            </w:r>
            <w:r>
              <w:rPr>
                <w:rFonts w:hint="default" w:ascii="Times New Roman" w:hAnsi="Times New Roman" w:cs="Times New Roman"/>
                <w:color w:val="auto"/>
                <w:sz w:val="24"/>
                <w:szCs w:val="24"/>
                <w:highlight w:val="none"/>
                <w:vertAlign w:val="subscript"/>
                <w:lang w:val="en-US" w:eastAsia="zh-CN"/>
              </w:rPr>
              <w:t>3</w:t>
            </w:r>
            <w:r>
              <w:rPr>
                <w:rFonts w:hint="default" w:ascii="Times New Roman" w:hAnsi="Times New Roman" w:cs="Times New Roman"/>
                <w:color w:val="auto"/>
                <w:sz w:val="24"/>
                <w:szCs w:val="24"/>
                <w:highlight w:val="none"/>
                <w:lang w:val="en-US" w:eastAsia="zh-CN"/>
              </w:rPr>
              <w:t>-N、</w:t>
            </w:r>
            <w:r>
              <w:rPr>
                <w:rFonts w:hint="default" w:ascii="Times New Roman" w:hAnsi="Times New Roman" w:cs="Times New Roman"/>
                <w:color w:val="auto"/>
                <w:sz w:val="24"/>
                <w:szCs w:val="24"/>
                <w:highlight w:val="none"/>
              </w:rPr>
              <w:t>氟化物</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TP、TN、</w:t>
            </w:r>
            <w:r>
              <w:rPr>
                <w:rFonts w:hint="default" w:ascii="Times New Roman" w:hAnsi="Times New Roman" w:cs="Times New Roman"/>
                <w:color w:val="auto"/>
                <w:sz w:val="24"/>
                <w:szCs w:val="24"/>
                <w:highlight w:val="none"/>
              </w:rPr>
              <w:t>LAS</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总铝</w:t>
            </w:r>
            <w:r>
              <w:rPr>
                <w:rFonts w:hint="default" w:ascii="Times New Roman" w:hAnsi="Times New Roman" w:cs="Times New Roman"/>
                <w:color w:val="auto"/>
                <w:sz w:val="24"/>
                <w:szCs w:val="24"/>
                <w:highlight w:val="none"/>
              </w:rPr>
              <w:t>和石油类</w:t>
            </w:r>
            <w:r>
              <w:rPr>
                <w:rFonts w:hint="default" w:ascii="Times New Roman" w:hAnsi="Times New Roman" w:cs="Times New Roman"/>
                <w:color w:val="auto"/>
                <w:sz w:val="24"/>
                <w:szCs w:val="24"/>
                <w:highlight w:val="none"/>
                <w:lang w:eastAsia="zh-CN"/>
              </w:rPr>
              <w:t>。</w:t>
            </w:r>
          </w:p>
          <w:p w14:paraId="05B08D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lang w:val="en-US" w:eastAsia="zh-CN"/>
              </w:rPr>
              <w:t>生产废水</w:t>
            </w:r>
            <w:r>
              <w:rPr>
                <w:rFonts w:hint="eastAsia" w:cs="Times New Roman"/>
                <w:color w:val="auto"/>
                <w:sz w:val="24"/>
                <w:szCs w:val="24"/>
                <w:highlight w:val="none"/>
                <w:lang w:val="en-US" w:eastAsia="zh-CN"/>
              </w:rPr>
              <w:t>为前处理废水，</w:t>
            </w:r>
            <w:r>
              <w:rPr>
                <w:rFonts w:hint="default" w:ascii="Times New Roman" w:hAnsi="Times New Roman" w:cs="Times New Roman"/>
                <w:color w:val="auto"/>
                <w:sz w:val="24"/>
                <w:szCs w:val="24"/>
                <w:highlight w:val="none"/>
                <w:lang w:val="en-US" w:eastAsia="zh-CN"/>
              </w:rPr>
              <w:t>各污染物产生浓度类比项目《佛山市亿鑫创金属科技有限责任公司铝型材制造项目（一期）验收检测报告》（报告编号：弗雷德检字(2025)第 0425B19 号）</w:t>
            </w:r>
            <w:r>
              <w:rPr>
                <w:rFonts w:hint="eastAsia" w:cs="Times New Roman"/>
                <w:color w:val="auto"/>
                <w:sz w:val="24"/>
                <w:szCs w:val="24"/>
                <w:highlight w:val="none"/>
                <w:lang w:val="en-US" w:eastAsia="zh-CN"/>
              </w:rPr>
              <w:t>和《佛山市现泰铝业有限公司建设项目》（批复文号佛环南审[2026]25号）</w:t>
            </w:r>
            <w:r>
              <w:rPr>
                <w:rFonts w:hint="default" w:ascii="Times New Roman" w:hAnsi="Times New Roman" w:cs="Times New Roman"/>
                <w:color w:val="auto"/>
                <w:sz w:val="24"/>
                <w:szCs w:val="24"/>
                <w:highlight w:val="none"/>
                <w:lang w:val="en-US" w:eastAsia="zh-CN"/>
              </w:rPr>
              <w:t>，佛山市亿鑫创金属科技有限责任公司</w:t>
            </w:r>
            <w:r>
              <w:rPr>
                <w:rFonts w:hint="eastAsia" w:cs="Times New Roman"/>
                <w:color w:val="auto"/>
                <w:sz w:val="24"/>
                <w:szCs w:val="24"/>
                <w:highlight w:val="none"/>
                <w:lang w:val="en-US" w:eastAsia="zh-CN"/>
              </w:rPr>
              <w:t>、佛山市现泰铝业有限公司建设项目</w:t>
            </w:r>
            <w:r>
              <w:rPr>
                <w:rFonts w:hint="default" w:ascii="Times New Roman" w:hAnsi="Times New Roman" w:cs="Times New Roman"/>
                <w:color w:val="auto"/>
                <w:sz w:val="24"/>
                <w:szCs w:val="24"/>
                <w:highlight w:val="none"/>
                <w:lang w:val="en-US" w:eastAsia="zh-CN"/>
              </w:rPr>
              <w:t>其生产工艺与本项目基本一致，废水产生及处理工艺类似，因此具有可类比性，类比结果详见下表。</w:t>
            </w:r>
          </w:p>
          <w:p w14:paraId="76EDE699">
            <w:pPr>
              <w:keepNext w:val="0"/>
              <w:keepLines w:val="0"/>
              <w:widowControl/>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lang w:val="en-US" w:eastAsia="zh-CN" w:bidi="ar"/>
              </w:rPr>
              <w:t>表4-2</w:t>
            </w:r>
            <w:r>
              <w:rPr>
                <w:rFonts w:hint="eastAsia" w:cs="Times New Roman"/>
                <w:b/>
                <w:bCs/>
                <w:color w:val="auto"/>
                <w:kern w:val="0"/>
                <w:sz w:val="21"/>
                <w:szCs w:val="21"/>
                <w:lang w:val="en-US" w:eastAsia="zh-CN" w:bidi="ar"/>
              </w:rPr>
              <w:t>3</w:t>
            </w:r>
            <w:r>
              <w:rPr>
                <w:rFonts w:hint="eastAsia" w:cs="Times New Roman"/>
                <w:b/>
                <w:bCs/>
                <w:color w:val="auto"/>
                <w:kern w:val="0"/>
                <w:sz w:val="21"/>
                <w:szCs w:val="21"/>
                <w:highlight w:val="none"/>
                <w:lang w:val="en-US" w:eastAsia="zh-CN" w:bidi="ar"/>
              </w:rPr>
              <w:t>外排生产</w:t>
            </w:r>
            <w:r>
              <w:rPr>
                <w:rFonts w:hint="default" w:ascii="Times New Roman" w:hAnsi="Times New Roman" w:eastAsia="宋体" w:cs="Times New Roman"/>
                <w:b/>
                <w:bCs/>
                <w:color w:val="auto"/>
                <w:kern w:val="0"/>
                <w:sz w:val="21"/>
                <w:szCs w:val="21"/>
                <w:highlight w:val="none"/>
                <w:lang w:val="en-US" w:eastAsia="zh-CN" w:bidi="ar"/>
              </w:rPr>
              <w:t>废水水质类比可行性</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569"/>
              <w:gridCol w:w="2475"/>
              <w:gridCol w:w="2245"/>
              <w:gridCol w:w="2480"/>
              <w:gridCol w:w="844"/>
            </w:tblGrid>
            <w:tr w14:paraId="6C4E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569" w:type="dxa"/>
                  <w:shd w:val="clear" w:color="auto" w:fill="auto"/>
                  <w:tcMar>
                    <w:top w:w="0" w:type="dxa"/>
                    <w:left w:w="0" w:type="dxa"/>
                    <w:bottom w:w="0" w:type="dxa"/>
                    <w:right w:w="0" w:type="dxa"/>
                  </w:tcMar>
                  <w:vAlign w:val="center"/>
                </w:tcPr>
                <w:p w14:paraId="4DA29621">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项目</w:t>
                  </w:r>
                </w:p>
              </w:tc>
              <w:tc>
                <w:tcPr>
                  <w:tcW w:w="2475" w:type="dxa"/>
                  <w:shd w:val="clear" w:color="auto" w:fill="auto"/>
                  <w:tcMar>
                    <w:top w:w="0" w:type="dxa"/>
                    <w:left w:w="0" w:type="dxa"/>
                    <w:bottom w:w="0" w:type="dxa"/>
                    <w:right w:w="0" w:type="dxa"/>
                  </w:tcMar>
                  <w:vAlign w:val="center"/>
                </w:tcPr>
                <w:p w14:paraId="1ED8904A">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本项目</w:t>
                  </w:r>
                </w:p>
              </w:tc>
              <w:tc>
                <w:tcPr>
                  <w:tcW w:w="2245" w:type="dxa"/>
                  <w:shd w:val="clear" w:color="auto" w:fill="auto"/>
                  <w:tcMar>
                    <w:top w:w="0" w:type="dxa"/>
                    <w:left w:w="0" w:type="dxa"/>
                    <w:bottom w:w="0" w:type="dxa"/>
                    <w:right w:w="0" w:type="dxa"/>
                  </w:tcMar>
                  <w:vAlign w:val="center"/>
                </w:tcPr>
                <w:p w14:paraId="4DE11AC0">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佛山市亿鑫创金属科技有限责任公司铝型材制造项目（一期）</w:t>
                  </w:r>
                </w:p>
              </w:tc>
              <w:tc>
                <w:tcPr>
                  <w:tcW w:w="2480" w:type="dxa"/>
                  <w:shd w:val="clear" w:color="auto" w:fill="auto"/>
                  <w:tcMar>
                    <w:top w:w="0" w:type="dxa"/>
                    <w:left w:w="0" w:type="dxa"/>
                    <w:bottom w:w="0" w:type="dxa"/>
                    <w:right w:w="0" w:type="dxa"/>
                  </w:tcMar>
                  <w:vAlign w:val="center"/>
                </w:tcPr>
                <w:p w14:paraId="60DFA92E">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sz w:val="21"/>
                      <w:szCs w:val="21"/>
                      <w:highlight w:val="none"/>
                      <w:lang w:val="en-US" w:eastAsia="zh-CN"/>
                    </w:rPr>
                    <w:t>佛山市现泰铝业有限公司建设项目</w:t>
                  </w:r>
                </w:p>
              </w:tc>
              <w:tc>
                <w:tcPr>
                  <w:tcW w:w="844" w:type="dxa"/>
                  <w:shd w:val="clear" w:color="auto" w:fill="auto"/>
                  <w:tcMar>
                    <w:top w:w="0" w:type="dxa"/>
                    <w:left w:w="0" w:type="dxa"/>
                    <w:bottom w:w="0" w:type="dxa"/>
                    <w:right w:w="0" w:type="dxa"/>
                  </w:tcMar>
                  <w:vAlign w:val="center"/>
                </w:tcPr>
                <w:p w14:paraId="5AE33BAC">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对比情况</w:t>
                  </w:r>
                </w:p>
              </w:tc>
            </w:tr>
            <w:tr w14:paraId="546C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2EDB8252">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产品</w:t>
                  </w:r>
                </w:p>
              </w:tc>
              <w:tc>
                <w:tcPr>
                  <w:tcW w:w="2475" w:type="dxa"/>
                  <w:shd w:val="clear" w:color="auto" w:fill="auto"/>
                  <w:tcMar>
                    <w:top w:w="0" w:type="dxa"/>
                    <w:left w:w="0" w:type="dxa"/>
                    <w:bottom w:w="0" w:type="dxa"/>
                    <w:right w:w="0" w:type="dxa"/>
                  </w:tcMar>
                  <w:vAlign w:val="center"/>
                </w:tcPr>
                <w:p w14:paraId="6A9C4EF8">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铝型材</w:t>
                  </w:r>
                </w:p>
              </w:tc>
              <w:tc>
                <w:tcPr>
                  <w:tcW w:w="2245" w:type="dxa"/>
                  <w:shd w:val="clear" w:color="auto" w:fill="auto"/>
                  <w:tcMar>
                    <w:top w:w="0" w:type="dxa"/>
                    <w:left w:w="0" w:type="dxa"/>
                    <w:bottom w:w="0" w:type="dxa"/>
                    <w:right w:w="0" w:type="dxa"/>
                  </w:tcMar>
                  <w:vAlign w:val="center"/>
                </w:tcPr>
                <w:p w14:paraId="7C83E3C8">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铝型材</w:t>
                  </w:r>
                </w:p>
              </w:tc>
              <w:tc>
                <w:tcPr>
                  <w:tcW w:w="2480" w:type="dxa"/>
                  <w:shd w:val="clear" w:color="auto" w:fill="auto"/>
                  <w:tcMar>
                    <w:top w:w="0" w:type="dxa"/>
                    <w:left w:w="0" w:type="dxa"/>
                    <w:bottom w:w="0" w:type="dxa"/>
                    <w:right w:w="0" w:type="dxa"/>
                  </w:tcMar>
                  <w:vAlign w:val="center"/>
                </w:tcPr>
                <w:p w14:paraId="66773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铝制品</w:t>
                  </w:r>
                </w:p>
              </w:tc>
              <w:tc>
                <w:tcPr>
                  <w:tcW w:w="844" w:type="dxa"/>
                  <w:shd w:val="clear" w:color="auto" w:fill="auto"/>
                  <w:tcMar>
                    <w:top w:w="0" w:type="dxa"/>
                    <w:left w:w="0" w:type="dxa"/>
                    <w:bottom w:w="0" w:type="dxa"/>
                    <w:right w:w="0" w:type="dxa"/>
                  </w:tcMar>
                  <w:vAlign w:val="center"/>
                </w:tcPr>
                <w:p w14:paraId="5FAB06E4">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均为金属类的产品</w:t>
                  </w:r>
                </w:p>
              </w:tc>
            </w:tr>
            <w:tr w14:paraId="49EB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08D5C265">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表面处理工艺</w:t>
                  </w:r>
                </w:p>
              </w:tc>
              <w:tc>
                <w:tcPr>
                  <w:tcW w:w="2475" w:type="dxa"/>
                  <w:shd w:val="clear" w:color="auto" w:fill="auto"/>
                  <w:tcMar>
                    <w:top w:w="0" w:type="dxa"/>
                    <w:left w:w="0" w:type="dxa"/>
                    <w:bottom w:w="0" w:type="dxa"/>
                    <w:right w:w="0" w:type="dxa"/>
                  </w:tcMar>
                  <w:vAlign w:val="center"/>
                </w:tcPr>
                <w:p w14:paraId="7728781B">
                  <w:pPr>
                    <w:keepNext w:val="0"/>
                    <w:keepLines w:val="0"/>
                    <w:widowControl/>
                    <w:suppressLineNumbers w:val="0"/>
                    <w:spacing w:line="240" w:lineRule="auto"/>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kern w:val="0"/>
                      <w:sz w:val="21"/>
                      <w:szCs w:val="21"/>
                      <w:lang w:val="en-US" w:eastAsia="zh-CN" w:bidi="ar"/>
                    </w:rPr>
                    <w:t>清水→脱脂除油→清水→脱脂除油→清水→无铬钝化→清水</w:t>
                  </w:r>
                </w:p>
              </w:tc>
              <w:tc>
                <w:tcPr>
                  <w:tcW w:w="2245" w:type="dxa"/>
                  <w:shd w:val="clear" w:color="auto" w:fill="auto"/>
                  <w:tcMar>
                    <w:top w:w="0" w:type="dxa"/>
                    <w:left w:w="0" w:type="dxa"/>
                    <w:bottom w:w="0" w:type="dxa"/>
                    <w:right w:w="0" w:type="dxa"/>
                  </w:tcMar>
                  <w:vAlign w:val="center"/>
                </w:tcPr>
                <w:p w14:paraId="5BAE5051">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铝→除油→除油→水洗→水洗→皮膜→水洗</w:t>
                  </w:r>
                </w:p>
              </w:tc>
              <w:tc>
                <w:tcPr>
                  <w:tcW w:w="2480" w:type="dxa"/>
                  <w:shd w:val="clear" w:color="auto" w:fill="auto"/>
                  <w:tcMar>
                    <w:top w:w="0" w:type="dxa"/>
                    <w:left w:w="0" w:type="dxa"/>
                    <w:bottom w:w="0" w:type="dxa"/>
                    <w:right w:w="0" w:type="dxa"/>
                  </w:tcMar>
                  <w:vAlign w:val="center"/>
                </w:tcPr>
                <w:p w14:paraId="5EAC57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预脱脂</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脱脂</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无铬钝化</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烘干</w:t>
                  </w:r>
                </w:p>
              </w:tc>
              <w:tc>
                <w:tcPr>
                  <w:tcW w:w="844" w:type="dxa"/>
                  <w:shd w:val="clear" w:color="auto" w:fill="auto"/>
                  <w:tcMar>
                    <w:top w:w="0" w:type="dxa"/>
                    <w:left w:w="0" w:type="dxa"/>
                    <w:bottom w:w="0" w:type="dxa"/>
                    <w:right w:w="0" w:type="dxa"/>
                  </w:tcMar>
                  <w:vAlign w:val="center"/>
                </w:tcPr>
                <w:p w14:paraId="042B45B7">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r w14:paraId="4E3A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1E347663">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原辅材料</w:t>
                  </w:r>
                </w:p>
              </w:tc>
              <w:tc>
                <w:tcPr>
                  <w:tcW w:w="2475" w:type="dxa"/>
                  <w:shd w:val="clear" w:color="auto" w:fill="auto"/>
                  <w:tcMar>
                    <w:top w:w="0" w:type="dxa"/>
                    <w:left w:w="0" w:type="dxa"/>
                    <w:bottom w:w="0" w:type="dxa"/>
                    <w:right w:w="0" w:type="dxa"/>
                  </w:tcMar>
                  <w:vAlign w:val="center"/>
                </w:tcPr>
                <w:p w14:paraId="20D4F4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lang w:val="en-US" w:eastAsia="zh-CN"/>
                    </w:rPr>
                    <w:t>酸性除油剂：</w:t>
                  </w:r>
                  <w:r>
                    <w:rPr>
                      <w:rFonts w:hint="default" w:ascii="Times New Roman" w:hAnsi="Times New Roman" w:eastAsia="宋体" w:cs="Times New Roman"/>
                      <w:color w:val="auto"/>
                      <w:kern w:val="2"/>
                      <w:sz w:val="21"/>
                      <w:szCs w:val="21"/>
                      <w:highlight w:val="none"/>
                    </w:rPr>
                    <w:t>磷酸5%</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醋酸</w:t>
                  </w:r>
                  <w:r>
                    <w:rPr>
                      <w:rFonts w:hint="default" w:ascii="Times New Roman" w:hAnsi="Times New Roman" w:eastAsia="宋体" w:cs="Times New Roman"/>
                      <w:color w:val="auto"/>
                      <w:kern w:val="2"/>
                      <w:sz w:val="21"/>
                      <w:szCs w:val="21"/>
                      <w:highlight w:val="none"/>
                      <w:lang w:val="en-US" w:eastAsia="zh-CN"/>
                    </w:rPr>
                    <w:t>6%、</w:t>
                  </w:r>
                  <w:r>
                    <w:rPr>
                      <w:rFonts w:hint="default" w:ascii="Times New Roman" w:hAnsi="Times New Roman" w:eastAsia="宋体" w:cs="Times New Roman"/>
                      <w:color w:val="auto"/>
                      <w:kern w:val="2"/>
                      <w:sz w:val="21"/>
                      <w:szCs w:val="21"/>
                      <w:highlight w:val="none"/>
                    </w:rPr>
                    <w:t>除油分子</w:t>
                  </w:r>
                  <w:r>
                    <w:rPr>
                      <w:rFonts w:hint="default" w:ascii="Times New Roman" w:hAnsi="Times New Roman" w:eastAsia="宋体" w:cs="Times New Roman"/>
                      <w:color w:val="auto"/>
                      <w:kern w:val="2"/>
                      <w:sz w:val="21"/>
                      <w:szCs w:val="21"/>
                      <w:highlight w:val="none"/>
                      <w:lang w:val="en-US" w:eastAsia="zh-CN"/>
                    </w:rPr>
                    <w:t>10%、</w:t>
                  </w:r>
                  <w:r>
                    <w:rPr>
                      <w:rFonts w:hint="default" w:ascii="Times New Roman" w:hAnsi="Times New Roman" w:eastAsia="宋体" w:cs="Times New Roman"/>
                      <w:color w:val="auto"/>
                      <w:kern w:val="2"/>
                      <w:sz w:val="21"/>
                      <w:szCs w:val="21"/>
                      <w:highlight w:val="none"/>
                    </w:rPr>
                    <w:t>抗氧化剂10%</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柠檬酸</w:t>
                  </w:r>
                  <w:r>
                    <w:rPr>
                      <w:rFonts w:hint="default"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活性剂</w:t>
                  </w:r>
                  <w:r>
                    <w:rPr>
                      <w:rFonts w:hint="default" w:ascii="Times New Roman" w:hAnsi="Times New Roman" w:eastAsia="宋体" w:cs="Times New Roman"/>
                      <w:color w:val="auto"/>
                      <w:kern w:val="2"/>
                      <w:sz w:val="21"/>
                      <w:szCs w:val="21"/>
                      <w:highlight w:val="none"/>
                      <w:lang w:val="en-US" w:eastAsia="zh-CN"/>
                    </w:rPr>
                    <w:t>10%、</w:t>
                  </w:r>
                  <w:r>
                    <w:rPr>
                      <w:rFonts w:hint="default" w:ascii="Times New Roman" w:hAnsi="Times New Roman" w:eastAsia="宋体" w:cs="Times New Roman"/>
                      <w:color w:val="auto"/>
                      <w:kern w:val="2"/>
                      <w:sz w:val="21"/>
                      <w:szCs w:val="21"/>
                      <w:highlight w:val="none"/>
                    </w:rPr>
                    <w:t>氢氟酸</w:t>
                  </w:r>
                  <w:r>
                    <w:rPr>
                      <w:rFonts w:hint="default" w:ascii="Times New Roman" w:hAnsi="Times New Roman" w:eastAsia="宋体" w:cs="Times New Roman"/>
                      <w:color w:val="auto"/>
                      <w:kern w:val="2"/>
                      <w:sz w:val="21"/>
                      <w:szCs w:val="21"/>
                      <w:highlight w:val="none"/>
                      <w:lang w:val="en-US" w:eastAsia="zh-CN"/>
                    </w:rPr>
                    <w:t>1%其他（水）</w:t>
                  </w:r>
                  <w:r>
                    <w:rPr>
                      <w:rFonts w:hint="default" w:ascii="Times New Roman" w:hAnsi="Times New Roman" w:eastAsia="宋体" w:cs="Times New Roman"/>
                      <w:color w:val="auto"/>
                      <w:kern w:val="2"/>
                      <w:sz w:val="21"/>
                      <w:szCs w:val="21"/>
                      <w:highlight w:val="none"/>
                    </w:rPr>
                    <w:t>55%</w:t>
                  </w:r>
                  <w:r>
                    <w:rPr>
                      <w:rFonts w:hint="default" w:ascii="Times New Roman" w:hAnsi="Times New Roman" w:eastAsia="宋体" w:cs="Times New Roman"/>
                      <w:color w:val="auto"/>
                      <w:kern w:val="2"/>
                      <w:sz w:val="21"/>
                      <w:szCs w:val="21"/>
                      <w:highlight w:val="none"/>
                    </w:rPr>
                    <w:br w:type="textWrapping"/>
                  </w:r>
                  <w:r>
                    <w:rPr>
                      <w:rFonts w:hint="default" w:ascii="Times New Roman" w:hAnsi="Times New Roman" w:eastAsia="宋体" w:cs="Times New Roman"/>
                      <w:color w:val="auto"/>
                      <w:kern w:val="2"/>
                      <w:sz w:val="21"/>
                      <w:szCs w:val="21"/>
                      <w:highlight w:val="none"/>
                      <w:lang w:val="en-US" w:eastAsia="zh-CN"/>
                    </w:rPr>
                    <w:t>无铬钝化剂：</w:t>
                  </w:r>
                  <w:r>
                    <w:rPr>
                      <w:rFonts w:hint="default" w:ascii="Times New Roman" w:hAnsi="Times New Roman" w:eastAsia="宋体" w:cs="Times New Roman"/>
                      <w:color w:val="auto"/>
                      <w:kern w:val="2"/>
                      <w:sz w:val="21"/>
                      <w:szCs w:val="21"/>
                      <w:highlight w:val="none"/>
                    </w:rPr>
                    <w:t>氟锆酸5~10%</w:t>
                  </w:r>
                </w:p>
                <w:p w14:paraId="4843BC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氟钛酸5~10%</w:t>
                  </w:r>
                </w:p>
                <w:p w14:paraId="4DBF07A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2"/>
                      <w:sz w:val="21"/>
                      <w:szCs w:val="21"/>
                      <w:highlight w:val="none"/>
                    </w:rPr>
                    <w:t>环氧改性丙烯酸树脂15~20%</w:t>
                  </w:r>
                  <w:r>
                    <w:rPr>
                      <w:rFonts w:hint="eastAsia"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一水合柠檬酸45~55%</w:t>
                  </w:r>
                </w:p>
              </w:tc>
              <w:tc>
                <w:tcPr>
                  <w:tcW w:w="2245" w:type="dxa"/>
                  <w:shd w:val="clear" w:color="auto" w:fill="auto"/>
                  <w:tcMar>
                    <w:top w:w="0" w:type="dxa"/>
                    <w:left w:w="0" w:type="dxa"/>
                    <w:bottom w:w="0" w:type="dxa"/>
                    <w:right w:w="0" w:type="dxa"/>
                  </w:tcMar>
                  <w:vAlign w:val="center"/>
                </w:tcPr>
                <w:p w14:paraId="754ED12C">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除油剂：硫酸 1%~20%、表面活性剂 1%~20%，剩余部分为水无铬铝皮膜剂：锆酸盐 1~20%、柠檬酸盐 1~15%、聚丙烯树脂 5~15%，剩余成分为纯水</w:t>
                  </w:r>
                </w:p>
              </w:tc>
              <w:tc>
                <w:tcPr>
                  <w:tcW w:w="2480" w:type="dxa"/>
                  <w:shd w:val="clear" w:color="auto" w:fill="auto"/>
                  <w:tcMar>
                    <w:top w:w="0" w:type="dxa"/>
                    <w:left w:w="0" w:type="dxa"/>
                    <w:bottom w:w="0" w:type="dxa"/>
                    <w:right w:w="0" w:type="dxa"/>
                  </w:tcMar>
                  <w:vAlign w:val="center"/>
                </w:tcPr>
                <w:p w14:paraId="48BF15E1">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除油剂：碳酸盐、脂肪醇聚氧乙烯醚、添加剂（盐酸）等；无铬钝化剂：氟锆酸铵、柠檬酸（有机酸）、EDTA 钠（络合剂）；氟锆酸、氟钛酸、环氧改性丙烯酸树脂、一水合柠檬酸等</w:t>
                  </w:r>
                </w:p>
              </w:tc>
              <w:tc>
                <w:tcPr>
                  <w:tcW w:w="844" w:type="dxa"/>
                  <w:shd w:val="clear" w:color="auto" w:fill="auto"/>
                  <w:tcMar>
                    <w:top w:w="0" w:type="dxa"/>
                    <w:left w:w="0" w:type="dxa"/>
                    <w:bottom w:w="0" w:type="dxa"/>
                    <w:right w:w="0" w:type="dxa"/>
                  </w:tcMar>
                  <w:vAlign w:val="center"/>
                </w:tcPr>
                <w:p w14:paraId="7328B111">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r w14:paraId="77F5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3068B6FD">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废水情况</w:t>
                  </w:r>
                </w:p>
              </w:tc>
              <w:tc>
                <w:tcPr>
                  <w:tcW w:w="2475" w:type="dxa"/>
                  <w:shd w:val="clear" w:color="auto" w:fill="auto"/>
                  <w:tcMar>
                    <w:top w:w="0" w:type="dxa"/>
                    <w:left w:w="0" w:type="dxa"/>
                    <w:bottom w:w="0" w:type="dxa"/>
                    <w:right w:w="0" w:type="dxa"/>
                  </w:tcMar>
                  <w:vAlign w:val="center"/>
                </w:tcPr>
                <w:p w14:paraId="07B09105">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清洗废水</w:t>
                  </w:r>
                </w:p>
              </w:tc>
              <w:tc>
                <w:tcPr>
                  <w:tcW w:w="2245" w:type="dxa"/>
                  <w:shd w:val="clear" w:color="auto" w:fill="auto"/>
                  <w:tcMar>
                    <w:top w:w="0" w:type="dxa"/>
                    <w:left w:w="0" w:type="dxa"/>
                    <w:bottom w:w="0" w:type="dxa"/>
                    <w:right w:w="0" w:type="dxa"/>
                  </w:tcMar>
                  <w:vAlign w:val="center"/>
                </w:tcPr>
                <w:p w14:paraId="3345D1C2">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喷淋废水、水帘柜废水、清洗废水</w:t>
                  </w:r>
                </w:p>
              </w:tc>
              <w:tc>
                <w:tcPr>
                  <w:tcW w:w="2480" w:type="dxa"/>
                  <w:shd w:val="clear" w:color="auto" w:fill="auto"/>
                  <w:tcMar>
                    <w:top w:w="0" w:type="dxa"/>
                    <w:left w:w="0" w:type="dxa"/>
                    <w:bottom w:w="0" w:type="dxa"/>
                    <w:right w:w="0" w:type="dxa"/>
                  </w:tcMar>
                  <w:vAlign w:val="center"/>
                </w:tcPr>
                <w:p w14:paraId="2101B55F">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清洗废水</w:t>
                  </w:r>
                </w:p>
              </w:tc>
              <w:tc>
                <w:tcPr>
                  <w:tcW w:w="844" w:type="dxa"/>
                  <w:shd w:val="clear" w:color="auto" w:fill="auto"/>
                  <w:tcMar>
                    <w:top w:w="0" w:type="dxa"/>
                    <w:left w:w="0" w:type="dxa"/>
                    <w:bottom w:w="0" w:type="dxa"/>
                    <w:right w:w="0" w:type="dxa"/>
                  </w:tcMar>
                  <w:vAlign w:val="center"/>
                </w:tcPr>
                <w:p w14:paraId="4C36C4F3">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bl>
          <w:p w14:paraId="67153E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01C089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《佛山市现泰铝业有限公司建设项目》（批复文号佛环南审[2026]25号）、</w:t>
            </w:r>
            <w:r>
              <w:rPr>
                <w:rFonts w:hint="default" w:ascii="Times New Roman" w:hAnsi="Times New Roman" w:cs="Times New Roman"/>
                <w:color w:val="auto"/>
                <w:sz w:val="24"/>
                <w:szCs w:val="24"/>
                <w:highlight w:val="none"/>
                <w:lang w:val="en-US" w:eastAsia="zh-CN"/>
              </w:rPr>
              <w:t>《佛山市亿鑫创金属科技有限责任公司铝型材制造项目（一期）验收检测报告》（报告编号：弗雷德检字(2025)第 0425B19 号）</w:t>
            </w:r>
            <w:r>
              <w:rPr>
                <w:rFonts w:hint="eastAsia" w:cs="Times New Roman"/>
                <w:color w:val="auto"/>
                <w:sz w:val="24"/>
                <w:szCs w:val="24"/>
                <w:highlight w:val="none"/>
                <w:lang w:val="en-US" w:eastAsia="zh-CN"/>
              </w:rPr>
              <w:t>等</w:t>
            </w:r>
            <w:r>
              <w:rPr>
                <w:rFonts w:hint="default" w:ascii="Times New Roman" w:hAnsi="Times New Roman" w:cs="Times New Roman"/>
                <w:color w:val="auto"/>
                <w:sz w:val="24"/>
                <w:szCs w:val="24"/>
                <w:highlight w:val="none"/>
                <w:lang w:val="en-US" w:eastAsia="zh-CN"/>
              </w:rPr>
              <w:t>类比项目</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szCs w:val="24"/>
                <w:highlight w:val="none"/>
                <w:lang w:val="en-US" w:eastAsia="zh-CN"/>
              </w:rPr>
              <w:t>废水</w:t>
            </w:r>
            <w:r>
              <w:rPr>
                <w:rFonts w:hint="eastAsia" w:cs="Times New Roman"/>
                <w:color w:val="auto"/>
                <w:sz w:val="24"/>
                <w:szCs w:val="24"/>
                <w:highlight w:val="none"/>
                <w:lang w:val="en-US" w:eastAsia="zh-CN"/>
              </w:rPr>
              <w:t>源强水质</w:t>
            </w:r>
            <w:r>
              <w:rPr>
                <w:rFonts w:hint="default" w:ascii="Times New Roman" w:hAnsi="Times New Roman" w:cs="Times New Roman"/>
                <w:color w:val="auto"/>
                <w:sz w:val="24"/>
                <w:szCs w:val="24"/>
                <w:highlight w:val="none"/>
                <w:lang w:val="en-US" w:eastAsia="zh-CN"/>
              </w:rPr>
              <w:t>数据如下表。</w:t>
            </w:r>
          </w:p>
          <w:p w14:paraId="6A394224">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4 </w:t>
            </w:r>
            <w:r>
              <w:rPr>
                <w:rFonts w:hint="default" w:ascii="Times New Roman" w:hAnsi="Times New Roman" w:cs="Times New Roman"/>
                <w:b/>
                <w:bCs/>
                <w:color w:val="auto"/>
                <w:sz w:val="21"/>
                <w:szCs w:val="21"/>
                <w:highlight w:val="none"/>
                <w:lang w:val="en-US" w:eastAsia="zh-CN"/>
              </w:rPr>
              <w:t>类比项目外排生产废水</w:t>
            </w:r>
            <w:r>
              <w:rPr>
                <w:rFonts w:hint="eastAsia" w:cs="Times New Roman"/>
                <w:b/>
                <w:bCs/>
                <w:color w:val="auto"/>
                <w:sz w:val="21"/>
                <w:szCs w:val="21"/>
                <w:highlight w:val="none"/>
                <w:lang w:val="en-US" w:eastAsia="zh-CN"/>
              </w:rPr>
              <w:t>源强水质数据</w:t>
            </w:r>
            <w:r>
              <w:rPr>
                <w:rFonts w:hint="default" w:ascii="Times New Roman" w:hAnsi="Times New Roman" w:cs="Times New Roman"/>
                <w:b/>
                <w:bCs/>
                <w:color w:val="auto"/>
                <w:sz w:val="21"/>
                <w:szCs w:val="21"/>
                <w:highlight w:val="none"/>
                <w:lang w:val="en-US" w:eastAsia="zh-CN"/>
              </w:rPr>
              <w:t>（单位：mg/L）</w:t>
            </w:r>
          </w:p>
          <w:tbl>
            <w:tblPr>
              <w:tblStyle w:val="48"/>
              <w:tblW w:w="86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5"/>
              <w:gridCol w:w="1781"/>
              <w:gridCol w:w="1674"/>
              <w:gridCol w:w="1674"/>
              <w:gridCol w:w="1280"/>
            </w:tblGrid>
            <w:tr w14:paraId="2B64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20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F3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6B5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佛山市亿鑫创金属科技有限责任公司</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9416">
                  <w:pPr>
                    <w:keepNext w:val="0"/>
                    <w:keepLines w:val="0"/>
                    <w:widowControl/>
                    <w:suppressLineNumbers w:val="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佛山市现泰铝业有限公司建设项目</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06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本项目取值</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7D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r>
            <w:tr w14:paraId="55DC2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0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09D0">
                  <w:pPr>
                    <w:jc w:val="center"/>
                    <w:rPr>
                      <w:rFonts w:hint="default" w:ascii="Times New Roman" w:hAnsi="Times New Roman" w:eastAsia="宋体" w:cs="Times New Roman"/>
                      <w:b/>
                      <w:bCs/>
                      <w:i w:val="0"/>
                      <w:iCs w:val="0"/>
                      <w:color w:val="auto"/>
                      <w:sz w:val="21"/>
                      <w:szCs w:val="21"/>
                      <w:u w:val="none"/>
                    </w:rPr>
                  </w:pP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FD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污染物浓度范围</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335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污染物浓度值</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8AAF">
                  <w:pPr>
                    <w:jc w:val="center"/>
                    <w:rPr>
                      <w:rFonts w:hint="default" w:ascii="Times New Roman" w:hAnsi="Times New Roman" w:eastAsia="宋体" w:cs="Times New Roman"/>
                      <w:b/>
                      <w:bCs/>
                      <w:i w:val="0"/>
                      <w:iCs w:val="0"/>
                      <w:color w:val="auto"/>
                      <w:sz w:val="21"/>
                      <w:szCs w:val="21"/>
                      <w:u w:val="none"/>
                    </w:rPr>
                  </w:pP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F8E0">
                  <w:pPr>
                    <w:jc w:val="center"/>
                    <w:rPr>
                      <w:rFonts w:hint="default" w:ascii="Times New Roman" w:hAnsi="Times New Roman" w:eastAsia="宋体" w:cs="Times New Roman"/>
                      <w:i w:val="0"/>
                      <w:iCs w:val="0"/>
                      <w:color w:val="auto"/>
                      <w:sz w:val="21"/>
                      <w:szCs w:val="21"/>
                      <w:u w:val="none"/>
                    </w:rPr>
                  </w:pPr>
                </w:p>
              </w:tc>
            </w:tr>
            <w:tr w14:paraId="3199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40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pH值</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F3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10.9~11.0</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1B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5B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08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无量纲</w:t>
                  </w:r>
                </w:p>
              </w:tc>
            </w:tr>
            <w:tr w14:paraId="29C1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E6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化学需氧量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0D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307~339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8C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C2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B8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663F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24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五日生化需氧量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4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117~129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9C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123</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E6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E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5B5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68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悬浮物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40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39~49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4D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C7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42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54F5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C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氨氮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F2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3.51~3.95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33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E9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B1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3A7E0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8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B3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101~109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6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5C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02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D90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8C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21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0.46~0.58</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71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9D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66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34E7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0A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E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11.6~14.2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45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0F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37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7A4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B5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B5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0.119~0.161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40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54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E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1EFF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45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总铝</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49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37.8~42.6</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36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18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2B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628F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1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B6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1.11~1.41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3E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89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9D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bl>
          <w:p w14:paraId="72C8D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337CE21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结合本项目生产情况，</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highlight w:val="none"/>
                <w:lang w:val="en-US" w:eastAsia="zh-CN"/>
              </w:rPr>
              <w:t>废水</w:t>
            </w:r>
            <w:r>
              <w:rPr>
                <w:rFonts w:hint="eastAsia" w:cs="Times New Roman"/>
                <w:color w:val="auto"/>
                <w:sz w:val="24"/>
                <w:highlight w:val="none"/>
                <w:lang w:val="en-US" w:eastAsia="zh-CN"/>
              </w:rPr>
              <w:t>送入自建污水处理站处理，废水</w:t>
            </w:r>
            <w:r>
              <w:rPr>
                <w:rFonts w:hint="default" w:ascii="Times New Roman" w:hAnsi="Times New Roman" w:cs="Times New Roman"/>
                <w:color w:val="auto"/>
                <w:sz w:val="24"/>
                <w:highlight w:val="none"/>
              </w:rPr>
              <w:t>产排情况详见下表。</w:t>
            </w:r>
          </w:p>
          <w:p w14:paraId="358C82F2">
            <w:pPr>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0" w:afterAutospacing="0"/>
              <w:ind w:left="0" w:leftChars="0" w:right="0" w:rightChars="0" w:firstLine="40" w:firstLineChars="0"/>
              <w:jc w:val="center"/>
              <w:textAlignment w:val="auto"/>
              <w:rPr>
                <w:rFonts w:hint="default" w:ascii="Times New Roman" w:hAnsi="Times New Roman" w:cs="Times New Roman"/>
                <w:b/>
                <w:bCs/>
                <w:color w:val="auto"/>
                <w:sz w:val="21"/>
                <w:szCs w:val="21"/>
                <w:highlight w:val="none"/>
              </w:rPr>
            </w:pPr>
            <w:bookmarkStart w:id="26" w:name="OLE_LINK1"/>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5 </w:t>
            </w:r>
            <w:r>
              <w:rPr>
                <w:rFonts w:hint="default" w:ascii="Times New Roman" w:hAnsi="Times New Roman" w:cs="Times New Roman"/>
                <w:b/>
                <w:bCs/>
                <w:color w:val="auto"/>
                <w:sz w:val="21"/>
                <w:szCs w:val="21"/>
                <w:highlight w:val="none"/>
              </w:rPr>
              <w:t>本项目</w:t>
            </w:r>
            <w:r>
              <w:rPr>
                <w:rFonts w:hint="eastAsia" w:cs="Times New Roman"/>
                <w:b/>
                <w:bCs/>
                <w:color w:val="auto"/>
                <w:sz w:val="21"/>
                <w:szCs w:val="21"/>
                <w:highlight w:val="none"/>
                <w:lang w:val="en-US" w:eastAsia="zh-CN"/>
              </w:rPr>
              <w:t>外排</w:t>
            </w:r>
            <w:r>
              <w:rPr>
                <w:rFonts w:hint="default" w:ascii="Times New Roman" w:hAnsi="Times New Roman" w:cs="Times New Roman"/>
                <w:b/>
                <w:bCs/>
                <w:color w:val="auto"/>
                <w:sz w:val="21"/>
                <w:szCs w:val="21"/>
                <w:highlight w:val="none"/>
                <w:lang w:val="en-US" w:eastAsia="zh-CN"/>
              </w:rPr>
              <w:t>生产</w:t>
            </w:r>
            <w:r>
              <w:rPr>
                <w:rFonts w:hint="default" w:ascii="Times New Roman" w:hAnsi="Times New Roman" w:cs="Times New Roman"/>
                <w:b/>
                <w:bCs/>
                <w:color w:val="auto"/>
                <w:sz w:val="21"/>
                <w:szCs w:val="21"/>
                <w:highlight w:val="none"/>
              </w:rPr>
              <w:t>废水产排情况一览表</w:t>
            </w:r>
            <w:bookmarkEnd w:id="26"/>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1282"/>
              <w:gridCol w:w="682"/>
              <w:gridCol w:w="941"/>
              <w:gridCol w:w="715"/>
              <w:gridCol w:w="477"/>
              <w:gridCol w:w="477"/>
              <w:gridCol w:w="477"/>
              <w:gridCol w:w="479"/>
              <w:gridCol w:w="499"/>
              <w:gridCol w:w="604"/>
              <w:gridCol w:w="572"/>
              <w:gridCol w:w="573"/>
            </w:tblGrid>
            <w:tr w14:paraId="4CCD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5" w:hRule="atLeast"/>
              </w:trPr>
              <w:tc>
                <w:tcPr>
                  <w:tcW w:w="18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6A0E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废水种类</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725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pH</w:t>
                  </w:r>
                  <w:r>
                    <w:rPr>
                      <w:rFonts w:hint="eastAsia" w:ascii="宋体" w:hAnsi="宋体" w:eastAsia="宋体" w:cs="宋体"/>
                      <w:b/>
                      <w:bCs/>
                      <w:i w:val="0"/>
                      <w:iCs w:val="0"/>
                      <w:color w:val="auto"/>
                      <w:kern w:val="0"/>
                      <w:sz w:val="21"/>
                      <w:szCs w:val="21"/>
                      <w:u w:val="none"/>
                      <w:lang w:val="en-US" w:eastAsia="zh-CN" w:bidi="ar"/>
                    </w:rPr>
                    <w:t>（无量纲）</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32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COD</w:t>
                  </w:r>
                  <w:r>
                    <w:rPr>
                      <w:rFonts w:hint="default" w:ascii="Times New Roman" w:hAnsi="Times New Roman" w:eastAsia="宋体" w:cs="Times New Roman"/>
                      <w:b/>
                      <w:bCs/>
                      <w:i w:val="0"/>
                      <w:iCs w:val="0"/>
                      <w:color w:val="auto"/>
                      <w:kern w:val="0"/>
                      <w:sz w:val="21"/>
                      <w:szCs w:val="21"/>
                      <w:u w:val="none"/>
                      <w:vertAlign w:val="subscript"/>
                      <w:lang w:val="en-US" w:eastAsia="zh-CN" w:bidi="ar"/>
                    </w:rPr>
                    <w:t>Cr</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E82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BOD</w:t>
                  </w:r>
                  <w:r>
                    <w:rPr>
                      <w:rFonts w:hint="default" w:ascii="Times New Roman" w:hAnsi="Times New Roman" w:eastAsia="宋体" w:cs="Times New Roman"/>
                      <w:b/>
                      <w:bCs/>
                      <w:i w:val="0"/>
                      <w:iCs w:val="0"/>
                      <w:color w:val="auto"/>
                      <w:kern w:val="0"/>
                      <w:sz w:val="21"/>
                      <w:szCs w:val="21"/>
                      <w:u w:val="none"/>
                      <w:vertAlign w:val="subscript"/>
                      <w:lang w:val="en-US" w:eastAsia="zh-CN" w:bidi="ar"/>
                    </w:rPr>
                    <w:t>5</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7A9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SS</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DD3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氨氮</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74B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氟化物</w:t>
                  </w:r>
                </w:p>
              </w:tc>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4489">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TP</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188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TN</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72E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LAS</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2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总铝</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B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石油类</w:t>
                  </w:r>
                </w:p>
              </w:tc>
            </w:tr>
            <w:tr w14:paraId="47D0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5A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外排</w:t>
                  </w:r>
                  <w:r>
                    <w:rPr>
                      <w:rFonts w:hint="eastAsia" w:ascii="宋体" w:hAnsi="宋体" w:eastAsia="宋体" w:cs="宋体"/>
                      <w:i w:val="0"/>
                      <w:iCs w:val="0"/>
                      <w:color w:val="auto"/>
                      <w:kern w:val="0"/>
                      <w:sz w:val="21"/>
                      <w:szCs w:val="21"/>
                      <w:u w:val="none"/>
                      <w:lang w:val="en-US" w:eastAsia="zh-CN" w:bidi="ar"/>
                    </w:rPr>
                    <w:t>生产废水</w:t>
                  </w:r>
                  <w:r>
                    <w:rPr>
                      <w:rFonts w:hint="eastAsia" w:cs="Times New Roman"/>
                      <w:i w:val="0"/>
                      <w:iCs w:val="0"/>
                      <w:color w:val="auto"/>
                      <w:kern w:val="0"/>
                      <w:sz w:val="21"/>
                      <w:szCs w:val="21"/>
                      <w:u w:val="none"/>
                      <w:lang w:val="en-US" w:eastAsia="zh-CN" w:bidi="ar"/>
                    </w:rPr>
                    <w:t>10010.08</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/a</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D3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1BA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F012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503B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D885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629E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AE62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1850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7F0F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9E6D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196A9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84BC0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32.1</w:t>
                  </w:r>
                </w:p>
              </w:tc>
            </w:tr>
            <w:tr w14:paraId="1BC8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6204">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3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FD6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B27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3.724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BA6C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1.291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6C0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0.671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42F4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0.154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6FD8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1.091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5A06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A393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0.462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751D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0.010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609E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0.426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706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0.321 </w:t>
                  </w:r>
                </w:p>
              </w:tc>
            </w:tr>
            <w:tr w14:paraId="631A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CB9AE">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6C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治理工艺</w:t>
                  </w:r>
                </w:p>
              </w:tc>
              <w:tc>
                <w:tcPr>
                  <w:tcW w:w="6496" w:type="dxa"/>
                  <w:gridSpan w:val="11"/>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9FE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中和调节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混凝沉淀</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气浮</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化学除氟</w:t>
                  </w:r>
                </w:p>
              </w:tc>
            </w:tr>
            <w:tr w14:paraId="60A1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0E3F9">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E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处理效率</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D0FD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3415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DC24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ABD4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95%</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E25A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6151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F1CD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92%</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222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B0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4F6B8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96%</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BBE5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87%</w:t>
                  </w:r>
                </w:p>
              </w:tc>
            </w:tr>
            <w:tr w14:paraId="3279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705C0">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70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3F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3BF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108.4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2FC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53.2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4CFE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3.6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12E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12.5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820B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5C12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D81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37.6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3D18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CA4A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F246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4.1 </w:t>
                  </w:r>
                </w:p>
              </w:tc>
            </w:tr>
            <w:tr w14:paraId="1732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B07D">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C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浓度标准</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2FE9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39EB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AA0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C1B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C051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B9DC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B553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FF8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C7C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7BF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933C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w:t>
                  </w:r>
                </w:p>
              </w:tc>
            </w:tr>
            <w:tr w14:paraId="3236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20C4A">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E7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EB0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844B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1.085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15CC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0.533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9DA7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76A3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A04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1DA5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FB3E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F9E5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A85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4AA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5409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0" w:hRule="atLeast"/>
              </w:trPr>
              <w:tc>
                <w:tcPr>
                  <w:tcW w:w="833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94AE44">
                  <w:pPr>
                    <w:keepNext w:val="0"/>
                    <w:keepLines w:val="0"/>
                    <w:widowControl/>
                    <w:numPr>
                      <w:ilvl w:val="0"/>
                      <w:numId w:val="0"/>
                    </w:numPr>
                    <w:suppressLineNumbers w:val="0"/>
                    <w:jc w:val="both"/>
                    <w:textAlignment w:val="center"/>
                    <w:rPr>
                      <w:rFonts w:hint="eastAsia" w:ascii="宋体" w:hAnsi="宋体" w:eastAsia="宋体" w:cs="宋体"/>
                      <w:color w:val="auto"/>
                      <w:kern w:val="0"/>
                      <w:sz w:val="20"/>
                      <w:szCs w:val="20"/>
                      <w:lang w:val="en-US" w:eastAsia="zh-CN" w:bidi="ar"/>
                    </w:rPr>
                  </w:pPr>
                  <w:r>
                    <w:rPr>
                      <w:rFonts w:hint="default" w:ascii="Times New Roman" w:hAnsi="Times New Roman" w:eastAsia="宋体" w:cs="Times New Roman"/>
                      <w:color w:val="auto"/>
                      <w:kern w:val="0"/>
                      <w:sz w:val="21"/>
                      <w:szCs w:val="21"/>
                      <w:lang w:val="en-US" w:eastAsia="zh-CN" w:bidi="ar"/>
                    </w:rPr>
                    <w:t>注：</w:t>
                  </w:r>
                  <w:r>
                    <w:rPr>
                      <w:rFonts w:hint="default" w:ascii="Times New Roman" w:hAnsi="Times New Roman" w:cs="Times New Roman"/>
                      <w:color w:val="auto"/>
                      <w:kern w:val="0"/>
                      <w:sz w:val="21"/>
                      <w:szCs w:val="21"/>
                      <w:lang w:val="en-US" w:eastAsia="zh-CN" w:bidi="ar"/>
                    </w:rPr>
                    <w:t>①</w:t>
                  </w:r>
                  <w:r>
                    <w:rPr>
                      <w:rFonts w:hint="default" w:ascii="Times New Roman" w:hAnsi="Times New Roman" w:eastAsia="宋体" w:cs="Times New Roman"/>
                      <w:i w:val="0"/>
                      <w:iCs w:val="0"/>
                      <w:color w:val="auto"/>
                      <w:kern w:val="0"/>
                      <w:sz w:val="21"/>
                      <w:szCs w:val="21"/>
                      <w:u w:val="none"/>
                      <w:lang w:val="en-US" w:eastAsia="zh-CN" w:bidi="ar"/>
                    </w:rPr>
                    <w:t>项目废水排放执行园区污水处理厂接管水质要求、广东省《水污染物排放限值》（DB44/26-2001）第二时段三级标准以及《电镀水污染物排放标准》（DB44/1597-2015）</w:t>
                  </w:r>
                  <w:r>
                    <w:rPr>
                      <w:rFonts w:hint="default" w:ascii="Times New Roman" w:hAnsi="Times New Roman" w:cs="Times New Roman"/>
                      <w:i w:val="0"/>
                      <w:iCs w:val="0"/>
                      <w:color w:val="auto"/>
                      <w:kern w:val="0"/>
                      <w:sz w:val="21"/>
                      <w:szCs w:val="21"/>
                      <w:u w:val="none"/>
                      <w:lang w:val="en-US" w:eastAsia="zh-CN" w:bidi="ar"/>
                    </w:rPr>
                    <w:t>表现有项目水污染物非珠三角排放限值200%（其中总铝按表2新建项目水污染物排放限值-非珠三角地区执行）</w:t>
                  </w:r>
                  <w:r>
                    <w:rPr>
                      <w:rFonts w:hint="default" w:ascii="Times New Roman" w:hAnsi="Times New Roman" w:eastAsia="宋体" w:cs="Times New Roman"/>
                      <w:i w:val="0"/>
                      <w:iCs w:val="0"/>
                      <w:color w:val="auto"/>
                      <w:kern w:val="0"/>
                      <w:sz w:val="21"/>
                      <w:szCs w:val="21"/>
                      <w:u w:val="none"/>
                      <w:lang w:val="en-US" w:eastAsia="zh-CN" w:bidi="ar"/>
                    </w:rPr>
                    <w:t>三者较严值要求。</w:t>
                  </w:r>
                </w:p>
              </w:tc>
            </w:tr>
          </w:tbl>
          <w:p w14:paraId="19129F92">
            <w:pPr>
              <w:pStyle w:val="2"/>
              <w:rPr>
                <w:rFonts w:hint="default" w:ascii="Times New Roman" w:hAnsi="Times New Roman" w:cs="Times New Roman"/>
                <w:b/>
                <w:bCs/>
                <w:color w:val="auto"/>
                <w:sz w:val="21"/>
                <w:szCs w:val="21"/>
                <w:highlight w:val="none"/>
              </w:rPr>
            </w:pPr>
          </w:p>
          <w:p w14:paraId="14E0ED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val="0"/>
                <w:bCs w:val="0"/>
                <w:color w:val="auto"/>
                <w:kern w:val="2"/>
                <w:sz w:val="24"/>
                <w:szCs w:val="24"/>
                <w:highlight w:val="none"/>
              </w:rPr>
              <w:t>综上，</w:t>
            </w:r>
            <w:r>
              <w:rPr>
                <w:rFonts w:hint="default" w:ascii="Times New Roman" w:hAnsi="Times New Roman" w:cs="Times New Roman"/>
                <w:color w:val="auto"/>
                <w:sz w:val="24"/>
                <w:szCs w:val="24"/>
                <w:highlight w:val="none"/>
              </w:rPr>
              <w:t>项目</w:t>
            </w:r>
            <w:r>
              <w:rPr>
                <w:rFonts w:hint="default" w:ascii="Times New Roman" w:hAnsi="Times New Roman" w:cs="Times New Roman"/>
                <w:color w:val="auto"/>
                <w:sz w:val="24"/>
                <w:szCs w:val="24"/>
                <w:highlight w:val="none"/>
                <w:lang w:val="en-US" w:eastAsia="zh-CN"/>
              </w:rPr>
              <w:t>生活污水经“三级化粪池+隔油隔渣池”处理达到广东省地方标准《水污染物排放限值》（DB44/26-2001）第二时段三级标准以及园区污水处理厂接管水质要求两者较严值后，</w:t>
            </w:r>
            <w:r>
              <w:rPr>
                <w:rFonts w:hint="default" w:ascii="Times New Roman" w:hAnsi="Times New Roman" w:cs="Times New Roman"/>
                <w:color w:val="auto"/>
                <w:sz w:val="24"/>
                <w:szCs w:val="24"/>
                <w:highlight w:val="none"/>
              </w:rPr>
              <w:t>排入园区污水处理厂处理</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生产废水经“</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val="en-US" w:eastAsia="zh-CN"/>
              </w:rPr>
              <w:t>达到园区污水处理厂接管水质要求、广东省《水污染物排放限值》（DB44/26-2001）第二时段三级标准以及《电镀水污染物排放标准》（DB44/1597-2015）</w:t>
            </w:r>
            <w:r>
              <w:rPr>
                <w:rFonts w:hint="eastAsia" w:cs="Times New Roman"/>
                <w:color w:val="auto"/>
                <w:sz w:val="24"/>
                <w:szCs w:val="24"/>
                <w:highlight w:val="none"/>
                <w:lang w:val="en-US" w:eastAsia="zh-CN"/>
              </w:rPr>
              <w:t>表1现有项目水污染物非珠三角排放限值200%（其中总铝按表2新建项目水污染物排放限值-非珠三角地区执行）</w:t>
            </w:r>
            <w:r>
              <w:rPr>
                <w:rFonts w:hint="default" w:ascii="Times New Roman" w:hAnsi="Times New Roman" w:cs="Times New Roman"/>
                <w:color w:val="auto"/>
                <w:sz w:val="24"/>
                <w:szCs w:val="24"/>
                <w:highlight w:val="none"/>
                <w:lang w:val="en-US" w:eastAsia="zh-CN"/>
              </w:rPr>
              <w:t>三者较严值要求，</w:t>
            </w:r>
            <w:r>
              <w:rPr>
                <w:rFonts w:hint="default" w:ascii="Times New Roman" w:hAnsi="Times New Roman" w:cs="Times New Roman"/>
                <w:color w:val="auto"/>
                <w:sz w:val="24"/>
                <w:szCs w:val="24"/>
                <w:highlight w:val="none"/>
              </w:rPr>
              <w:t>排入园区污水处理厂处理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项目设置两个废水排放口，生活污水和</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lang w:val="en-US" w:eastAsia="zh-CN"/>
              </w:rPr>
              <w:t>生产废水各自处理后排入园区污水处理厂，项目废水排放情况如下表所示。</w:t>
            </w:r>
          </w:p>
          <w:p w14:paraId="14B1E6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6</w:t>
            </w:r>
            <w:r>
              <w:rPr>
                <w:rFonts w:hint="default" w:ascii="Times New Roman" w:hAnsi="Times New Roman"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废水污染物排放信息表</w:t>
            </w:r>
          </w:p>
          <w:tbl>
            <w:tblPr>
              <w:tblStyle w:val="48"/>
              <w:tblW w:w="82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1"/>
              <w:gridCol w:w="1451"/>
              <w:gridCol w:w="1174"/>
              <w:gridCol w:w="1223"/>
              <w:gridCol w:w="1451"/>
              <w:gridCol w:w="1467"/>
            </w:tblGrid>
            <w:tr w14:paraId="5EF7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571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E09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7F7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污染物种类</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24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mg/L</w:t>
                  </w:r>
                  <w:r>
                    <w:rPr>
                      <w:rFonts w:hint="eastAsia" w:ascii="宋体" w:hAnsi="宋体" w:eastAsia="宋体" w:cs="宋体"/>
                      <w:b/>
                      <w:bCs/>
                      <w:i w:val="0"/>
                      <w:iCs w:val="0"/>
                      <w:color w:val="auto"/>
                      <w:kern w:val="0"/>
                      <w:sz w:val="21"/>
                      <w:szCs w:val="21"/>
                      <w:u w:val="none"/>
                      <w:lang w:val="en-US" w:eastAsia="zh-CN" w:bidi="ar"/>
                    </w:rPr>
                    <w:t>）</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E0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全厂日排放量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kg/d</w:t>
                  </w:r>
                  <w:r>
                    <w:rPr>
                      <w:rFonts w:hint="eastAsia" w:ascii="宋体" w:hAnsi="宋体" w:eastAsia="宋体" w:cs="宋体"/>
                      <w:b/>
                      <w:bCs/>
                      <w:i w:val="0"/>
                      <w:iCs w:val="0"/>
                      <w:color w:val="auto"/>
                      <w:kern w:val="0"/>
                      <w:sz w:val="21"/>
                      <w:szCs w:val="21"/>
                      <w:u w:val="none"/>
                      <w:lang w:val="en-US" w:eastAsia="zh-CN" w:bidi="ar"/>
                    </w:rPr>
                    <w:t>）</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199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全厂年排放量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3CD0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D0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E56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DW001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36C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53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0B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1.718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1F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0.414</w:t>
                  </w:r>
                </w:p>
              </w:tc>
            </w:tr>
            <w:tr w14:paraId="07B2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C6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92FFF">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AB6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A5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B9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1.224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71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0.295</w:t>
                  </w:r>
                </w:p>
              </w:tc>
            </w:tr>
            <w:tr w14:paraId="37B2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7C9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C94F1">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851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CC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104.8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9A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0.900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EB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0.217</w:t>
                  </w:r>
                </w:p>
              </w:tc>
            </w:tr>
            <w:tr w14:paraId="5041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0AB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7BF5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6C3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5E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30.0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BB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7B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0.062</w:t>
                  </w:r>
                </w:p>
              </w:tc>
            </w:tr>
            <w:tr w14:paraId="33CA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DB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6A04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C9F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0B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3E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2E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0.008</w:t>
                  </w:r>
                </w:p>
              </w:tc>
            </w:tr>
            <w:tr w14:paraId="4CF86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7E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B782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73D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动植物油</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EB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AD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8B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0.041</w:t>
                  </w:r>
                </w:p>
              </w:tc>
            </w:tr>
            <w:tr w14:paraId="1230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BA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EF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DW002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07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F5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108.4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5D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4.503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D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1.085 </w:t>
                  </w:r>
                </w:p>
              </w:tc>
            </w:tr>
            <w:tr w14:paraId="140E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F0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4EDF7">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CD0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6B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53.2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02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2.210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BF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0.533 </w:t>
                  </w:r>
                </w:p>
              </w:tc>
            </w:tr>
            <w:tr w14:paraId="2E28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B37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D8CBF">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2E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B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3.6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D0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0.150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B8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690E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CC9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E1958">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73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66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B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0.521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A5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0.126 </w:t>
                  </w:r>
                </w:p>
              </w:tc>
            </w:tr>
            <w:tr w14:paraId="2C28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786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B331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BA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8F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D3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0.407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1C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4C90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9E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F5F4A">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088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C9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0A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50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r>
            <w:tr w14:paraId="50DD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539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378A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72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95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37.6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46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1.563 </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BD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75CB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60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A133B">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9C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26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5A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0.011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74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0821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300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D766E">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A0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60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B7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0.077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B5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1D28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2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3610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AA9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E4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40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5E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451C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132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全厂排放口合计</w:t>
                  </w: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52F1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FD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r>
            <w:tr w14:paraId="0A3D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B58C3">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0628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DD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r>
            <w:tr w14:paraId="6FF8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FF404">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F131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DCE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r>
            <w:tr w14:paraId="0D19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0C4EB">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0FDC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46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r>
            <w:tr w14:paraId="5DD2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365E1">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CF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59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5DA32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77E87">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FBA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TP</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F5E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5102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CA0F9">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57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7A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7210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0645E">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BC26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62C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21C3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0D20B">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37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总铝</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3E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650D5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498AA">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2F4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A1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0621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3D550">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739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动植物油</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F0C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bl>
          <w:p w14:paraId="55A8F004">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sz w:val="24"/>
                <w:szCs w:val="24"/>
                <w:highlight w:val="none"/>
              </w:rPr>
            </w:pPr>
          </w:p>
          <w:p w14:paraId="0B131558">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（4）锆、钛离子影响分析</w:t>
            </w:r>
          </w:p>
          <w:p w14:paraId="7EAFB0B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由于项目无铬钝化剂中含氟锆酸和氟钛酸，会有少量锆离子和钛离子产生，但目前锆、钛未有相关排放标准要求，且项目钝化剂使用量较少，本项目不将锆和钛作为控制标准，但为进一步考虑环境影响，本项目将锆、钛定量分析，论证本项目废水处理工艺是否能对上述污染物进行有效处理。本项目无铬钝化剂用量为</w:t>
            </w:r>
            <w:r>
              <w:rPr>
                <w:rFonts w:hint="eastAsia" w:cs="Times New Roman"/>
                <w:color w:val="auto"/>
                <w:sz w:val="24"/>
                <w:szCs w:val="24"/>
                <w:highlight w:val="none"/>
                <w:lang w:val="en-US" w:eastAsia="zh-CN"/>
              </w:rPr>
              <w:t>3.750</w:t>
            </w:r>
            <w:r>
              <w:rPr>
                <w:rFonts w:hint="default" w:ascii="Times New Roman" w:hAnsi="Times New Roman" w:cs="Times New Roman"/>
                <w:color w:val="auto"/>
                <w:sz w:val="24"/>
                <w:szCs w:val="24"/>
                <w:highlight w:val="none"/>
                <w:lang w:val="en-US" w:eastAsia="zh-CN"/>
              </w:rPr>
              <w:t>t/a，氟锆酸和氟钛酸含量均为5%～10%，项目按最大占比10%计算，分子式分别为H</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F</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Zr、H</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TiF</w:t>
            </w:r>
            <w:r>
              <w:rPr>
                <w:rFonts w:hint="default" w:ascii="Times New Roman" w:hAnsi="Times New Roman" w:cs="Times New Roman"/>
                <w:color w:val="auto"/>
                <w:sz w:val="24"/>
                <w:szCs w:val="24"/>
                <w:highlight w:val="none"/>
                <w:vertAlign w:val="subscript"/>
                <w:lang w:val="en-US" w:eastAsia="zh-CN"/>
              </w:rPr>
              <w:t>6</w:t>
            </w:r>
            <w:r>
              <w:rPr>
                <w:rFonts w:hint="default" w:ascii="Times New Roman" w:hAnsi="Times New Roman" w:cs="Times New Roman"/>
                <w:color w:val="auto"/>
                <w:sz w:val="24"/>
                <w:szCs w:val="24"/>
                <w:highlight w:val="none"/>
                <w:vertAlign w:val="baseline"/>
                <w:lang w:val="en-US" w:eastAsia="zh-CN"/>
              </w:rPr>
              <w:t>，按照原子质量占比</w:t>
            </w:r>
            <w:r>
              <w:rPr>
                <w:rFonts w:hint="eastAsia" w:cs="Times New Roman"/>
                <w:color w:val="auto"/>
                <w:sz w:val="24"/>
                <w:szCs w:val="24"/>
                <w:highlight w:val="none"/>
                <w:vertAlign w:val="baseline"/>
                <w:lang w:val="en-US" w:eastAsia="zh-CN"/>
              </w:rPr>
              <w:t>分别为44.02%、29.21%。项目无铬钝化槽槽液不外排，仅定期更换槽液，因此进入废水中的钝化剂仅来自钝化槽工件带出废水。</w:t>
            </w:r>
            <w:r>
              <w:rPr>
                <w:rFonts w:hint="eastAsia"/>
                <w:color w:val="auto"/>
                <w:sz w:val="24"/>
                <w:szCs w:val="24"/>
                <w:lang w:val="en-US" w:eastAsia="zh-CN"/>
              </w:rPr>
              <w:t>参考《污染源源强核算技术指南 电镀》（HJ984-2018）中附录 D 不同形状镀件镀液带出量参考值一览表中简单镀件形状的自动线挂镀的镀液带出量＜0.1L/m</w:t>
            </w:r>
            <w:r>
              <w:rPr>
                <w:rFonts w:hint="eastAsia"/>
                <w:color w:val="auto"/>
                <w:sz w:val="24"/>
                <w:szCs w:val="24"/>
                <w:vertAlign w:val="superscript"/>
                <w:lang w:val="en-US" w:eastAsia="zh-CN"/>
              </w:rPr>
              <w:t>2</w:t>
            </w:r>
            <w:r>
              <w:rPr>
                <w:rFonts w:hint="eastAsia"/>
                <w:color w:val="auto"/>
                <w:sz w:val="24"/>
                <w:szCs w:val="24"/>
                <w:lang w:val="en-US" w:eastAsia="zh-CN"/>
              </w:rPr>
              <w:t xml:space="preserve"> ， 取 值 0.1L/m</w:t>
            </w:r>
            <w:r>
              <w:rPr>
                <w:rFonts w:hint="eastAsia"/>
                <w:color w:val="auto"/>
                <w:sz w:val="24"/>
                <w:szCs w:val="24"/>
                <w:vertAlign w:val="superscript"/>
                <w:lang w:val="en-US" w:eastAsia="zh-CN"/>
              </w:rPr>
              <w:t>2</w:t>
            </w:r>
            <w:r>
              <w:rPr>
                <w:rFonts w:hint="eastAsia"/>
                <w:color w:val="auto"/>
                <w:sz w:val="24"/>
                <w:szCs w:val="24"/>
                <w:lang w:val="en-US" w:eastAsia="zh-CN"/>
              </w:rPr>
              <w:t xml:space="preserve"> 。根据建设单位提供数据，钝化工艺浓度为1%，</w:t>
            </w:r>
            <w:r>
              <w:rPr>
                <w:rFonts w:hint="eastAsia"/>
                <w:color w:val="auto"/>
                <w:sz w:val="24"/>
                <w:szCs w:val="24"/>
                <w:vertAlign w:val="baseline"/>
                <w:lang w:val="en-US" w:eastAsia="zh-CN"/>
              </w:rPr>
              <w:t>需钝化处理的工件面积以双面计为1100000m</w:t>
            </w:r>
            <w:r>
              <w:rPr>
                <w:rFonts w:hint="eastAsia"/>
                <w:color w:val="auto"/>
                <w:sz w:val="24"/>
                <w:szCs w:val="24"/>
                <w:vertAlign w:val="superscript"/>
                <w:lang w:val="en-US" w:eastAsia="zh-CN"/>
              </w:rPr>
              <w:t>2</w:t>
            </w:r>
            <w:r>
              <w:rPr>
                <w:rFonts w:hint="eastAsia"/>
                <w:color w:val="auto"/>
                <w:sz w:val="24"/>
                <w:szCs w:val="24"/>
                <w:vertAlign w:val="baseline"/>
                <w:lang w:val="en-US" w:eastAsia="zh-CN"/>
              </w:rPr>
              <w:t>，则</w:t>
            </w:r>
            <w:r>
              <w:rPr>
                <w:rFonts w:hint="eastAsia"/>
                <w:color w:val="auto"/>
                <w:sz w:val="24"/>
                <w:szCs w:val="24"/>
                <w:lang w:val="en-US" w:eastAsia="zh-CN"/>
              </w:rPr>
              <w:t>工件带出无铬钝化剂量为0.1L/m</w:t>
            </w:r>
            <w:r>
              <w:rPr>
                <w:rFonts w:hint="eastAsia"/>
                <w:color w:val="auto"/>
                <w:sz w:val="24"/>
                <w:szCs w:val="24"/>
                <w:vertAlign w:val="superscript"/>
                <w:lang w:val="en-US" w:eastAsia="zh-CN"/>
              </w:rPr>
              <w:t>2</w:t>
            </w:r>
            <w:r>
              <w:rPr>
                <w:rFonts w:hint="eastAsia"/>
                <w:color w:val="auto"/>
                <w:sz w:val="24"/>
                <w:szCs w:val="24"/>
                <w:lang w:val="en-US" w:eastAsia="zh-CN"/>
              </w:rPr>
              <w:t xml:space="preserve"> × 1100000m</w:t>
            </w:r>
            <w:r>
              <w:rPr>
                <w:rFonts w:hint="eastAsia"/>
                <w:color w:val="auto"/>
                <w:sz w:val="24"/>
                <w:szCs w:val="24"/>
                <w:vertAlign w:val="superscript"/>
                <w:lang w:val="en-US" w:eastAsia="zh-CN"/>
              </w:rPr>
              <w:t>2</w:t>
            </w:r>
            <w:r>
              <w:rPr>
                <w:rFonts w:hint="eastAsia"/>
                <w:color w:val="auto"/>
                <w:sz w:val="24"/>
                <w:szCs w:val="24"/>
                <w:lang w:val="en-US" w:eastAsia="zh-CN"/>
              </w:rPr>
              <w:t xml:space="preserve"> × 10</w:t>
            </w:r>
            <w:r>
              <w:rPr>
                <w:rFonts w:hint="eastAsia"/>
                <w:color w:val="auto"/>
                <w:sz w:val="24"/>
                <w:szCs w:val="24"/>
                <w:vertAlign w:val="superscript"/>
                <w:lang w:val="en-US" w:eastAsia="zh-CN"/>
              </w:rPr>
              <w:t>-3</w:t>
            </w:r>
            <w:r>
              <w:rPr>
                <w:rFonts w:hint="eastAsia"/>
                <w:color w:val="auto"/>
                <w:sz w:val="24"/>
                <w:szCs w:val="24"/>
                <w:vertAlign w:val="baseline"/>
                <w:lang w:val="en-US" w:eastAsia="zh-CN"/>
              </w:rPr>
              <w:t>×1%×1.003t/m</w:t>
            </w:r>
            <w:r>
              <w:rPr>
                <w:rFonts w:hint="eastAsia"/>
                <w:color w:val="auto"/>
                <w:sz w:val="24"/>
                <w:szCs w:val="24"/>
                <w:vertAlign w:val="superscript"/>
                <w:lang w:val="en-US" w:eastAsia="zh-CN"/>
              </w:rPr>
              <w:t>3</w:t>
            </w:r>
            <w:r>
              <w:rPr>
                <w:rFonts w:hint="eastAsia"/>
                <w:color w:val="auto"/>
                <w:sz w:val="24"/>
                <w:szCs w:val="24"/>
                <w:lang w:val="en-US" w:eastAsia="zh-CN"/>
              </w:rPr>
              <w:t>=1.102t/a。由此</w:t>
            </w:r>
            <w:r>
              <w:rPr>
                <w:rFonts w:hint="default" w:ascii="Times New Roman" w:hAnsi="Times New Roman" w:cs="Times New Roman"/>
                <w:color w:val="auto"/>
                <w:sz w:val="24"/>
                <w:szCs w:val="24"/>
                <w:highlight w:val="none"/>
                <w:vertAlign w:val="baseline"/>
                <w:lang w:val="en-US" w:eastAsia="zh-CN"/>
              </w:rPr>
              <w:t>计算得</w:t>
            </w:r>
            <w:r>
              <w:rPr>
                <w:rFonts w:hint="eastAsia" w:cs="Times New Roman"/>
                <w:color w:val="auto"/>
                <w:sz w:val="24"/>
                <w:szCs w:val="24"/>
                <w:highlight w:val="none"/>
                <w:vertAlign w:val="baseline"/>
                <w:lang w:val="en-US" w:eastAsia="zh-CN"/>
              </w:rPr>
              <w:t>废水中</w:t>
            </w:r>
            <w:r>
              <w:rPr>
                <w:rFonts w:hint="default" w:ascii="Times New Roman" w:hAnsi="Times New Roman" w:cs="Times New Roman"/>
                <w:color w:val="auto"/>
                <w:sz w:val="24"/>
                <w:szCs w:val="24"/>
                <w:highlight w:val="none"/>
                <w:vertAlign w:val="baseline"/>
                <w:lang w:val="en-US" w:eastAsia="zh-CN"/>
              </w:rPr>
              <w:t>Zr产生量为</w:t>
            </w:r>
            <w:r>
              <w:rPr>
                <w:rFonts w:hint="eastAsia" w:cs="Times New Roman"/>
                <w:color w:val="auto"/>
                <w:sz w:val="24"/>
                <w:szCs w:val="24"/>
                <w:highlight w:val="none"/>
                <w:vertAlign w:val="baseline"/>
                <w:lang w:val="en-US" w:eastAsia="zh-CN"/>
              </w:rPr>
              <w:t>1.102×10%×44.02%=</w:t>
            </w:r>
            <w:r>
              <w:rPr>
                <w:rFonts w:hint="default" w:ascii="Times New Roman" w:hAnsi="Times New Roman" w:cs="Times New Roman"/>
                <w:color w:val="auto"/>
                <w:sz w:val="24"/>
                <w:szCs w:val="24"/>
                <w:highlight w:val="none"/>
                <w:vertAlign w:val="baseline"/>
                <w:lang w:val="en-US" w:eastAsia="zh-CN"/>
              </w:rPr>
              <w:t>0.</w:t>
            </w:r>
            <w:r>
              <w:rPr>
                <w:rFonts w:hint="eastAsia" w:cs="Times New Roman"/>
                <w:color w:val="auto"/>
                <w:sz w:val="24"/>
                <w:szCs w:val="24"/>
                <w:highlight w:val="none"/>
                <w:vertAlign w:val="baseline"/>
                <w:lang w:val="en-US" w:eastAsia="zh-CN"/>
              </w:rPr>
              <w:t>049</w:t>
            </w:r>
            <w:r>
              <w:rPr>
                <w:rFonts w:hint="default" w:ascii="Times New Roman" w:hAnsi="Times New Roman" w:cs="Times New Roman"/>
                <w:color w:val="auto"/>
                <w:sz w:val="24"/>
                <w:szCs w:val="24"/>
                <w:highlight w:val="none"/>
                <w:vertAlign w:val="baseline"/>
                <w:lang w:val="en-US" w:eastAsia="zh-CN"/>
              </w:rPr>
              <w:t>t/a，Ti产生量为</w:t>
            </w:r>
            <w:bookmarkStart w:id="27" w:name="OLE_LINK42"/>
            <w:r>
              <w:rPr>
                <w:rFonts w:hint="eastAsia" w:cs="Times New Roman"/>
                <w:color w:val="auto"/>
                <w:sz w:val="24"/>
                <w:szCs w:val="24"/>
                <w:highlight w:val="none"/>
                <w:vertAlign w:val="baseline"/>
                <w:lang w:val="en-US" w:eastAsia="zh-CN"/>
              </w:rPr>
              <w:t>1.102×10%×29.21%=0.</w:t>
            </w:r>
            <w:bookmarkEnd w:id="27"/>
            <w:r>
              <w:rPr>
                <w:rFonts w:hint="eastAsia" w:cs="Times New Roman"/>
                <w:color w:val="auto"/>
                <w:sz w:val="24"/>
                <w:szCs w:val="24"/>
                <w:highlight w:val="none"/>
                <w:vertAlign w:val="baseline"/>
                <w:lang w:val="en-US" w:eastAsia="zh-CN"/>
              </w:rPr>
              <w:t>032</w:t>
            </w:r>
            <w:r>
              <w:rPr>
                <w:rFonts w:hint="default" w:ascii="Times New Roman" w:hAnsi="Times New Roman" w:cs="Times New Roman"/>
                <w:color w:val="auto"/>
                <w:sz w:val="24"/>
                <w:szCs w:val="24"/>
                <w:highlight w:val="none"/>
                <w:vertAlign w:val="baseline"/>
                <w:lang w:val="en-US" w:eastAsia="zh-CN"/>
              </w:rPr>
              <w:t>t/a，本项目</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szCs w:val="24"/>
                <w:highlight w:val="none"/>
                <w:vertAlign w:val="baseline"/>
                <w:lang w:val="en-US" w:eastAsia="zh-CN"/>
              </w:rPr>
              <w:t>废水产生量为</w:t>
            </w:r>
            <w:r>
              <w:rPr>
                <w:rFonts w:hint="eastAsia" w:cs="Times New Roman"/>
                <w:color w:val="auto"/>
                <w:sz w:val="24"/>
                <w:szCs w:val="24"/>
                <w:highlight w:val="none"/>
                <w:vertAlign w:val="baseline"/>
                <w:lang w:val="en-US" w:eastAsia="zh-CN"/>
              </w:rPr>
              <w:t>10010.08</w:t>
            </w:r>
            <w:r>
              <w:rPr>
                <w:rFonts w:hint="default" w:ascii="Times New Roman" w:hAnsi="Times New Roman" w:cs="Times New Roman"/>
                <w:color w:val="auto"/>
                <w:sz w:val="24"/>
                <w:szCs w:val="24"/>
                <w:highlight w:val="none"/>
                <w:vertAlign w:val="baseline"/>
                <w:lang w:val="en-US" w:eastAsia="zh-CN"/>
              </w:rPr>
              <w:t>t/a，</w:t>
            </w:r>
            <w:r>
              <w:rPr>
                <w:rFonts w:hint="eastAsia" w:cs="Times New Roman"/>
                <w:color w:val="auto"/>
                <w:sz w:val="24"/>
                <w:szCs w:val="24"/>
                <w:highlight w:val="none"/>
                <w:vertAlign w:val="baseline"/>
                <w:lang w:val="en-US" w:eastAsia="zh-CN"/>
              </w:rPr>
              <w:t>得</w:t>
            </w:r>
            <w:r>
              <w:rPr>
                <w:rFonts w:hint="default" w:ascii="Times New Roman" w:hAnsi="Times New Roman" w:cs="Times New Roman"/>
                <w:color w:val="auto"/>
                <w:sz w:val="24"/>
                <w:szCs w:val="24"/>
                <w:highlight w:val="none"/>
                <w:vertAlign w:val="baseline"/>
                <w:lang w:val="en-US" w:eastAsia="zh-CN"/>
              </w:rPr>
              <w:t>出Zr和Ti产生浓度分别为</w:t>
            </w:r>
            <w:r>
              <w:rPr>
                <w:rFonts w:hint="eastAsia" w:cs="Times New Roman"/>
                <w:color w:val="auto"/>
                <w:sz w:val="24"/>
                <w:szCs w:val="24"/>
                <w:highlight w:val="none"/>
                <w:vertAlign w:val="baseline"/>
                <w:lang w:val="en-US" w:eastAsia="zh-CN"/>
              </w:rPr>
              <w:t>4.85</w:t>
            </w:r>
            <w:r>
              <w:rPr>
                <w:rFonts w:hint="default" w:ascii="Times New Roman" w:hAnsi="Times New Roman" w:cs="Times New Roman"/>
                <w:color w:val="auto"/>
                <w:sz w:val="24"/>
                <w:szCs w:val="24"/>
                <w:highlight w:val="none"/>
                <w:vertAlign w:val="baseline"/>
                <w:lang w:val="en-US" w:eastAsia="zh-CN"/>
              </w:rPr>
              <w:t>mg/L和</w:t>
            </w:r>
            <w:r>
              <w:rPr>
                <w:rFonts w:hint="eastAsia" w:cs="Times New Roman"/>
                <w:color w:val="auto"/>
                <w:sz w:val="24"/>
                <w:szCs w:val="24"/>
                <w:highlight w:val="none"/>
                <w:vertAlign w:val="baseline"/>
                <w:lang w:val="en-US" w:eastAsia="zh-CN"/>
              </w:rPr>
              <w:t>3.22</w:t>
            </w:r>
            <w:r>
              <w:rPr>
                <w:rFonts w:hint="default" w:ascii="Times New Roman" w:hAnsi="Times New Roman" w:cs="Times New Roman"/>
                <w:color w:val="auto"/>
                <w:sz w:val="24"/>
                <w:szCs w:val="24"/>
                <w:highlight w:val="none"/>
                <w:vertAlign w:val="baseline"/>
                <w:lang w:val="en-US" w:eastAsia="zh-CN"/>
              </w:rPr>
              <w:t>mg/L。</w:t>
            </w:r>
          </w:p>
          <w:p w14:paraId="52EDED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auto"/>
                <w:sz w:val="24"/>
                <w:szCs w:val="24"/>
                <w:highlight w:val="none"/>
                <w:vertAlign w:val="baseline"/>
                <w:lang w:val="en-US"/>
              </w:rPr>
            </w:pPr>
            <w:r>
              <w:rPr>
                <w:rFonts w:hint="default" w:ascii="Times New Roman" w:hAnsi="Times New Roman" w:eastAsia="宋体" w:cs="Times New Roman"/>
                <w:b w:val="0"/>
                <w:bCs w:val="0"/>
                <w:color w:val="auto"/>
                <w:sz w:val="24"/>
                <w:szCs w:val="24"/>
                <w:highlight w:val="none"/>
                <w:vertAlign w:val="baseline"/>
                <w:lang w:val="en-US"/>
              </w:rPr>
              <w:t>“</w:t>
            </w:r>
            <w:r>
              <w:rPr>
                <w:rFonts w:hint="eastAsia" w:cs="Times New Roman"/>
                <w:b w:val="0"/>
                <w:bCs w:val="0"/>
                <w:color w:val="auto"/>
                <w:sz w:val="24"/>
                <w:szCs w:val="24"/>
                <w:highlight w:val="none"/>
                <w:vertAlign w:val="baseline"/>
                <w:lang w:val="en-US" w:eastAsia="zh-CN"/>
              </w:rPr>
              <w:t>中和调节+混凝沉淀+气浮+化学除氟</w:t>
            </w:r>
            <w:r>
              <w:rPr>
                <w:rFonts w:hint="default" w:ascii="Times New Roman" w:hAnsi="Times New Roman" w:eastAsia="宋体" w:cs="Times New Roman"/>
                <w:b w:val="0"/>
                <w:bCs w:val="0"/>
                <w:color w:val="auto"/>
                <w:sz w:val="24"/>
                <w:szCs w:val="24"/>
                <w:highlight w:val="none"/>
                <w:vertAlign w:val="baseline"/>
                <w:lang w:val="en-US"/>
              </w:rPr>
              <w:t>”组合工艺对锆（Zr）和钛（Ti）的处理效率预计可达85%</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95%。中和调节通过精准控制pH（Zr:8~10，Ti:6~8），促使Zr⁴⁺和Ti⁴⁺形成难溶氢氧化物沉淀（如Zr(OH)₄、Ti(OH)₄），初步去除率约50%</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80%，类比氟化钙沉淀的pH依赖性（pH6.5~7.0时氟去除率&gt;90%）；混凝沉淀中铝盐（PAC）或铁盐（聚合硫酸铁）水解生成Al(OH)₃/Fe(OH)₃胶体，通过电荷中和与共沉淀吸附残留金属离子，提升效率10%</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30%（参考铁盐对氟的去除率&gt;96%）；气浮利用微小气泡（如电凝聚产生的H₂/O₂）强化絮体分离，减少悬浮物残留（国家科技支撑项目验证其分离优化效果），提升总去除率5%</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15%。</w:t>
            </w:r>
          </w:p>
          <w:p w14:paraId="3E14858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①</w:t>
            </w:r>
            <w:r>
              <w:rPr>
                <w:rFonts w:hint="default" w:ascii="Times New Roman" w:hAnsi="Times New Roman" w:cs="Times New Roman"/>
                <w:b w:val="0"/>
                <w:bCs w:val="0"/>
                <w:color w:val="auto"/>
                <w:sz w:val="24"/>
                <w:szCs w:val="24"/>
                <w:highlight w:val="none"/>
                <w:vertAlign w:val="baseline"/>
                <w:lang w:val="en-US"/>
              </w:rPr>
              <w:t>pH控制与氢氧化物生成及溶解度特性</w:t>
            </w:r>
          </w:p>
          <w:p w14:paraId="4F2074F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中和调节单元通过精准控制pH（Zr控制8~10、Ti控制6~8），促使废水中Zr</w:t>
            </w:r>
            <w:r>
              <w:rPr>
                <w:rFonts w:hint="default" w:ascii="Times New Roman" w:hAnsi="Times New Roman" w:cs="Times New Roman"/>
                <w:b w:val="0"/>
                <w:bCs w:val="0"/>
                <w:color w:val="auto"/>
                <w:sz w:val="24"/>
                <w:szCs w:val="24"/>
                <w:highlight w:val="none"/>
                <w:vertAlign w:val="superscript"/>
                <w:lang w:val="en-US"/>
              </w:rPr>
              <w:t>4+</w:t>
            </w:r>
            <w:r>
              <w:rPr>
                <w:rFonts w:hint="default" w:ascii="Times New Roman" w:hAnsi="Times New Roman" w:cs="Times New Roman"/>
                <w:b w:val="0"/>
                <w:bCs w:val="0"/>
                <w:color w:val="auto"/>
                <w:sz w:val="24"/>
                <w:szCs w:val="24"/>
                <w:highlight w:val="none"/>
                <w:vertAlign w:val="baseline"/>
                <w:lang w:val="en-US"/>
              </w:rPr>
              <w:t>、Ti</w:t>
            </w:r>
            <w:r>
              <w:rPr>
                <w:rFonts w:hint="default" w:ascii="Times New Roman" w:hAnsi="Times New Roman" w:cs="Times New Roman"/>
                <w:b w:val="0"/>
                <w:bCs w:val="0"/>
                <w:color w:val="auto"/>
                <w:sz w:val="24"/>
                <w:szCs w:val="24"/>
                <w:highlight w:val="none"/>
                <w:vertAlign w:val="superscript"/>
                <w:lang w:val="en-US"/>
              </w:rPr>
              <w:t>4+</w:t>
            </w:r>
            <w:r>
              <w:rPr>
                <w:rFonts w:hint="default" w:ascii="Times New Roman" w:hAnsi="Times New Roman" w:cs="Times New Roman"/>
                <w:b w:val="0"/>
                <w:bCs w:val="0"/>
                <w:color w:val="auto"/>
                <w:sz w:val="24"/>
                <w:szCs w:val="24"/>
                <w:highlight w:val="none"/>
                <w:vertAlign w:val="baseline"/>
                <w:lang w:val="en-US"/>
              </w:rPr>
              <w:t>水解生成难溶氢氧化物Zr(OH)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w:t>
            </w:r>
          </w:p>
          <w:p w14:paraId="6DC2455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溶解度关键参数：</w:t>
            </w:r>
          </w:p>
          <w:p w14:paraId="4B5D649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溶度积K</w:t>
            </w:r>
            <w:r>
              <w:rPr>
                <w:rFonts w:hint="default" w:ascii="Times New Roman" w:hAnsi="Times New Roman" w:cs="Times New Roman"/>
                <w:b w:val="0"/>
                <w:bCs w:val="0"/>
                <w:color w:val="auto"/>
                <w:sz w:val="24"/>
                <w:szCs w:val="24"/>
                <w:highlight w:val="none"/>
                <w:vertAlign w:val="subscript"/>
                <w:lang w:val="en-US"/>
              </w:rPr>
              <w:t>sp</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-54</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-56</w:t>
            </w:r>
            <w:r>
              <w:rPr>
                <w:rFonts w:hint="default" w:ascii="Times New Roman" w:hAnsi="Times New Roman" w:cs="Times New Roman"/>
                <w:b w:val="0"/>
                <w:bCs w:val="0"/>
                <w:color w:val="auto"/>
                <w:sz w:val="24"/>
                <w:szCs w:val="24"/>
                <w:highlight w:val="none"/>
                <w:vertAlign w:val="baseline"/>
                <w:lang w:val="en-US"/>
              </w:rPr>
              <w:t>，中性至弱碱性条件下溶解度极低，饱和残留浓度＜0.1 mg/L；</w:t>
            </w:r>
          </w:p>
          <w:p w14:paraId="6B9BAEE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溶度积K</w:t>
            </w:r>
            <w:r>
              <w:rPr>
                <w:rFonts w:hint="default" w:ascii="Times New Roman" w:hAnsi="Times New Roman" w:cs="Times New Roman"/>
                <w:b w:val="0"/>
                <w:bCs w:val="0"/>
                <w:color w:val="auto"/>
                <w:sz w:val="24"/>
                <w:szCs w:val="24"/>
                <w:highlight w:val="none"/>
                <w:vertAlign w:val="subscript"/>
                <w:lang w:val="en-US"/>
              </w:rPr>
              <w:t>sp</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w:t>
            </w:r>
            <w:r>
              <w:rPr>
                <w:rFonts w:hint="eastAsia" w:ascii="Times New Roman" w:hAnsi="Times New Roman" w:cs="Times New Roman"/>
                <w:b w:val="0"/>
                <w:bCs w:val="0"/>
                <w:color w:val="auto"/>
                <w:sz w:val="24"/>
                <w:szCs w:val="24"/>
                <w:highlight w:val="none"/>
                <w:vertAlign w:val="superscript"/>
                <w:lang w:val="en-US" w:eastAsia="zh-CN"/>
              </w:rPr>
              <w:t>0</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w:t>
            </w:r>
            <w:r>
              <w:rPr>
                <w:rFonts w:hint="eastAsia"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rPr>
              <w:t>，在pH 6~8范围内几乎完全以固相沉淀形式存在，水溶性可忽略。</w:t>
            </w:r>
          </w:p>
          <w:p w14:paraId="45F133FF">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二者均属于高难溶金属氢氧化物，pH调控达标后具备自发沉淀分离的物化基础，该单元对Zr、Ti初步去除率约50%～80%，可类比氟化钙沉淀pH依赖性（pH6.5~7.0时氟去除率＞90%）。</w:t>
            </w:r>
          </w:p>
          <w:p w14:paraId="3E39BA23">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 xml:space="preserve"> </w:t>
            </w:r>
            <w:r>
              <w:rPr>
                <w:rFonts w:hint="eastAsia" w:ascii="Times New Roman" w:hAnsi="Times New Roman" w:cs="Times New Roman"/>
                <w:b w:val="0"/>
                <w:bCs w:val="0"/>
                <w:color w:val="auto"/>
                <w:sz w:val="24"/>
                <w:szCs w:val="24"/>
                <w:highlight w:val="none"/>
                <w:vertAlign w:val="baseline"/>
                <w:lang w:val="en-US" w:eastAsia="zh-CN"/>
              </w:rPr>
              <w:t>②</w:t>
            </w:r>
            <w:r>
              <w:rPr>
                <w:rFonts w:hint="default" w:ascii="Times New Roman" w:hAnsi="Times New Roman" w:cs="Times New Roman"/>
                <w:b w:val="0"/>
                <w:bCs w:val="0"/>
                <w:color w:val="auto"/>
                <w:sz w:val="24"/>
                <w:szCs w:val="24"/>
                <w:highlight w:val="none"/>
                <w:vertAlign w:val="baseline"/>
                <w:lang w:val="en-US"/>
              </w:rPr>
              <w:t>结合水力停留时间，明确氢氧化物沉淀时长匹配性</w:t>
            </w:r>
          </w:p>
          <w:p w14:paraId="06A0056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 xml:space="preserve"> 整套工艺各单元水力停留时间（HRT） 按沉淀分离需求优化配置，保障氢氧化物絮体充分沉降： </w:t>
            </w:r>
          </w:p>
          <w:p w14:paraId="7D84B74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a</w:t>
            </w:r>
            <w:r>
              <w:rPr>
                <w:rFonts w:hint="default" w:ascii="Times New Roman" w:hAnsi="Times New Roman" w:cs="Times New Roman"/>
                <w:b w:val="0"/>
                <w:bCs w:val="0"/>
                <w:color w:val="auto"/>
                <w:sz w:val="24"/>
                <w:szCs w:val="24"/>
                <w:highlight w:val="none"/>
                <w:vertAlign w:val="baseline"/>
                <w:lang w:val="en-US"/>
              </w:rPr>
              <w:t>.中和调节池HRT：设置30～40 min，满足Zr⁴⁺、Ti⁴⁺充分水解络合、生成微细氢氧化物晶核及初生絮体的反应时间；</w:t>
            </w:r>
          </w:p>
          <w:p w14:paraId="514590E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b</w:t>
            </w:r>
            <w:r>
              <w:rPr>
                <w:rFonts w:hint="default" w:ascii="Times New Roman" w:hAnsi="Times New Roman" w:cs="Times New Roman"/>
                <w:b w:val="0"/>
                <w:bCs w:val="0"/>
                <w:color w:val="auto"/>
                <w:sz w:val="24"/>
                <w:szCs w:val="24"/>
                <w:highlight w:val="none"/>
                <w:vertAlign w:val="baseline"/>
                <w:lang w:val="en-US"/>
              </w:rPr>
              <w:t>.混凝沉淀池HRT：总停留时间60～90 min，其中絮凝反应段15～20 min、斜管沉淀段静置沉降45～70 min，给Zr(OH)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微细絮体提供充足的重力沉降时长，避免因停留时间不足导致细微颗粒随出水流失；</w:t>
            </w:r>
          </w:p>
          <w:p w14:paraId="2D00984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c</w:t>
            </w:r>
            <w:r>
              <w:rPr>
                <w:rFonts w:hint="default" w:ascii="Times New Roman" w:hAnsi="Times New Roman" w:cs="Times New Roman"/>
                <w:b w:val="0"/>
                <w:bCs w:val="0"/>
                <w:color w:val="auto"/>
                <w:sz w:val="24"/>
                <w:szCs w:val="24"/>
                <w:highlight w:val="none"/>
                <w:vertAlign w:val="baseline"/>
                <w:lang w:val="en-US"/>
              </w:rPr>
              <w:t>.后续气浮单元HRT 20～30 min，针对未完全沉降的超细氢氧化物絮体进行气泡粘附上浮分离，作为沉淀工序的补充保障。</w:t>
            </w:r>
          </w:p>
          <w:p w14:paraId="64FDAAF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整体工艺HRT配置可完全匹配Zr(OH)₄、Ti(OH)₄的沉降动力学要求，不存在生成氢氧化物后因停留时间不足无法有效沉淀的问题。</w:t>
            </w:r>
          </w:p>
          <w:p w14:paraId="06CCD6A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③</w:t>
            </w:r>
            <w:r>
              <w:rPr>
                <w:rFonts w:hint="default" w:ascii="Times New Roman" w:hAnsi="Times New Roman" w:cs="Times New Roman"/>
                <w:b w:val="0"/>
                <w:bCs w:val="0"/>
                <w:color w:val="auto"/>
                <w:sz w:val="24"/>
                <w:szCs w:val="24"/>
                <w:highlight w:val="none"/>
                <w:vertAlign w:val="baseline"/>
                <w:lang w:val="en-US"/>
              </w:rPr>
              <w:t>后续工段协同去除机理</w:t>
            </w:r>
          </w:p>
          <w:p w14:paraId="447ED8C9">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混凝沉淀中投加铝盐（PAC）或铁盐（聚合硫酸铁），水解生成Al(OH)</w:t>
            </w:r>
            <w:r>
              <w:rPr>
                <w:rFonts w:hint="default" w:ascii="Times New Roman" w:hAnsi="Times New Roman" w:cs="Times New Roman"/>
                <w:b w:val="0"/>
                <w:bCs w:val="0"/>
                <w:color w:val="auto"/>
                <w:sz w:val="24"/>
                <w:szCs w:val="24"/>
                <w:highlight w:val="none"/>
                <w:vertAlign w:val="subscript"/>
                <w:lang w:val="en-US"/>
              </w:rPr>
              <w:t>3</w:t>
            </w:r>
            <w:r>
              <w:rPr>
                <w:rFonts w:hint="default" w:ascii="Times New Roman" w:hAnsi="Times New Roman" w:cs="Times New Roman"/>
                <w:b w:val="0"/>
                <w:bCs w:val="0"/>
                <w:color w:val="auto"/>
                <w:sz w:val="24"/>
                <w:szCs w:val="24"/>
                <w:highlight w:val="none"/>
                <w:vertAlign w:val="baseline"/>
                <w:lang w:val="en-US"/>
              </w:rPr>
              <w:t>、Fe(OH)</w:t>
            </w:r>
            <w:r>
              <w:rPr>
                <w:rFonts w:hint="default" w:ascii="Times New Roman" w:hAnsi="Times New Roman" w:cs="Times New Roman"/>
                <w:b w:val="0"/>
                <w:bCs w:val="0"/>
                <w:color w:val="auto"/>
                <w:sz w:val="24"/>
                <w:szCs w:val="24"/>
                <w:highlight w:val="none"/>
                <w:vertAlign w:val="subscript"/>
                <w:lang w:val="en-US"/>
              </w:rPr>
              <w:t>3</w:t>
            </w:r>
            <w:r>
              <w:rPr>
                <w:rFonts w:hint="default" w:ascii="Times New Roman" w:hAnsi="Times New Roman" w:cs="Times New Roman"/>
                <w:b w:val="0"/>
                <w:bCs w:val="0"/>
                <w:color w:val="auto"/>
                <w:sz w:val="24"/>
                <w:szCs w:val="24"/>
                <w:highlight w:val="none"/>
                <w:vertAlign w:val="baseline"/>
                <w:lang w:val="en-US"/>
              </w:rPr>
              <w:t>无机高分子胶体，通过电荷中和、网捕卷扫及共沉淀作用，吸附水体中残留微量Zr、Ti离子及未沉降微细氢氧化物颗粒，进一步提升去除效率10%～30%（参考铁盐对氟的去除率＞96%）；</w:t>
            </w:r>
          </w:p>
          <w:p w14:paraId="5F18B922">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气浮单元利用电凝聚产生H</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O</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微小气泡，粘附轻质超细金属氢氧化物絮体强化固液分离，大幅减少出水悬浮物与残留金属含量（国家科技支撑项目已验证其对微细絮体的分离优化效果），提升总去除率5%～15%；</w:t>
            </w:r>
          </w:p>
          <w:p w14:paraId="386CDC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化学除氟单元投加钙盐（CaCl₂），解离释放Ca</w:t>
            </w:r>
            <w:r>
              <w:rPr>
                <w:rFonts w:hint="default" w:ascii="Times New Roman" w:hAnsi="Times New Roman" w:cs="Times New Roman"/>
                <w:b w:val="0"/>
                <w:bCs w:val="0"/>
                <w:color w:val="auto"/>
                <w:sz w:val="24"/>
                <w:szCs w:val="24"/>
                <w:highlight w:val="none"/>
                <w:vertAlign w:val="superscript"/>
                <w:lang w:val="en-US"/>
              </w:rPr>
              <w:t>2+</w:t>
            </w:r>
            <w:r>
              <w:rPr>
                <w:rFonts w:hint="default" w:ascii="Times New Roman" w:hAnsi="Times New Roman" w:cs="Times New Roman"/>
                <w:b w:val="0"/>
                <w:bCs w:val="0"/>
                <w:color w:val="auto"/>
                <w:sz w:val="24"/>
                <w:szCs w:val="24"/>
                <w:highlight w:val="none"/>
                <w:vertAlign w:val="baseline"/>
                <w:lang w:val="en-US"/>
              </w:rPr>
              <w:t>与F</w:t>
            </w:r>
            <w:r>
              <w:rPr>
                <w:rFonts w:hint="default" w:ascii="Times New Roman" w:hAnsi="Times New Roman" w:cs="Times New Roman"/>
                <w:b w:val="0"/>
                <w:bCs w:val="0"/>
                <w:color w:val="auto"/>
                <w:sz w:val="24"/>
                <w:szCs w:val="24"/>
                <w:highlight w:val="none"/>
                <w:vertAlign w:val="superscript"/>
                <w:lang w:val="en-US"/>
              </w:rPr>
              <w:t>-</w:t>
            </w:r>
            <w:r>
              <w:rPr>
                <w:rFonts w:hint="default" w:ascii="Times New Roman" w:hAnsi="Times New Roman" w:cs="Times New Roman"/>
                <w:b w:val="0"/>
                <w:bCs w:val="0"/>
                <w:color w:val="auto"/>
                <w:sz w:val="24"/>
                <w:szCs w:val="24"/>
                <w:highlight w:val="none"/>
                <w:vertAlign w:val="baseline"/>
                <w:lang w:val="en-US"/>
              </w:rPr>
              <w:t>生成CaF</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沉淀，同时体系维持弱碱性环境，进一步稳定剩余微量Zr、Ti氢氧化物沉淀形态，深度削减污染物浓度5%～10%，依托钙盐体系对氟及重金属氢氧化物的同步稳定去除能力，保障整体出水稳定达标。</w:t>
            </w:r>
          </w:p>
          <w:p w14:paraId="016B3A7E">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本项目</w:t>
            </w:r>
            <w:r>
              <w:rPr>
                <w:rFonts w:hint="default" w:ascii="Times New Roman" w:hAnsi="Times New Roman" w:eastAsia="宋体" w:cs="Times New Roman"/>
                <w:b w:val="0"/>
                <w:bCs w:val="0"/>
                <w:color w:val="auto"/>
                <w:sz w:val="24"/>
                <w:szCs w:val="24"/>
                <w:highlight w:val="none"/>
                <w:vertAlign w:val="baseline"/>
                <w:lang w:val="en-US"/>
              </w:rPr>
              <w:t>“</w:t>
            </w:r>
            <w:r>
              <w:rPr>
                <w:rFonts w:hint="eastAsia" w:cs="Times New Roman"/>
                <w:b w:val="0"/>
                <w:bCs w:val="0"/>
                <w:color w:val="auto"/>
                <w:sz w:val="24"/>
                <w:szCs w:val="24"/>
                <w:highlight w:val="none"/>
                <w:vertAlign w:val="baseline"/>
                <w:lang w:val="en-US" w:eastAsia="zh-CN"/>
              </w:rPr>
              <w:t>中和调节+混凝沉淀+气浮+化学除氟</w:t>
            </w:r>
            <w:r>
              <w:rPr>
                <w:rFonts w:hint="default" w:ascii="Times New Roman" w:hAnsi="Times New Roman" w:eastAsia="宋体" w:cs="Times New Roman"/>
                <w:b w:val="0"/>
                <w:bCs w:val="0"/>
                <w:color w:val="auto"/>
                <w:sz w:val="24"/>
                <w:szCs w:val="24"/>
                <w:highlight w:val="none"/>
                <w:vertAlign w:val="baseline"/>
                <w:lang w:val="en-US"/>
              </w:rPr>
              <w:t>”</w:t>
            </w:r>
            <w:r>
              <w:rPr>
                <w:rFonts w:hint="default" w:ascii="Times New Roman" w:hAnsi="Times New Roman" w:eastAsia="宋体" w:cs="Times New Roman"/>
                <w:b w:val="0"/>
                <w:bCs w:val="0"/>
                <w:color w:val="auto"/>
                <w:sz w:val="24"/>
                <w:szCs w:val="24"/>
                <w:highlight w:val="none"/>
                <w:vertAlign w:val="baseline"/>
                <w:lang w:val="en-US" w:eastAsia="zh-CN"/>
              </w:rPr>
              <w:t>对Zr和Ti保守按80%处理效率计算。计算得出Zr和Ti排放浓度分别为</w:t>
            </w:r>
            <w:r>
              <w:rPr>
                <w:rFonts w:hint="eastAsia" w:cs="Times New Roman"/>
                <w:b w:val="0"/>
                <w:bCs w:val="0"/>
                <w:color w:val="auto"/>
                <w:sz w:val="24"/>
                <w:szCs w:val="24"/>
                <w:highlight w:val="none"/>
                <w:vertAlign w:val="baseline"/>
                <w:lang w:val="en-US" w:eastAsia="zh-CN"/>
              </w:rPr>
              <w:t>0.97</w:t>
            </w:r>
            <w:r>
              <w:rPr>
                <w:rFonts w:hint="default" w:ascii="Times New Roman" w:hAnsi="Times New Roman" w:eastAsia="宋体" w:cs="Times New Roman"/>
                <w:b w:val="0"/>
                <w:bCs w:val="0"/>
                <w:color w:val="auto"/>
                <w:sz w:val="24"/>
                <w:szCs w:val="24"/>
                <w:highlight w:val="none"/>
                <w:vertAlign w:val="baseline"/>
                <w:lang w:val="en-US" w:eastAsia="zh-CN"/>
              </w:rPr>
              <w:t>mg/L和</w:t>
            </w:r>
            <w:r>
              <w:rPr>
                <w:rFonts w:hint="eastAsia" w:cs="Times New Roman"/>
                <w:b w:val="0"/>
                <w:bCs w:val="0"/>
                <w:color w:val="auto"/>
                <w:sz w:val="24"/>
                <w:szCs w:val="24"/>
                <w:highlight w:val="none"/>
                <w:vertAlign w:val="baseline"/>
                <w:lang w:val="en-US" w:eastAsia="zh-CN"/>
              </w:rPr>
              <w:t>0.64</w:t>
            </w:r>
            <w:r>
              <w:rPr>
                <w:rFonts w:hint="default" w:ascii="Times New Roman" w:hAnsi="Times New Roman" w:eastAsia="宋体" w:cs="Times New Roman"/>
                <w:b w:val="0"/>
                <w:bCs w:val="0"/>
                <w:color w:val="auto"/>
                <w:sz w:val="24"/>
                <w:szCs w:val="24"/>
                <w:highlight w:val="none"/>
                <w:vertAlign w:val="baseline"/>
                <w:lang w:val="en-US" w:eastAsia="zh-CN"/>
              </w:rPr>
              <w:t>mg/L，此排放浓度较低，经过与其他废水混合稀释后排入园区污水处理厂再进一步处理，对外环境影响很小。</w:t>
            </w:r>
          </w:p>
          <w:p w14:paraId="2CCFAE1F">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为确保环境安全，并满足园区环保管理要求，建设单位应：</w:t>
            </w:r>
          </w:p>
          <w:p w14:paraId="54B1B76D">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 xml:space="preserve"> 1.  加强自建污水处理站运行管理，确保“</w:t>
            </w:r>
            <w:r>
              <w:rPr>
                <w:rFonts w:hint="eastAsia"/>
                <w:color w:val="auto"/>
                <w:sz w:val="24"/>
                <w:szCs w:val="32"/>
                <w:lang w:val="en-US" w:eastAsia="zh-CN"/>
              </w:rPr>
              <w:t>中和调节+混凝沉淀+气浮+化学除氟</w:t>
            </w:r>
            <w:r>
              <w:rPr>
                <w:rFonts w:hint="default"/>
                <w:color w:val="auto"/>
                <w:sz w:val="24"/>
                <w:szCs w:val="32"/>
                <w:lang w:val="en-US" w:eastAsia="zh-CN"/>
              </w:rPr>
              <w:t>”工艺对重金属的去除效率稳定在80%以上。</w:t>
            </w:r>
          </w:p>
          <w:p w14:paraId="724C0736">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 xml:space="preserve"> 2.  定期委托有资质的单位对废水排放口进行Zr、Ti的检测，并建立相关数据台账，以备日后环保检查或标准更新时追溯。</w:t>
            </w:r>
          </w:p>
          <w:p w14:paraId="3CC9E411">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lang w:val="en-US" w:eastAsia="zh-CN"/>
              </w:rPr>
            </w:pPr>
            <w:r>
              <w:rPr>
                <w:rFonts w:hint="default"/>
                <w:color w:val="auto"/>
                <w:sz w:val="24"/>
                <w:szCs w:val="32"/>
                <w:lang w:val="en-US" w:eastAsia="zh-CN"/>
              </w:rPr>
              <w:t xml:space="preserve"> 3.  将Zr、Ti纳入企业应急预案和日常环境风险管理范畴，关注其在土壤和地下水中的潜在累积风险</w:t>
            </w:r>
            <w:r>
              <w:rPr>
                <w:rFonts w:hint="default"/>
                <w:color w:val="auto"/>
                <w:lang w:val="en-US" w:eastAsia="zh-CN"/>
              </w:rPr>
              <w:t>。</w:t>
            </w:r>
          </w:p>
          <w:p w14:paraId="46C98467">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2.2</w:t>
            </w:r>
            <w:r>
              <w:rPr>
                <w:rFonts w:hint="default" w:ascii="Times New Roman" w:hAnsi="Times New Roman" w:cs="Times New Roman"/>
                <w:b/>
                <w:bCs/>
                <w:color w:val="auto"/>
                <w:sz w:val="24"/>
                <w:szCs w:val="24"/>
                <w:highlight w:val="none"/>
              </w:rPr>
              <w:t>废水收集处理情况</w:t>
            </w:r>
          </w:p>
          <w:p w14:paraId="58261276">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生活污水经“三级化粪池、隔油隔渣池”处理</w:t>
            </w:r>
            <w:r>
              <w:rPr>
                <w:rFonts w:hint="default" w:ascii="Times New Roman" w:hAnsi="Times New Roman" w:cs="Times New Roman"/>
                <w:color w:val="auto"/>
                <w:sz w:val="24"/>
                <w:szCs w:val="24"/>
                <w:highlight w:val="none"/>
                <w:lang w:val="en-US" w:eastAsia="zh-CN"/>
              </w:rPr>
              <w:t>达到广东省地方标准《水污染物排放限值》（DB44/26-2001）第二时段三级标准以及园区污水处理厂接管水质要求两者较严值后，</w:t>
            </w:r>
            <w:r>
              <w:rPr>
                <w:rFonts w:hint="default" w:ascii="Times New Roman" w:hAnsi="Times New Roman" w:cs="Times New Roman"/>
                <w:color w:val="auto"/>
                <w:sz w:val="24"/>
                <w:szCs w:val="24"/>
                <w:highlight w:val="none"/>
              </w:rPr>
              <w:t>排入园区污水处理厂处理</w:t>
            </w:r>
            <w:r>
              <w:rPr>
                <w:rFonts w:hint="default" w:ascii="Times New Roman" w:hAnsi="Times New Roman" w:eastAsia="宋体" w:cs="Times New Roman"/>
                <w:snapToGrid w:val="0"/>
                <w:color w:val="auto"/>
                <w:kern w:val="0"/>
                <w:sz w:val="24"/>
                <w:szCs w:val="21"/>
                <w:highlight w:val="none"/>
                <w:lang w:val="en-US" w:eastAsia="zh-CN" w:bidi="ar-SA"/>
              </w:rPr>
              <w:t>；</w:t>
            </w:r>
            <w:r>
              <w:rPr>
                <w:rFonts w:hint="eastAsia" w:ascii="Times New Roman" w:eastAsia="宋体" w:cs="Times New Roman"/>
                <w:snapToGrid w:val="0"/>
                <w:color w:val="auto"/>
                <w:kern w:val="0"/>
                <w:sz w:val="24"/>
                <w:szCs w:val="21"/>
                <w:highlight w:val="none"/>
                <w:lang w:val="en-US" w:eastAsia="zh-CN" w:bidi="ar-SA"/>
              </w:rPr>
              <w:t>外排</w:t>
            </w:r>
            <w:r>
              <w:rPr>
                <w:rFonts w:hint="default" w:ascii="Times New Roman" w:hAnsi="Times New Roman" w:cs="Times New Roman"/>
                <w:color w:val="auto"/>
                <w:highlight w:val="none"/>
              </w:rPr>
              <w:t>生产废水经“</w:t>
            </w:r>
            <w:r>
              <w:rPr>
                <w:rFonts w:hint="eastAsia" w:ascii="Times New Roman" w:cs="Times New Roman"/>
                <w:color w:val="auto"/>
                <w:highlight w:val="none"/>
                <w:lang w:eastAsia="zh-CN"/>
              </w:rPr>
              <w:t>中和调节+混凝沉淀+气浮+化学除氟</w:t>
            </w:r>
            <w:r>
              <w:rPr>
                <w:rFonts w:hint="default" w:ascii="Times New Roman" w:hAnsi="Times New Roman" w:cs="Times New Roman"/>
                <w:color w:val="auto"/>
                <w:highlight w:val="none"/>
              </w:rPr>
              <w:t>”处理</w:t>
            </w:r>
            <w:r>
              <w:rPr>
                <w:rFonts w:hint="default" w:ascii="Times New Roman" w:hAnsi="Times New Roman" w:cs="Times New Roman"/>
                <w:color w:val="auto"/>
                <w:highlight w:val="none"/>
                <w:lang w:val="en-US" w:eastAsia="zh-CN"/>
              </w:rPr>
              <w:t>达到园区污水处理厂接管水质要求、广东省《水污染物排放限值》（DB44/26-2001）第二时段三级标准以及《电镀水污染物排放标准》（DB44/1597-2015）</w:t>
            </w:r>
            <w:r>
              <w:rPr>
                <w:rFonts w:hint="eastAsia" w:ascii="Times New Roman" w:cs="Times New Roman"/>
                <w:color w:val="auto"/>
                <w:highlight w:val="none"/>
                <w:lang w:val="en-US" w:eastAsia="zh-CN"/>
              </w:rPr>
              <w:t>表1现有项目水污染物非珠三角排放限值200%</w:t>
            </w:r>
            <w:r>
              <w:rPr>
                <w:rFonts w:hint="default" w:ascii="Times New Roman" w:hAnsi="Times New Roman" w:cs="Times New Roman"/>
                <w:color w:val="auto"/>
                <w:highlight w:val="none"/>
                <w:lang w:val="en-US" w:eastAsia="zh-CN"/>
              </w:rPr>
              <w:t>三者（其中总铝按表2新建项目水污染物排放限值-非珠三角地区执行）较严值要求，</w:t>
            </w:r>
            <w:r>
              <w:rPr>
                <w:rFonts w:hint="default" w:ascii="Times New Roman" w:hAnsi="Times New Roman" w:cs="Times New Roman"/>
                <w:color w:val="auto"/>
                <w:highlight w:val="none"/>
              </w:rPr>
              <w:t>排入园区污水处理厂处理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废水经</w:t>
            </w:r>
            <w:r>
              <w:rPr>
                <w:rFonts w:hint="default" w:ascii="Times New Roman" w:hAnsi="Times New Roman" w:cs="Times New Roman"/>
                <w:color w:val="auto"/>
                <w:highlight w:val="none"/>
              </w:rPr>
              <w:t>园区污水处理厂处理后达到广东省《</w:t>
            </w:r>
            <w:r>
              <w:rPr>
                <w:rFonts w:hint="default" w:ascii="Times New Roman" w:hAnsi="Times New Roman" w:cs="Times New Roman"/>
                <w:color w:val="auto"/>
                <w:highlight w:val="none"/>
                <w:lang w:eastAsia="zh-CN"/>
              </w:rPr>
              <w:t>水污染物排放限值</w:t>
            </w:r>
            <w:r>
              <w:rPr>
                <w:rFonts w:hint="default" w:ascii="Times New Roman" w:hAnsi="Times New Roman" w:cs="Times New Roman"/>
                <w:color w:val="auto"/>
                <w:highlight w:val="none"/>
              </w:rPr>
              <w:t>》（DB44/26-2001）第二时段一级标准和《城镇污水处理厂污染物排放标准》（</w:t>
            </w:r>
            <w:r>
              <w:rPr>
                <w:rFonts w:hint="eastAsia" w:ascii="Times New Roman" w:cs="Times New Roman"/>
                <w:color w:val="auto"/>
                <w:highlight w:val="none"/>
                <w:lang w:eastAsia="zh-CN"/>
              </w:rPr>
              <w:t>GB18918-2002</w:t>
            </w:r>
            <w:r>
              <w:rPr>
                <w:rFonts w:hint="default" w:ascii="Times New Roman" w:hAnsi="Times New Roman" w:cs="Times New Roman"/>
                <w:color w:val="auto"/>
                <w:highlight w:val="none"/>
              </w:rPr>
              <w:t>）</w:t>
            </w:r>
            <w:r>
              <w:rPr>
                <w:rFonts w:hint="eastAsia" w:ascii="Times New Roman" w:cs="Times New Roman"/>
                <w:color w:val="auto"/>
                <w:highlight w:val="none"/>
                <w:lang w:eastAsia="zh-CN"/>
              </w:rPr>
              <w:t>及其修改单一级 A 标准</w:t>
            </w:r>
            <w:r>
              <w:rPr>
                <w:rFonts w:hint="default" w:ascii="Times New Roman" w:hAnsi="Times New Roman" w:cs="Times New Roman"/>
                <w:color w:val="auto"/>
                <w:highlight w:val="none"/>
              </w:rPr>
              <w:t>中严者后</w:t>
            </w:r>
            <w:r>
              <w:rPr>
                <w:rFonts w:hint="default" w:ascii="Times New Roman" w:hAnsi="Times New Roman" w:cs="Times New Roman"/>
                <w:color w:val="auto"/>
                <w:highlight w:val="none"/>
                <w:lang w:eastAsia="zh-CN"/>
              </w:rPr>
              <w:t>排</w:t>
            </w:r>
            <w:r>
              <w:rPr>
                <w:rFonts w:hint="default" w:ascii="Times New Roman" w:hAnsi="Times New Roman" w:cs="Times New Roman"/>
                <w:color w:val="auto"/>
                <w:highlight w:val="none"/>
              </w:rPr>
              <w:t>入武江。</w:t>
            </w:r>
          </w:p>
          <w:p w14:paraId="4D3D8F43">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highlight w:val="none"/>
                <w:lang w:val="en-US" w:eastAsia="zh-CN"/>
              </w:rPr>
              <w:t>外排</w:t>
            </w:r>
            <w:r>
              <w:rPr>
                <w:rFonts w:hint="default" w:ascii="Times New Roman" w:hAnsi="Times New Roman" w:cs="Times New Roman"/>
                <w:color w:val="auto"/>
                <w:highlight w:val="none"/>
                <w:lang w:val="en-US" w:eastAsia="zh-CN"/>
              </w:rPr>
              <w:t>生产废水处理工艺流程如下图所示：</w:t>
            </w:r>
          </w:p>
          <w:p w14:paraId="7E841026">
            <w:pPr>
              <w:pStyle w:val="2"/>
              <w:keepNext w:val="0"/>
              <w:keepLines w:val="0"/>
              <w:pageBreakBefore w:val="0"/>
              <w:widowControl w:val="0"/>
              <w:suppressLineNumbers w:val="0"/>
              <w:kinsoku/>
              <w:wordWrap/>
              <w:overflowPunct/>
              <w:topLinePunct w:val="0"/>
              <w:bidi w:val="0"/>
              <w:snapToGrid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object>
                <v:shape id="_x0000_i1029" o:spt="75" type="#_x0000_t75" style="height:77.05pt;width:420.1pt;" o:ole="t" filled="f" o:preferrelative="t" stroked="f" coordsize="21600,21600">
                  <v:path/>
                  <v:fill on="f" focussize="0,0"/>
                  <v:stroke on="f"/>
                  <v:imagedata r:id="rId30" o:title=""/>
                  <o:lock v:ext="edit" aspectratio="f"/>
                  <w10:wrap type="none"/>
                  <w10:anchorlock/>
                </v:shape>
                <o:OLEObject Type="Embed" ProgID="Visio.Drawing.15" ShapeID="_x0000_i1029" DrawAspect="Content" ObjectID="_1468075729" r:id="rId29">
                  <o:LockedField>false</o:LockedField>
                </o:OLEObject>
              </w:object>
            </w:r>
          </w:p>
          <w:p w14:paraId="0287B256">
            <w:pPr>
              <w:keepNext/>
              <w:keepLines/>
              <w:pageBreakBefore w:val="0"/>
              <w:widowControl w:val="0"/>
              <w:numPr>
                <w:ilvl w:val="0"/>
                <w:numId w:val="0"/>
              </w:numPr>
              <w:suppressLineNumbers w:val="0"/>
              <w:tabs>
                <w:tab w:val="left" w:pos="0"/>
              </w:tabs>
              <w:kinsoku/>
              <w:wordWrap/>
              <w:overflowPunct/>
              <w:topLinePunct w:val="0"/>
              <w:bidi w:val="0"/>
              <w:snapToGrid w:val="0"/>
              <w:spacing w:before="0" w:beforeAutospacing="0" w:after="0" w:afterAutospacing="0"/>
              <w:ind w:left="0" w:leftChars="0" w:right="0" w:rightChars="0" w:firstLine="0" w:firstLineChars="0"/>
              <w:jc w:val="center"/>
              <w:textAlignment w:val="auto"/>
              <w:outlineLvl w:val="3"/>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 xml:space="preserve">3 </w:t>
            </w:r>
            <w:r>
              <w:rPr>
                <w:rFonts w:hint="default" w:ascii="Times New Roman" w:hAnsi="Times New Roman" w:cs="Times New Roman"/>
                <w:b/>
                <w:bCs/>
                <w:color w:val="auto"/>
                <w:sz w:val="21"/>
                <w:szCs w:val="21"/>
                <w:highlight w:val="none"/>
              </w:rPr>
              <w:t>项目</w:t>
            </w:r>
            <w:r>
              <w:rPr>
                <w:rFonts w:hint="eastAsia" w:cs="Times New Roman"/>
                <w:b/>
                <w:bCs/>
                <w:color w:val="auto"/>
                <w:sz w:val="21"/>
                <w:szCs w:val="21"/>
                <w:highlight w:val="none"/>
                <w:lang w:val="en-US" w:eastAsia="zh-CN"/>
              </w:rPr>
              <w:t>外排</w:t>
            </w:r>
            <w:r>
              <w:rPr>
                <w:rFonts w:hint="default" w:ascii="Times New Roman" w:hAnsi="Times New Roman" w:cs="Times New Roman"/>
                <w:b/>
                <w:bCs/>
                <w:color w:val="auto"/>
                <w:sz w:val="21"/>
                <w:szCs w:val="21"/>
                <w:highlight w:val="none"/>
              </w:rPr>
              <w:t>生产废水处理</w:t>
            </w:r>
            <w:r>
              <w:rPr>
                <w:rFonts w:hint="default" w:ascii="Times New Roman" w:hAnsi="Times New Roman" w:cs="Times New Roman"/>
                <w:b/>
                <w:bCs/>
                <w:color w:val="auto"/>
                <w:sz w:val="21"/>
                <w:szCs w:val="21"/>
                <w:highlight w:val="none"/>
                <w:lang w:val="en-US" w:eastAsia="zh-CN"/>
              </w:rPr>
              <w:t>工艺</w:t>
            </w:r>
            <w:r>
              <w:rPr>
                <w:rFonts w:hint="default" w:ascii="Times New Roman" w:hAnsi="Times New Roman" w:cs="Times New Roman"/>
                <w:b/>
                <w:bCs/>
                <w:color w:val="auto"/>
                <w:sz w:val="21"/>
                <w:szCs w:val="21"/>
                <w:highlight w:val="none"/>
              </w:rPr>
              <w:t>流程图</w:t>
            </w:r>
          </w:p>
          <w:p w14:paraId="140D5326">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工艺说明：</w:t>
            </w:r>
          </w:p>
          <w:p w14:paraId="38294239">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①中和调节池</w:t>
            </w:r>
          </w:p>
          <w:p w14:paraId="442AF820">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Segoe UI" w:cs="Times New Roman"/>
                <w:i w:val="0"/>
                <w:iCs w:val="0"/>
                <w:caps w:val="0"/>
                <w:color w:val="auto"/>
                <w:spacing w:val="0"/>
                <w:sz w:val="24"/>
                <w:szCs w:val="24"/>
                <w:highlight w:val="none"/>
                <w:shd w:val="clear" w:color="auto" w:fill="FFFFFF"/>
              </w:rPr>
              <w:t>生产废水进入中和调节池，通过8-12小时水力停留实现水质水量均衡。池内配备机械搅拌装置和pH在线监测系统，自动投加H₂SO₄或NaOH调节pH至6-9范围，液位控制器联动提升泵稳定输送均质废水至后续单元。</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本项目</w:t>
            </w:r>
            <w:r>
              <w:rPr>
                <w:rFonts w:hint="eastAsia" w:cs="Times New Roman"/>
                <w:color w:val="auto"/>
                <w:sz w:val="24"/>
                <w:szCs w:val="24"/>
                <w:highlight w:val="none"/>
                <w:lang w:val="en-US" w:eastAsia="zh-CN"/>
              </w:rPr>
              <w:t>外排生产</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废水主要来自预脱脂、脱脂池排出的槽液以及水洗池排出的水洗废水，其中预脱脂、脱脂池排出的槽液为高浓度的酸性废水，</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参考</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eastAsia" w:eastAsia="宋体" w:cs="Times New Roman"/>
                <w:i w:val="0"/>
                <w:iCs w:val="0"/>
                <w:caps w:val="0"/>
                <w:color w:val="auto"/>
                <w:spacing w:val="0"/>
                <w:sz w:val="24"/>
                <w:szCs w:val="24"/>
                <w:highlight w:val="none"/>
                <w:shd w:val="clear" w:color="auto" w:fill="FFFFFF"/>
                <w:lang w:eastAsia="zh-CN"/>
              </w:rPr>
              <w:t>电镀废水治理工程技术规范</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HJ 2002-2010</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附录案例</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中和</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调节</w:t>
            </w:r>
            <w:r>
              <w:rPr>
                <w:rFonts w:hint="default" w:ascii="Times New Roman" w:hAnsi="Times New Roman" w:eastAsia="Segoe UI" w:cs="Times New Roman"/>
                <w:i w:val="0"/>
                <w:iCs w:val="0"/>
                <w:caps w:val="0"/>
                <w:color w:val="auto"/>
                <w:spacing w:val="0"/>
                <w:sz w:val="24"/>
                <w:szCs w:val="24"/>
                <w:highlight w:val="none"/>
                <w:shd w:val="clear" w:color="auto" w:fill="FFFFFF"/>
              </w:rPr>
              <w:t>后COD去除率约12%～18%</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p>
          <w:p w14:paraId="237083A7">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②混凝沉淀</w:t>
            </w:r>
          </w:p>
          <w:p w14:paraId="443C63A8">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cs="Times New Roman"/>
                <w:color w:val="auto"/>
                <w:sz w:val="24"/>
                <w:szCs w:val="24"/>
                <w:highlight w:val="none"/>
                <w:lang w:val="en-US"/>
              </w:rPr>
            </w:pPr>
            <w:r>
              <w:rPr>
                <w:rFonts w:hint="default" w:ascii="Times New Roman" w:hAnsi="Times New Roman" w:eastAsia="Segoe UI" w:cs="Times New Roman"/>
                <w:i w:val="0"/>
                <w:iCs w:val="0"/>
                <w:caps w:val="0"/>
                <w:color w:val="auto"/>
                <w:spacing w:val="0"/>
                <w:sz w:val="24"/>
                <w:szCs w:val="24"/>
                <w:highlight w:val="none"/>
                <w:shd w:val="clear" w:color="auto" w:fill="FFFFFF"/>
              </w:rPr>
              <w:t>均质废水经提升泵进入混凝反应池，依次投加PAC和PAM，快混阶段实现胶体脱稳，慢混阶段形成毫米级矾花。混合液进入斜板沉淀池，污泥沉降至泥斗定期排放</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根据《</w:t>
            </w:r>
            <w:r>
              <w:rPr>
                <w:rFonts w:hint="eastAsia" w:cs="Times New Roman"/>
                <w:i w:val="0"/>
                <w:iCs w:val="0"/>
                <w:caps w:val="0"/>
                <w:color w:val="auto"/>
                <w:spacing w:val="0"/>
                <w:sz w:val="24"/>
                <w:szCs w:val="24"/>
                <w:highlight w:val="none"/>
                <w:shd w:val="clear" w:color="auto" w:fill="FFFFFF"/>
                <w:lang w:val="en-US" w:eastAsia="zh-CN"/>
              </w:rPr>
              <w:t>污水过滤处理工程技术规范</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》（HJ 2008-2010）中“5.3.2 混凝沉淀工艺的设计参数及处理效率”提到污染物去除效率分别为SS：70%、COD</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Cr</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：40%。</w:t>
            </w:r>
          </w:p>
          <w:p w14:paraId="4651CDA4">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③气浮单元</w:t>
            </w:r>
          </w:p>
          <w:p w14:paraId="4522243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混凝出水进入溶气气浮系统（DAF），溶气水压力0.3-0.5MPa，回流比30%-50%，释放30-50μm微气泡吸附石油类及LAS。浮渣由刮渣机清除。根据《</w:t>
            </w:r>
            <w:r>
              <w:rPr>
                <w:rFonts w:hint="eastAsia" w:cs="Times New Roman"/>
                <w:color w:val="auto"/>
                <w:sz w:val="24"/>
                <w:szCs w:val="24"/>
                <w:highlight w:val="none"/>
                <w:lang w:val="en-US" w:eastAsia="zh-CN"/>
              </w:rPr>
              <w:t>半干法脱硫用电石渣制粉设备</w:t>
            </w:r>
            <w:r>
              <w:rPr>
                <w:rFonts w:hint="default" w:ascii="Times New Roman" w:hAnsi="Times New Roman" w:eastAsia="宋体" w:cs="Times New Roman"/>
                <w:color w:val="auto"/>
                <w:sz w:val="24"/>
                <w:szCs w:val="24"/>
                <w:highlight w:val="none"/>
                <w:lang w:val="en-US" w:eastAsia="zh-CN"/>
              </w:rPr>
              <w:t>》（JB/T 11645-2013）：石油类去除率60%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80%，本项目取60%，气浮工艺对悬浮物（SS）的去除效率通常为50%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70%，本项目取</w:t>
            </w:r>
            <w:r>
              <w:rPr>
                <w:rFonts w:hint="eastAsia"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0%；《污水气浮处理工程技术规范》（T/CECS 548-2018）：LAS去除率20%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30%。</w:t>
            </w:r>
          </w:p>
          <w:p w14:paraId="33424A5F">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
              </w:rPr>
              <w:t>④</w:t>
            </w:r>
            <w:r>
              <w:rPr>
                <w:rFonts w:hint="default" w:ascii="Times New Roman" w:hAnsi="Times New Roman" w:eastAsia="宋体" w:cs="Times New Roman"/>
                <w:b/>
                <w:bCs/>
                <w:color w:val="auto"/>
                <w:kern w:val="0"/>
                <w:sz w:val="24"/>
                <w:szCs w:val="24"/>
                <w:highlight w:val="none"/>
                <w:lang w:val="en-US" w:eastAsia="zh-CN"/>
              </w:rPr>
              <w:t>化学除氟单元</w:t>
            </w:r>
          </w:p>
          <w:p w14:paraId="37F4C16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rPr>
              <w:t>气浮出水进入钙盐沉淀池，投加石灰（pH8.5-9.5）和CaCl₂（钙氟摩尔比1.2:1），搅拌反应30分钟生成CaF₂沉淀。混合液经竖流沉淀池（HRT≥2h）分离后，出水pH回调至6-9</w:t>
            </w:r>
            <w:r>
              <w:rPr>
                <w:rFonts w:hint="eastAsia" w:cs="Times New Roman"/>
                <w:b w:val="0"/>
                <w:bCs w:val="0"/>
                <w:color w:val="auto"/>
                <w:kern w:val="0"/>
                <w:sz w:val="24"/>
                <w:szCs w:val="24"/>
                <w:highlight w:val="none"/>
                <w:lang w:val="en-US" w:eastAsia="zh-CN"/>
              </w:rPr>
              <w:t>。根据</w:t>
            </w:r>
            <w:r>
              <w:rPr>
                <w:rFonts w:ascii="宋体" w:hAnsi="宋体" w:eastAsia="宋体" w:cs="宋体"/>
                <w:color w:val="auto"/>
                <w:sz w:val="24"/>
                <w:szCs w:val="24"/>
              </w:rPr>
              <w:t>《</w:t>
            </w:r>
            <w:r>
              <w:rPr>
                <w:rFonts w:hint="default" w:ascii="Times New Roman" w:hAnsi="Times New Roman" w:eastAsia="宋体" w:cs="Times New Roman"/>
                <w:color w:val="auto"/>
                <w:sz w:val="24"/>
                <w:szCs w:val="24"/>
              </w:rPr>
              <w:t>化学工业污水处理与回用设计规范》</w:t>
            </w:r>
            <w:r>
              <w:rPr>
                <w:rFonts w:hint="default" w:ascii="Times New Roman" w:hAnsi="Times New Roman" w:eastAsia="宋体" w:cs="Times New Roman"/>
                <w:color w:val="auto"/>
                <w:sz w:val="24"/>
                <w:szCs w:val="24"/>
                <w:lang w:eastAsia="zh-CN"/>
              </w:rPr>
              <w:t>（GB 50684-2011）</w:t>
            </w:r>
            <w:r>
              <w:rPr>
                <w:rFonts w:hint="default" w:ascii="Times New Roman" w:hAnsi="Times New Roman" w:eastAsia="宋体" w:cs="Times New Roman"/>
                <w:b w:val="0"/>
                <w:bCs w:val="0"/>
                <w:color w:val="auto"/>
                <w:kern w:val="0"/>
                <w:sz w:val="24"/>
                <w:szCs w:val="24"/>
                <w:highlight w:val="none"/>
                <w:lang w:val="en-US" w:eastAsia="zh-CN"/>
              </w:rPr>
              <w:t>石灰沉淀法处理含氟污水时，影响去除效果的因素很多，如沉淀时间、沉淀池形式、pH值、温度、盐效应和同离子效应等</w:t>
            </w:r>
            <w:r>
              <w:rPr>
                <w:rFonts w:hint="eastAsia" w:cs="Times New Roman"/>
                <w:b w:val="0"/>
                <w:bCs w:val="0"/>
                <w:color w:val="auto"/>
                <w:kern w:val="0"/>
                <w:sz w:val="24"/>
                <w:szCs w:val="24"/>
                <w:highlight w:val="none"/>
                <w:lang w:val="en-US" w:eastAsia="zh-CN"/>
              </w:rPr>
              <w:t>，综合</w:t>
            </w:r>
            <w:r>
              <w:rPr>
                <w:rFonts w:hint="default" w:ascii="Times New Roman" w:hAnsi="Times New Roman" w:eastAsia="宋体" w:cs="Times New Roman"/>
                <w:b w:val="0"/>
                <w:bCs w:val="0"/>
                <w:color w:val="auto"/>
                <w:kern w:val="0"/>
                <w:sz w:val="24"/>
                <w:szCs w:val="24"/>
                <w:highlight w:val="none"/>
                <w:lang w:val="en-US" w:eastAsia="zh-CN"/>
              </w:rPr>
              <w:t>钙盐</w:t>
            </w:r>
            <w:r>
              <w:rPr>
                <w:rFonts w:hint="eastAsia" w:ascii="Times New Roman" w:hAnsi="Times New Roman" w:eastAsia="宋体" w:cs="Times New Roman"/>
                <w:b w:val="0"/>
                <w:bCs w:val="0"/>
                <w:color w:val="auto"/>
                <w:kern w:val="0"/>
                <w:sz w:val="24"/>
                <w:szCs w:val="24"/>
                <w:highlight w:val="none"/>
                <w:lang w:val="en-US" w:eastAsia="zh-CN"/>
              </w:rPr>
              <w:t>除氟效率为</w:t>
            </w:r>
            <w:r>
              <w:rPr>
                <w:rFonts w:hint="eastAsia" w:cs="Times New Roman"/>
                <w:b w:val="0"/>
                <w:bCs w:val="0"/>
                <w:color w:val="auto"/>
                <w:kern w:val="0"/>
                <w:sz w:val="24"/>
                <w:szCs w:val="24"/>
                <w:highlight w:val="none"/>
                <w:lang w:val="en-US" w:eastAsia="zh-CN"/>
              </w:rPr>
              <w:t>85%~95</w:t>
            </w:r>
            <w:r>
              <w:rPr>
                <w:rFonts w:hint="eastAsia" w:ascii="Times New Roman" w:hAnsi="Times New Roman" w:eastAsia="宋体" w:cs="Times New Roman"/>
                <w:b w:val="0"/>
                <w:bCs w:val="0"/>
                <w:color w:val="auto"/>
                <w:kern w:val="0"/>
                <w:sz w:val="24"/>
                <w:szCs w:val="24"/>
                <w:highlight w:val="none"/>
                <w:lang w:val="en-US" w:eastAsia="zh-CN"/>
              </w:rPr>
              <w:t>%</w:t>
            </w:r>
            <w:r>
              <w:rPr>
                <w:rFonts w:hint="eastAsia" w:eastAsia="宋体"/>
                <w:color w:val="auto"/>
                <w:sz w:val="24"/>
                <w:lang w:eastAsia="zh-CN"/>
              </w:rPr>
              <w:t>，</w:t>
            </w:r>
            <w:r>
              <w:rPr>
                <w:rFonts w:hint="eastAsia" w:cs="Times New Roman"/>
                <w:b w:val="0"/>
                <w:bCs w:val="0"/>
                <w:color w:val="auto"/>
                <w:kern w:val="0"/>
                <w:sz w:val="24"/>
                <w:szCs w:val="24"/>
                <w:highlight w:val="none"/>
                <w:lang w:val="en-US" w:eastAsia="zh-CN"/>
              </w:rPr>
              <w:t>由于难以彻底分离沉淀物，处理后污水中残留氟的浓度一般在10mg/L-20mg/L左右，本环评保守取85%</w:t>
            </w:r>
            <w:r>
              <w:rPr>
                <w:rFonts w:hint="eastAsia" w:ascii="Times New Roman" w:hAnsi="Times New Roman" w:eastAsia="宋体" w:cs="Times New Roman"/>
                <w:b w:val="0"/>
                <w:bCs w:val="0"/>
                <w:color w:val="auto"/>
                <w:kern w:val="0"/>
                <w:sz w:val="24"/>
                <w:szCs w:val="24"/>
                <w:highlight w:val="none"/>
                <w:lang w:val="en-US" w:eastAsia="zh-CN"/>
              </w:rPr>
              <w:t>。</w:t>
            </w:r>
          </w:p>
          <w:p w14:paraId="09B314F5">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⑤</w:t>
            </w:r>
            <w:r>
              <w:rPr>
                <w:rFonts w:hint="default" w:ascii="Times New Roman" w:hAnsi="Times New Roman" w:eastAsia="宋体" w:cs="Times New Roman"/>
                <w:b/>
                <w:bCs/>
                <w:color w:val="auto"/>
                <w:kern w:val="0"/>
                <w:sz w:val="24"/>
                <w:szCs w:val="24"/>
                <w:highlight w:val="none"/>
                <w:lang w:val="en-US" w:eastAsia="zh-CN" w:bidi="ar"/>
              </w:rPr>
              <w:t>污泥处理系统</w:t>
            </w:r>
          </w:p>
          <w:p w14:paraId="07CAD54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各单元污泥（SS污泥、浮渣、含氟污泥）汇集至浓缩池，投加0.1%-0.3%PAM改性后通过板框压滤脱水</w:t>
            </w:r>
            <w:r>
              <w:rPr>
                <w:rFonts w:hint="default" w:ascii="Times New Roman" w:hAnsi="Times New Roman" w:cs="Times New Roman"/>
                <w:b w:val="0"/>
                <w:bCs w:val="0"/>
                <w:color w:val="auto"/>
                <w:kern w:val="0"/>
                <w:sz w:val="24"/>
                <w:szCs w:val="24"/>
                <w:highlight w:val="none"/>
                <w:lang w:val="en-US" w:eastAsia="zh-CN" w:bidi="ar"/>
              </w:rPr>
              <w:t>，脱水后污泥含水率按60%计算，污泥按作危险废物交由有处理资质的单位处理。</w:t>
            </w:r>
          </w:p>
          <w:p w14:paraId="4A76B85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根据建设单位提供的废水处理方案，本项目废水处理设施处理能力为</w:t>
            </w:r>
            <w:r>
              <w:rPr>
                <w:rFonts w:hint="eastAsia" w:cs="Times New Roman"/>
                <w:b w:val="0"/>
                <w:bCs w:val="0"/>
                <w:color w:val="auto"/>
                <w:kern w:val="0"/>
                <w:sz w:val="24"/>
                <w:szCs w:val="24"/>
                <w:highlight w:val="none"/>
                <w:lang w:val="en-US" w:eastAsia="zh-CN" w:bidi="ar"/>
              </w:rPr>
              <w:t>50</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/d，项目废水处理设施主要构筑物参数：</w:t>
            </w:r>
          </w:p>
          <w:p w14:paraId="75FEA40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7 </w:t>
            </w:r>
            <w:r>
              <w:rPr>
                <w:rFonts w:hint="default" w:ascii="Times New Roman" w:hAnsi="Times New Roman" w:cs="Times New Roman"/>
                <w:b/>
                <w:bCs/>
                <w:color w:val="auto"/>
                <w:sz w:val="21"/>
                <w:szCs w:val="21"/>
                <w:highlight w:val="none"/>
              </w:rPr>
              <w:t>项目污水处理站废水处理</w:t>
            </w:r>
            <w:r>
              <w:rPr>
                <w:rFonts w:hint="default" w:ascii="Times New Roman" w:hAnsi="Times New Roman" w:cs="Times New Roman"/>
                <w:b/>
                <w:bCs/>
                <w:color w:val="auto"/>
                <w:sz w:val="21"/>
                <w:szCs w:val="21"/>
                <w:highlight w:val="none"/>
                <w:lang w:val="en-US" w:eastAsia="zh-CN"/>
              </w:rPr>
              <w:t>单元</w:t>
            </w:r>
            <w:r>
              <w:rPr>
                <w:rFonts w:hint="eastAsia" w:cs="Times New Roman"/>
                <w:b/>
                <w:bCs/>
                <w:color w:val="auto"/>
                <w:sz w:val="21"/>
                <w:szCs w:val="21"/>
                <w:highlight w:val="none"/>
                <w:lang w:val="en-US" w:eastAsia="zh-CN"/>
              </w:rPr>
              <w:t>去除效率</w:t>
            </w:r>
          </w:p>
          <w:tbl>
            <w:tblPr>
              <w:tblStyle w:val="48"/>
              <w:tblW w:w="830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9"/>
              <w:gridCol w:w="1175"/>
              <w:gridCol w:w="721"/>
              <w:gridCol w:w="714"/>
              <w:gridCol w:w="714"/>
              <w:gridCol w:w="714"/>
              <w:gridCol w:w="600"/>
              <w:gridCol w:w="620"/>
              <w:gridCol w:w="714"/>
              <w:gridCol w:w="721"/>
              <w:gridCol w:w="714"/>
              <w:gridCol w:w="600"/>
            </w:tblGrid>
            <w:tr w14:paraId="5330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891D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各级处理效果各项指标</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4C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COD</w:t>
                  </w:r>
                  <w:r>
                    <w:rPr>
                      <w:rFonts w:hint="default" w:ascii="Times New Roman" w:hAnsi="Times New Roman" w:eastAsia="宋体" w:cs="Times New Roman"/>
                      <w:b/>
                      <w:bCs/>
                      <w:i w:val="0"/>
                      <w:iCs w:val="0"/>
                      <w:color w:val="auto"/>
                      <w:kern w:val="0"/>
                      <w:sz w:val="20"/>
                      <w:szCs w:val="20"/>
                      <w:u w:val="none"/>
                      <w:vertAlign w:val="subscript"/>
                      <w:lang w:val="en-US" w:eastAsia="zh-CN" w:bidi="ar"/>
                    </w:rPr>
                    <w:t>Cr</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0D6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BOD</w:t>
                  </w:r>
                  <w:r>
                    <w:rPr>
                      <w:rFonts w:hint="default" w:ascii="Times New Roman" w:hAnsi="Times New Roman" w:eastAsia="宋体" w:cs="Times New Roman"/>
                      <w:b/>
                      <w:bCs/>
                      <w:i w:val="0"/>
                      <w:iCs w:val="0"/>
                      <w:color w:val="auto"/>
                      <w:kern w:val="0"/>
                      <w:sz w:val="20"/>
                      <w:szCs w:val="20"/>
                      <w:u w:val="none"/>
                      <w:vertAlign w:val="subscript"/>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675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SS</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26A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氨氮</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F28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氟化物</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0E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TP</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24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TN</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D1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LAS</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0AD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总铝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BF2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石油类</w:t>
                  </w:r>
                </w:p>
              </w:tc>
            </w:tr>
            <w:tr w14:paraId="0B70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39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cs="宋体"/>
                      <w:i w:val="0"/>
                      <w:iCs w:val="0"/>
                      <w:color w:val="auto"/>
                      <w:kern w:val="0"/>
                      <w:sz w:val="20"/>
                      <w:szCs w:val="20"/>
                      <w:u w:val="none"/>
                      <w:lang w:val="en-US" w:eastAsia="zh-CN" w:bidi="ar"/>
                    </w:rPr>
                    <w:t>外排</w:t>
                  </w:r>
                  <w:r>
                    <w:rPr>
                      <w:rFonts w:hint="eastAsia" w:ascii="宋体" w:hAnsi="宋体" w:eastAsia="宋体" w:cs="宋体"/>
                      <w:i w:val="0"/>
                      <w:iCs w:val="0"/>
                      <w:color w:val="auto"/>
                      <w:kern w:val="0"/>
                      <w:sz w:val="20"/>
                      <w:szCs w:val="20"/>
                      <w:u w:val="none"/>
                      <w:lang w:val="en-US" w:eastAsia="zh-CN" w:bidi="ar"/>
                    </w:rPr>
                    <w:t>生产废水</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D7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进水（</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DE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372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A5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129</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4B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67</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9B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AC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7B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57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46.2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D7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72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42.6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7EF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32.1</w:t>
                  </w:r>
                </w:p>
              </w:tc>
            </w:tr>
            <w:tr w14:paraId="0891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3BAF">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06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中和调节池去除效率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CB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8E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B1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400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CB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4F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F40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8EE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B0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A5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r>
            <w:tr w14:paraId="70FDE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E323">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74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418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327.4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0E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121.3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5F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60.3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65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14.6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29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105.7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2E0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A5E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43.9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8E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2C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38.3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E8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31.1 </w:t>
                  </w:r>
                </w:p>
              </w:tc>
            </w:tr>
            <w:tr w14:paraId="10B0D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EFB7">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36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气浮去除效率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B1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F042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704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AD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C1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98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4C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E7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77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62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w:t>
                  </w:r>
                </w:p>
              </w:tc>
            </w:tr>
            <w:tr w14:paraId="091B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BF5F">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F34C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A28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196.4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7AD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78.8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F1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30.2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D1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13.9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F4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100.4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F8F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0.5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99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41.7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9F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0.5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91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21.1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3A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4.7 </w:t>
                  </w:r>
                </w:p>
              </w:tc>
            </w:tr>
            <w:tr w14:paraId="3253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BC6B9">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38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化学除氟去除效率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98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37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A51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D8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00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F8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913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5B9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48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B6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w:t>
                  </w:r>
                </w:p>
              </w:tc>
            </w:tr>
            <w:tr w14:paraId="1CD4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354E">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C0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620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172.8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BC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70.9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96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A59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13.2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5C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15.1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3F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46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39.6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510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97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7.4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A6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 </w:t>
                  </w:r>
                </w:p>
              </w:tc>
            </w:tr>
            <w:tr w14:paraId="6CCC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3C47">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8B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混凝沉淀去除效率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CF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E2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57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7D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F1E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EB9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5D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D63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A0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DD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r>
            <w:tr w14:paraId="4D21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9D98">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4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EF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103.7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3C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53.2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B5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3.6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7D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12.5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F9D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9.8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357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76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37.6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2F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15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F0D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4.1 </w:t>
                  </w:r>
                </w:p>
              </w:tc>
            </w:tr>
            <w:tr w14:paraId="5140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1F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综合治理效率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B8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E3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59%</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040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E11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6C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91%</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4B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DB1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D41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73%</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3D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D3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w:t>
                  </w:r>
                </w:p>
              </w:tc>
            </w:tr>
            <w:tr w14:paraId="74EA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622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执行标准排放限值（</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55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61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B47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A3F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A78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4B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64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D6F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2C5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0B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≤6.0</w:t>
                  </w:r>
                </w:p>
              </w:tc>
            </w:tr>
          </w:tbl>
          <w:p w14:paraId="176A8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5EB79C2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根据上表计算，本项目</w:t>
            </w:r>
            <w:r>
              <w:rPr>
                <w:rFonts w:hint="eastAsia" w:cs="Times New Roman"/>
                <w:b w:val="0"/>
                <w:bCs w:val="0"/>
                <w:color w:val="auto"/>
                <w:sz w:val="24"/>
                <w:szCs w:val="24"/>
                <w:highlight w:val="none"/>
                <w:lang w:val="en-US" w:eastAsia="zh-CN"/>
              </w:rPr>
              <w:t>外排</w:t>
            </w:r>
            <w:r>
              <w:rPr>
                <w:rFonts w:hint="default" w:ascii="Times New Roman" w:hAnsi="Times New Roman" w:cs="Times New Roman"/>
                <w:b w:val="0"/>
                <w:bCs w:val="0"/>
                <w:color w:val="auto"/>
                <w:sz w:val="24"/>
                <w:szCs w:val="24"/>
                <w:highlight w:val="none"/>
                <w:lang w:val="en-US" w:eastAsia="zh-CN"/>
              </w:rPr>
              <w:t>生产废水经</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val="en-US" w:eastAsia="zh-CN"/>
              </w:rPr>
              <w:t>后</w:t>
            </w:r>
            <w:r>
              <w:rPr>
                <w:rFonts w:hint="eastAsia" w:cs="Times New Roman"/>
                <w:b w:val="0"/>
                <w:bCs w:val="0"/>
                <w:color w:val="auto"/>
                <w:sz w:val="24"/>
                <w:szCs w:val="24"/>
                <w:highlight w:val="none"/>
                <w:lang w:val="en-US" w:eastAsia="zh-CN"/>
              </w:rPr>
              <w:t>各水污染物因子</w:t>
            </w:r>
            <w:r>
              <w:rPr>
                <w:rFonts w:hint="default" w:ascii="Times New Roman" w:hAnsi="Times New Roman" w:cs="Times New Roman"/>
                <w:color w:val="auto"/>
                <w:sz w:val="24"/>
                <w:szCs w:val="24"/>
                <w:highlight w:val="none"/>
                <w:lang w:val="en-US" w:eastAsia="zh-CN"/>
              </w:rPr>
              <w:t>达到园区污水处理厂接管水质要求、广东省《水污染物排放限值》（DB44/26-2001）第二时段三级标准以及《电镀水污染物排放标准》（DB44/1597-2015）</w:t>
            </w:r>
            <w:r>
              <w:rPr>
                <w:rFonts w:hint="eastAsia" w:cs="Times New Roman"/>
                <w:color w:val="auto"/>
                <w:sz w:val="24"/>
                <w:szCs w:val="24"/>
                <w:highlight w:val="none"/>
                <w:lang w:val="en-US" w:eastAsia="zh-CN"/>
              </w:rPr>
              <w:t>表1现有项目水污染物非珠三角排放限值200%（其中总铝按表2新建项目水污染物排放限值-非珠三角地区执行）</w:t>
            </w:r>
            <w:r>
              <w:rPr>
                <w:rFonts w:hint="default" w:ascii="Times New Roman" w:hAnsi="Times New Roman" w:cs="Times New Roman"/>
                <w:color w:val="auto"/>
                <w:sz w:val="24"/>
                <w:szCs w:val="24"/>
                <w:highlight w:val="none"/>
                <w:lang w:val="en-US" w:eastAsia="zh-CN"/>
              </w:rPr>
              <w:t>三者较严值要求，满足进入园区污水处理厂的要求。</w:t>
            </w:r>
          </w:p>
          <w:p w14:paraId="0771B96A">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2.3项目水污染物排放信息</w:t>
            </w:r>
          </w:p>
          <w:p w14:paraId="42CEEBF4">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8</w:t>
            </w:r>
            <w:r>
              <w:rPr>
                <w:rFonts w:hint="default" w:ascii="Times New Roman" w:hAnsi="Times New Roman" w:eastAsia="宋体" w:cs="Times New Roman"/>
                <w:b/>
                <w:bCs/>
                <w:color w:val="auto"/>
                <w:sz w:val="21"/>
                <w:szCs w:val="21"/>
                <w:highlight w:val="none"/>
              </w:rPr>
              <w:t>废水类别、污染物及污染治理设施信息表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1152"/>
              <w:gridCol w:w="543"/>
              <w:gridCol w:w="945"/>
              <w:gridCol w:w="711"/>
              <w:gridCol w:w="834"/>
              <w:gridCol w:w="795"/>
              <w:gridCol w:w="556"/>
              <w:gridCol w:w="822"/>
              <w:gridCol w:w="1476"/>
            </w:tblGrid>
            <w:tr w14:paraId="3F6D86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36" w:type="pct"/>
                  <w:vMerge w:val="restart"/>
                  <w:noWrap w:val="0"/>
                  <w:vAlign w:val="center"/>
                </w:tcPr>
                <w:p w14:paraId="7361959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废水类别</w:t>
                  </w:r>
                </w:p>
              </w:tc>
              <w:tc>
                <w:tcPr>
                  <w:tcW w:w="685" w:type="pct"/>
                  <w:vMerge w:val="restart"/>
                  <w:noWrap w:val="0"/>
                  <w:vAlign w:val="center"/>
                </w:tcPr>
                <w:p w14:paraId="0D8BB78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污染物种类</w:t>
                  </w:r>
                </w:p>
              </w:tc>
              <w:tc>
                <w:tcPr>
                  <w:tcW w:w="323" w:type="pct"/>
                  <w:vMerge w:val="restart"/>
                  <w:noWrap w:val="0"/>
                  <w:vAlign w:val="center"/>
                </w:tcPr>
                <w:p w14:paraId="1DD7AC5F">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排放去向</w:t>
                  </w:r>
                </w:p>
              </w:tc>
              <w:tc>
                <w:tcPr>
                  <w:tcW w:w="562" w:type="pct"/>
                  <w:vMerge w:val="restart"/>
                  <w:noWrap w:val="0"/>
                  <w:vAlign w:val="center"/>
                </w:tcPr>
                <w:p w14:paraId="5A4A0002">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排放规律</w:t>
                  </w:r>
                </w:p>
              </w:tc>
              <w:tc>
                <w:tcPr>
                  <w:tcW w:w="1392" w:type="pct"/>
                  <w:gridSpan w:val="3"/>
                  <w:noWrap w:val="0"/>
                  <w:vAlign w:val="center"/>
                </w:tcPr>
                <w:p w14:paraId="17AA1EF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w:t>
                  </w:r>
                </w:p>
              </w:tc>
              <w:tc>
                <w:tcPr>
                  <w:tcW w:w="331" w:type="pct"/>
                  <w:vMerge w:val="restart"/>
                  <w:noWrap w:val="0"/>
                  <w:vAlign w:val="center"/>
                </w:tcPr>
                <w:p w14:paraId="5150D35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排放口编号</w:t>
                  </w:r>
                </w:p>
              </w:tc>
              <w:tc>
                <w:tcPr>
                  <w:tcW w:w="489" w:type="pct"/>
                  <w:vMerge w:val="restart"/>
                  <w:noWrap w:val="0"/>
                  <w:vAlign w:val="center"/>
                </w:tcPr>
                <w:p w14:paraId="6E13199E">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排放口设置是否符合要求</w:t>
                  </w:r>
                </w:p>
              </w:tc>
              <w:tc>
                <w:tcPr>
                  <w:tcW w:w="878" w:type="pct"/>
                  <w:vMerge w:val="restart"/>
                  <w:noWrap w:val="0"/>
                  <w:vAlign w:val="center"/>
                </w:tcPr>
                <w:p w14:paraId="031891A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排放口类型</w:t>
                  </w:r>
                </w:p>
              </w:tc>
            </w:tr>
            <w:tr w14:paraId="5EEF7AC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vMerge w:val="continue"/>
                  <w:noWrap w:val="0"/>
                  <w:vAlign w:val="center"/>
                </w:tcPr>
                <w:p w14:paraId="47B305D7">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685" w:type="pct"/>
                  <w:vMerge w:val="continue"/>
                  <w:noWrap w:val="0"/>
                  <w:vAlign w:val="center"/>
                </w:tcPr>
                <w:p w14:paraId="34B00446">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323" w:type="pct"/>
                  <w:vMerge w:val="continue"/>
                  <w:noWrap w:val="0"/>
                  <w:vAlign w:val="center"/>
                </w:tcPr>
                <w:p w14:paraId="18DF28D1">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562" w:type="pct"/>
                  <w:vMerge w:val="continue"/>
                  <w:noWrap w:val="0"/>
                  <w:vAlign w:val="center"/>
                </w:tcPr>
                <w:p w14:paraId="1FA80599">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423" w:type="pct"/>
                  <w:noWrap w:val="0"/>
                  <w:vAlign w:val="center"/>
                </w:tcPr>
                <w:p w14:paraId="7A34D9A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污染治理设施编号</w:t>
                  </w:r>
                </w:p>
              </w:tc>
              <w:tc>
                <w:tcPr>
                  <w:tcW w:w="496" w:type="pct"/>
                  <w:noWrap w:val="0"/>
                  <w:vAlign w:val="center"/>
                </w:tcPr>
                <w:p w14:paraId="1806237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污染治理设施名称</w:t>
                  </w:r>
                </w:p>
              </w:tc>
              <w:tc>
                <w:tcPr>
                  <w:tcW w:w="473" w:type="pct"/>
                  <w:noWrap w:val="0"/>
                  <w:vAlign w:val="center"/>
                </w:tcPr>
                <w:p w14:paraId="16BC7EE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污染治理设施工艺</w:t>
                  </w:r>
                </w:p>
              </w:tc>
              <w:tc>
                <w:tcPr>
                  <w:tcW w:w="331" w:type="pct"/>
                  <w:vMerge w:val="continue"/>
                  <w:noWrap w:val="0"/>
                  <w:vAlign w:val="center"/>
                </w:tcPr>
                <w:p w14:paraId="0CC9D02F">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489" w:type="pct"/>
                  <w:vMerge w:val="continue"/>
                  <w:noWrap w:val="0"/>
                  <w:vAlign w:val="center"/>
                </w:tcPr>
                <w:p w14:paraId="21B9814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878" w:type="pct"/>
                  <w:vMerge w:val="continue"/>
                  <w:noWrap w:val="0"/>
                  <w:vAlign w:val="center"/>
                </w:tcPr>
                <w:p w14:paraId="11986A8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r>
            <w:tr w14:paraId="1996CD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noWrap w:val="0"/>
                  <w:vAlign w:val="center"/>
                </w:tcPr>
                <w:p w14:paraId="4E4E683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生活污水</w:t>
                  </w:r>
                </w:p>
              </w:tc>
              <w:tc>
                <w:tcPr>
                  <w:tcW w:w="685" w:type="pct"/>
                  <w:noWrap w:val="0"/>
                  <w:vAlign w:val="center"/>
                </w:tcPr>
                <w:p w14:paraId="106953C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、BOD</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、SS、氨氮</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总磷、动植物油</w:t>
                  </w:r>
                </w:p>
              </w:tc>
              <w:tc>
                <w:tcPr>
                  <w:tcW w:w="323" w:type="pct"/>
                  <w:vMerge w:val="restart"/>
                  <w:noWrap w:val="0"/>
                  <w:vAlign w:val="center"/>
                </w:tcPr>
                <w:p w14:paraId="019A2EE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进入</w:t>
                  </w:r>
                  <w:r>
                    <w:rPr>
                      <w:rFonts w:hint="default" w:ascii="Times New Roman" w:hAnsi="Times New Roman" w:cs="Times New Roman"/>
                      <w:color w:val="auto"/>
                      <w:kern w:val="2"/>
                      <w:sz w:val="21"/>
                      <w:szCs w:val="21"/>
                      <w:highlight w:val="none"/>
                      <w:lang w:val="en-US" w:eastAsia="zh-CN"/>
                    </w:rPr>
                    <w:t>城镇</w:t>
                  </w:r>
                  <w:r>
                    <w:rPr>
                      <w:rFonts w:hint="default" w:ascii="Times New Roman" w:hAnsi="Times New Roman" w:cs="Times New Roman"/>
                      <w:color w:val="auto"/>
                      <w:kern w:val="2"/>
                      <w:sz w:val="21"/>
                      <w:szCs w:val="21"/>
                      <w:highlight w:val="none"/>
                    </w:rPr>
                    <w:t>污水处理厂</w:t>
                  </w:r>
                </w:p>
              </w:tc>
              <w:tc>
                <w:tcPr>
                  <w:tcW w:w="562" w:type="pct"/>
                  <w:vMerge w:val="restart"/>
                  <w:noWrap w:val="0"/>
                  <w:vAlign w:val="center"/>
                </w:tcPr>
                <w:p w14:paraId="2915A11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423" w:type="pct"/>
                  <w:noWrap w:val="0"/>
                  <w:vAlign w:val="center"/>
                </w:tcPr>
                <w:p w14:paraId="1029C36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TW001</w:t>
                  </w:r>
                </w:p>
              </w:tc>
              <w:tc>
                <w:tcPr>
                  <w:tcW w:w="496" w:type="pct"/>
                  <w:noWrap w:val="0"/>
                  <w:vAlign w:val="center"/>
                </w:tcPr>
                <w:p w14:paraId="2F22DE8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三级化粪池</w:t>
                  </w:r>
                  <w:r>
                    <w:rPr>
                      <w:rFonts w:hint="default" w:ascii="Times New Roman" w:hAnsi="Times New Roman" w:cs="Times New Roman"/>
                      <w:color w:val="auto"/>
                      <w:kern w:val="2"/>
                      <w:sz w:val="21"/>
                      <w:szCs w:val="21"/>
                      <w:highlight w:val="none"/>
                      <w:lang w:val="en-US" w:eastAsia="zh-CN"/>
                    </w:rPr>
                    <w:t>+隔油隔渣池</w:t>
                  </w:r>
                </w:p>
              </w:tc>
              <w:tc>
                <w:tcPr>
                  <w:tcW w:w="473" w:type="pct"/>
                  <w:noWrap w:val="0"/>
                  <w:vAlign w:val="center"/>
                </w:tcPr>
                <w:p w14:paraId="398CAA17">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化粪池</w:t>
                  </w:r>
                </w:p>
              </w:tc>
              <w:tc>
                <w:tcPr>
                  <w:tcW w:w="331" w:type="pct"/>
                  <w:noWrap w:val="0"/>
                  <w:vAlign w:val="center"/>
                </w:tcPr>
                <w:p w14:paraId="31B1684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DW001</w:t>
                  </w:r>
                </w:p>
              </w:tc>
              <w:tc>
                <w:tcPr>
                  <w:tcW w:w="489" w:type="pct"/>
                  <w:noWrap w:val="0"/>
                  <w:vAlign w:val="center"/>
                </w:tcPr>
                <w:p w14:paraId="3170A6F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是</w:t>
                  </w:r>
                </w:p>
                <w:p w14:paraId="72C9F0B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否</w:t>
                  </w:r>
                </w:p>
              </w:tc>
              <w:tc>
                <w:tcPr>
                  <w:tcW w:w="878" w:type="pct"/>
                  <w:noWrap w:val="0"/>
                  <w:vAlign w:val="center"/>
                </w:tcPr>
                <w:p w14:paraId="674C26E4">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企业总排</w:t>
                  </w:r>
                </w:p>
                <w:p w14:paraId="669A409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雨水排放</w:t>
                  </w:r>
                </w:p>
                <w:p w14:paraId="097FC8F0">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清净下水排放</w:t>
                  </w:r>
                </w:p>
                <w:p w14:paraId="77C68917">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温排水排放</w:t>
                  </w:r>
                </w:p>
                <w:p w14:paraId="7B45540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车间或车间处理设施排放口</w:t>
                  </w:r>
                </w:p>
              </w:tc>
            </w:tr>
            <w:tr w14:paraId="3BCEC6D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tcBorders>
                    <w:bottom w:val="single" w:color="auto" w:sz="4" w:space="0"/>
                  </w:tcBorders>
                  <w:noWrap w:val="0"/>
                  <w:vAlign w:val="center"/>
                </w:tcPr>
                <w:p w14:paraId="189E0DF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外排</w:t>
                  </w:r>
                  <w:r>
                    <w:rPr>
                      <w:rFonts w:hint="default" w:ascii="Times New Roman" w:hAnsi="Times New Roman" w:cs="Times New Roman"/>
                      <w:color w:val="auto"/>
                      <w:kern w:val="2"/>
                      <w:sz w:val="21"/>
                      <w:szCs w:val="21"/>
                      <w:highlight w:val="none"/>
                    </w:rPr>
                    <w:t>生产废水</w:t>
                  </w:r>
                </w:p>
              </w:tc>
              <w:tc>
                <w:tcPr>
                  <w:tcW w:w="685" w:type="pct"/>
                  <w:tcBorders>
                    <w:bottom w:val="single" w:color="auto" w:sz="4" w:space="0"/>
                  </w:tcBorders>
                  <w:noWrap w:val="0"/>
                  <w:vAlign w:val="center"/>
                </w:tcPr>
                <w:p w14:paraId="11CE2D5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SS、阴离子表面活性剂、氟化物、石油类</w:t>
                  </w:r>
                </w:p>
              </w:tc>
              <w:tc>
                <w:tcPr>
                  <w:tcW w:w="323" w:type="pct"/>
                  <w:vMerge w:val="continue"/>
                  <w:tcBorders>
                    <w:bottom w:val="single" w:color="auto" w:sz="4" w:space="0"/>
                  </w:tcBorders>
                  <w:noWrap w:val="0"/>
                  <w:vAlign w:val="center"/>
                </w:tcPr>
                <w:p w14:paraId="4713FE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p>
              </w:tc>
              <w:tc>
                <w:tcPr>
                  <w:tcW w:w="562" w:type="pct"/>
                  <w:vMerge w:val="continue"/>
                  <w:tcBorders>
                    <w:bottom w:val="single" w:color="auto" w:sz="4" w:space="0"/>
                  </w:tcBorders>
                  <w:noWrap w:val="0"/>
                  <w:vAlign w:val="center"/>
                </w:tcPr>
                <w:p w14:paraId="6EAB513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p>
              </w:tc>
              <w:tc>
                <w:tcPr>
                  <w:tcW w:w="423" w:type="pct"/>
                  <w:tcBorders>
                    <w:bottom w:val="single" w:color="auto" w:sz="4" w:space="0"/>
                  </w:tcBorders>
                  <w:noWrap w:val="0"/>
                  <w:vAlign w:val="center"/>
                </w:tcPr>
                <w:p w14:paraId="4DD074C6">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TW002</w:t>
                  </w:r>
                </w:p>
              </w:tc>
              <w:tc>
                <w:tcPr>
                  <w:tcW w:w="496" w:type="pct"/>
                  <w:tcBorders>
                    <w:bottom w:val="single" w:color="auto" w:sz="4" w:space="0"/>
                  </w:tcBorders>
                  <w:noWrap w:val="0"/>
                  <w:vAlign w:val="center"/>
                </w:tcPr>
                <w:p w14:paraId="71A224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废水处理站</w:t>
                  </w:r>
                </w:p>
              </w:tc>
              <w:tc>
                <w:tcPr>
                  <w:tcW w:w="473" w:type="pct"/>
                  <w:tcBorders>
                    <w:bottom w:val="single" w:color="auto" w:sz="4" w:space="0"/>
                  </w:tcBorders>
                  <w:noWrap w:val="0"/>
                  <w:vAlign w:val="center"/>
                </w:tcPr>
                <w:p w14:paraId="27B9F55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color w:val="auto"/>
                      <w:kern w:val="2"/>
                      <w:sz w:val="21"/>
                      <w:szCs w:val="21"/>
                      <w:highlight w:val="none"/>
                      <w:lang w:eastAsia="zh-CN"/>
                    </w:rPr>
                    <w:t>中和调节+混凝沉淀+气浮+化学除氟</w:t>
                  </w:r>
                </w:p>
              </w:tc>
              <w:tc>
                <w:tcPr>
                  <w:tcW w:w="331" w:type="pct"/>
                  <w:tcBorders>
                    <w:bottom w:val="single" w:color="auto" w:sz="4" w:space="0"/>
                  </w:tcBorders>
                  <w:noWrap w:val="0"/>
                  <w:vAlign w:val="center"/>
                </w:tcPr>
                <w:p w14:paraId="066B6CD5">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DW00</w:t>
                  </w:r>
                  <w:r>
                    <w:rPr>
                      <w:rFonts w:hint="default" w:ascii="Times New Roman" w:hAnsi="Times New Roman" w:cs="Times New Roman"/>
                      <w:color w:val="auto"/>
                      <w:kern w:val="2"/>
                      <w:sz w:val="21"/>
                      <w:szCs w:val="21"/>
                      <w:highlight w:val="none"/>
                      <w:lang w:val="en-US" w:eastAsia="zh-CN"/>
                    </w:rPr>
                    <w:t>2</w:t>
                  </w:r>
                </w:p>
              </w:tc>
              <w:tc>
                <w:tcPr>
                  <w:tcW w:w="489" w:type="pct"/>
                  <w:tcBorders>
                    <w:bottom w:val="single" w:color="auto" w:sz="4" w:space="0"/>
                  </w:tcBorders>
                  <w:noWrap w:val="0"/>
                  <w:vAlign w:val="center"/>
                </w:tcPr>
                <w:p w14:paraId="28108464">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是</w:t>
                  </w:r>
                </w:p>
                <w:p w14:paraId="4D670C1D">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否</w:t>
                  </w:r>
                </w:p>
              </w:tc>
              <w:tc>
                <w:tcPr>
                  <w:tcW w:w="878" w:type="pct"/>
                  <w:tcBorders>
                    <w:bottom w:val="single" w:color="auto" w:sz="4" w:space="0"/>
                  </w:tcBorders>
                  <w:noWrap w:val="0"/>
                  <w:vAlign w:val="center"/>
                </w:tcPr>
                <w:p w14:paraId="4386997C">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企业总排</w:t>
                  </w:r>
                </w:p>
                <w:p w14:paraId="0EE4ED93">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雨水排放</w:t>
                  </w:r>
                </w:p>
                <w:p w14:paraId="2DB4AF8D">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清净下水排放</w:t>
                  </w:r>
                </w:p>
                <w:p w14:paraId="0FD2A97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温排水排放</w:t>
                  </w:r>
                </w:p>
                <w:p w14:paraId="5E997A3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车间或车间处理设施排放口</w:t>
                  </w:r>
                </w:p>
              </w:tc>
            </w:tr>
          </w:tbl>
          <w:p w14:paraId="4FE1FB87">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676A3A3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29</w:t>
            </w:r>
            <w:r>
              <w:rPr>
                <w:rFonts w:hint="default" w:ascii="Times New Roman" w:hAnsi="Times New Roman" w:eastAsia="宋体" w:cs="Times New Roman"/>
                <w:b/>
                <w:bCs/>
                <w:color w:val="auto"/>
                <w:sz w:val="21"/>
                <w:szCs w:val="21"/>
                <w:highlight w:val="none"/>
              </w:rPr>
              <w:t>废水污染物排放执行标准表</w:t>
            </w:r>
          </w:p>
          <w:tbl>
            <w:tblPr>
              <w:tblStyle w:val="4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10" w:type="dxa"/>
                <w:bottom w:w="0" w:type="dxa"/>
                <w:right w:w="10" w:type="dxa"/>
              </w:tblCellMar>
            </w:tblPr>
            <w:tblGrid>
              <w:gridCol w:w="386"/>
              <w:gridCol w:w="837"/>
              <w:gridCol w:w="1420"/>
              <w:gridCol w:w="3205"/>
              <w:gridCol w:w="2544"/>
            </w:tblGrid>
            <w:tr w14:paraId="28270E0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restart"/>
                  <w:tcBorders>
                    <w:tl2br w:val="nil"/>
                    <w:tr2bl w:val="nil"/>
                  </w:tcBorders>
                  <w:noWrap w:val="0"/>
                  <w:vAlign w:val="center"/>
                </w:tcPr>
                <w:p w14:paraId="19AF57D4">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序号</w:t>
                  </w:r>
                </w:p>
              </w:tc>
              <w:tc>
                <w:tcPr>
                  <w:tcW w:w="498" w:type="pct"/>
                  <w:vMerge w:val="restart"/>
                  <w:tcBorders>
                    <w:tl2br w:val="nil"/>
                    <w:tr2bl w:val="nil"/>
                  </w:tcBorders>
                  <w:noWrap w:val="0"/>
                  <w:vAlign w:val="center"/>
                </w:tcPr>
                <w:p w14:paraId="10A7B2A1">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排放口编号</w:t>
                  </w:r>
                </w:p>
              </w:tc>
              <w:tc>
                <w:tcPr>
                  <w:tcW w:w="846" w:type="pct"/>
                  <w:vMerge w:val="restart"/>
                  <w:tcBorders>
                    <w:tl2br w:val="nil"/>
                    <w:tr2bl w:val="nil"/>
                  </w:tcBorders>
                  <w:noWrap w:val="0"/>
                  <w:vAlign w:val="center"/>
                </w:tcPr>
                <w:p w14:paraId="0D4D451D">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污染物种类</w:t>
                  </w:r>
                </w:p>
              </w:tc>
              <w:tc>
                <w:tcPr>
                  <w:tcW w:w="3424" w:type="pct"/>
                  <w:gridSpan w:val="2"/>
                  <w:tcBorders>
                    <w:tl2br w:val="nil"/>
                    <w:tr2bl w:val="nil"/>
                  </w:tcBorders>
                  <w:noWrap w:val="0"/>
                  <w:vAlign w:val="center"/>
                </w:tcPr>
                <w:p w14:paraId="6F834ED4">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国家或地方污染物排放标准及其他按规定商定的排放协议</w:t>
                  </w:r>
                </w:p>
              </w:tc>
            </w:tr>
            <w:tr w14:paraId="2921D07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continue"/>
                  <w:tcBorders>
                    <w:tl2br w:val="nil"/>
                    <w:tr2bl w:val="nil"/>
                  </w:tcBorders>
                  <w:noWrap w:val="0"/>
                  <w:vAlign w:val="center"/>
                </w:tcPr>
                <w:p w14:paraId="734A2AA2">
                  <w:pPr>
                    <w:pStyle w:val="134"/>
                    <w:spacing w:line="240" w:lineRule="auto"/>
                    <w:rPr>
                      <w:rFonts w:hint="default" w:ascii="Times New Roman" w:hAnsi="Times New Roman" w:eastAsia="宋体" w:cs="Times New Roman"/>
                      <w:b/>
                      <w:bCs/>
                      <w:color w:val="auto"/>
                      <w:sz w:val="21"/>
                      <w:szCs w:val="21"/>
                      <w:highlight w:val="none"/>
                    </w:rPr>
                  </w:pPr>
                </w:p>
              </w:tc>
              <w:tc>
                <w:tcPr>
                  <w:tcW w:w="498" w:type="pct"/>
                  <w:vMerge w:val="continue"/>
                  <w:tcBorders>
                    <w:tl2br w:val="nil"/>
                    <w:tr2bl w:val="nil"/>
                  </w:tcBorders>
                  <w:noWrap w:val="0"/>
                  <w:vAlign w:val="center"/>
                </w:tcPr>
                <w:p w14:paraId="77AC9CED">
                  <w:pPr>
                    <w:pStyle w:val="134"/>
                    <w:spacing w:line="240" w:lineRule="auto"/>
                    <w:rPr>
                      <w:rFonts w:hint="default" w:ascii="Times New Roman" w:hAnsi="Times New Roman" w:eastAsia="宋体" w:cs="Times New Roman"/>
                      <w:b/>
                      <w:bCs/>
                      <w:color w:val="auto"/>
                      <w:sz w:val="21"/>
                      <w:szCs w:val="21"/>
                      <w:highlight w:val="none"/>
                    </w:rPr>
                  </w:pPr>
                </w:p>
              </w:tc>
              <w:tc>
                <w:tcPr>
                  <w:tcW w:w="846" w:type="pct"/>
                  <w:vMerge w:val="continue"/>
                  <w:tcBorders>
                    <w:tl2br w:val="nil"/>
                    <w:tr2bl w:val="nil"/>
                  </w:tcBorders>
                  <w:noWrap w:val="0"/>
                  <w:vAlign w:val="center"/>
                </w:tcPr>
                <w:p w14:paraId="0004DEF6">
                  <w:pPr>
                    <w:pStyle w:val="134"/>
                    <w:spacing w:line="240" w:lineRule="auto"/>
                    <w:rPr>
                      <w:rFonts w:hint="default" w:ascii="Times New Roman" w:hAnsi="Times New Roman" w:eastAsia="宋体" w:cs="Times New Roman"/>
                      <w:b/>
                      <w:bCs/>
                      <w:color w:val="auto"/>
                      <w:sz w:val="21"/>
                      <w:szCs w:val="21"/>
                      <w:highlight w:val="none"/>
                    </w:rPr>
                  </w:pPr>
                </w:p>
              </w:tc>
              <w:tc>
                <w:tcPr>
                  <w:tcW w:w="1909" w:type="pct"/>
                  <w:tcBorders>
                    <w:tl2br w:val="nil"/>
                    <w:tr2bl w:val="nil"/>
                  </w:tcBorders>
                  <w:noWrap w:val="0"/>
                  <w:vAlign w:val="center"/>
                </w:tcPr>
                <w:p w14:paraId="4590BA6E">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名称</w:t>
                  </w:r>
                </w:p>
              </w:tc>
              <w:tc>
                <w:tcPr>
                  <w:tcW w:w="1515" w:type="pct"/>
                  <w:tcBorders>
                    <w:tl2br w:val="nil"/>
                    <w:tr2bl w:val="nil"/>
                  </w:tcBorders>
                  <w:noWrap w:val="0"/>
                  <w:vAlign w:val="center"/>
                </w:tcPr>
                <w:p w14:paraId="324756F5">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浓度限值</w:t>
                  </w:r>
                </w:p>
              </w:tc>
            </w:tr>
            <w:tr w14:paraId="2647581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676CCEC1">
                  <w:pPr>
                    <w:pStyle w:val="134"/>
                    <w:spacing w:line="240" w:lineRule="auto"/>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1</w:t>
                  </w:r>
                </w:p>
              </w:tc>
              <w:tc>
                <w:tcPr>
                  <w:tcW w:w="498" w:type="pct"/>
                  <w:tcBorders>
                    <w:tl2br w:val="nil"/>
                    <w:tr2bl w:val="nil"/>
                  </w:tcBorders>
                  <w:noWrap w:val="0"/>
                  <w:vAlign w:val="center"/>
                </w:tcPr>
                <w:p w14:paraId="2E17CE15">
                  <w:pPr>
                    <w:pStyle w:val="134"/>
                    <w:spacing w:line="240" w:lineRule="auto"/>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DW001</w:t>
                  </w:r>
                </w:p>
              </w:tc>
              <w:tc>
                <w:tcPr>
                  <w:tcW w:w="1420" w:type="dxa"/>
                  <w:tcBorders>
                    <w:tl2br w:val="nil"/>
                    <w:tr2bl w:val="nil"/>
                  </w:tcBorders>
                  <w:noWrap w:val="0"/>
                  <w:vAlign w:val="center"/>
                </w:tcPr>
                <w:p w14:paraId="2D3213E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、BOD</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、SS、氨氮</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总磷、动植物油</w:t>
                  </w:r>
                </w:p>
              </w:tc>
              <w:tc>
                <w:tcPr>
                  <w:tcW w:w="1909" w:type="pct"/>
                  <w:tcBorders>
                    <w:tl2br w:val="nil"/>
                    <w:tr2bl w:val="nil"/>
                  </w:tcBorders>
                  <w:noWrap w:val="0"/>
                  <w:vAlign w:val="center"/>
                </w:tcPr>
                <w:p w14:paraId="3CC55A6D">
                  <w:pPr>
                    <w:pStyle w:val="134"/>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广东省地方标准《水污染物排放限值》（DB44/26-2001）第二时段三级标准</w:t>
                  </w:r>
                  <w:r>
                    <w:rPr>
                      <w:rFonts w:hint="default" w:ascii="Times New Roman" w:hAnsi="Times New Roman" w:eastAsia="宋体" w:cs="Times New Roman"/>
                      <w:color w:val="auto"/>
                      <w:sz w:val="21"/>
                      <w:szCs w:val="21"/>
                      <w:highlight w:val="none"/>
                      <w:lang w:val="en-US" w:eastAsia="zh-CN"/>
                    </w:rPr>
                    <w:t>及</w:t>
                  </w:r>
                  <w:r>
                    <w:rPr>
                      <w:rFonts w:hint="default" w:ascii="Times New Roman" w:hAnsi="Times New Roman" w:eastAsia="宋体" w:cs="Times New Roman"/>
                      <w:color w:val="auto"/>
                      <w:sz w:val="21"/>
                      <w:szCs w:val="21"/>
                      <w:highlight w:val="none"/>
                    </w:rPr>
                    <w:t>园区污水处理厂接管水质要求</w:t>
                  </w:r>
                  <w:r>
                    <w:rPr>
                      <w:rFonts w:hint="default" w:ascii="Times New Roman" w:hAnsi="Times New Roman" w:eastAsia="宋体" w:cs="Times New Roman"/>
                      <w:color w:val="auto"/>
                      <w:sz w:val="21"/>
                      <w:szCs w:val="21"/>
                      <w:highlight w:val="none"/>
                      <w:lang w:val="en-US" w:eastAsia="zh-CN"/>
                    </w:rPr>
                    <w:t>两者较严值</w:t>
                  </w:r>
                </w:p>
              </w:tc>
              <w:tc>
                <w:tcPr>
                  <w:tcW w:w="1515" w:type="pct"/>
                  <w:tcBorders>
                    <w:tl2br w:val="nil"/>
                    <w:tr2bl w:val="nil"/>
                  </w:tcBorders>
                  <w:noWrap w:val="0"/>
                  <w:vAlign w:val="center"/>
                </w:tcPr>
                <w:p w14:paraId="4A1BD55E">
                  <w:pPr>
                    <w:pStyle w:val="134"/>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
                    </w:rPr>
                    <w:t>pH6~9，COD</w:t>
                  </w:r>
                  <w:r>
                    <w:rPr>
                      <w:rFonts w:hint="default" w:ascii="Times New Roman" w:hAnsi="Times New Roman" w:eastAsia="宋体" w:cs="Times New Roman"/>
                      <w:color w:val="auto"/>
                      <w:sz w:val="21"/>
                      <w:szCs w:val="21"/>
                      <w:highlight w:val="none"/>
                      <w:vertAlign w:val="subscript"/>
                      <w:lang w:val="en-US" w:eastAsia="zh-CN" w:bidi="ar"/>
                    </w:rPr>
                    <w:t>Cr</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30</w:t>
                  </w:r>
                  <w:r>
                    <w:rPr>
                      <w:rFonts w:hint="default" w:ascii="Times New Roman" w:hAnsi="Times New Roman" w:eastAsia="宋体" w:cs="Times New Roman"/>
                      <w:color w:val="auto"/>
                      <w:sz w:val="21"/>
                      <w:szCs w:val="21"/>
                      <w:highlight w:val="none"/>
                      <w:lang w:bidi="ar"/>
                    </w:rPr>
                    <w:t>0mg/L，BOD</w:t>
                  </w:r>
                  <w:r>
                    <w:rPr>
                      <w:rFonts w:hint="default" w:ascii="Times New Roman" w:hAnsi="Times New Roman" w:eastAsia="宋体" w:cs="Times New Roman"/>
                      <w:color w:val="auto"/>
                      <w:sz w:val="21"/>
                      <w:szCs w:val="21"/>
                      <w:highlight w:val="none"/>
                      <w:vertAlign w:val="subscript"/>
                      <w:lang w:bidi="ar"/>
                    </w:rPr>
                    <w:t>5</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150</w:t>
                  </w:r>
                  <w:r>
                    <w:rPr>
                      <w:rFonts w:hint="default" w:ascii="Times New Roman" w:hAnsi="Times New Roman" w:eastAsia="宋体" w:cs="Times New Roman"/>
                      <w:color w:val="auto"/>
                      <w:sz w:val="21"/>
                      <w:szCs w:val="21"/>
                      <w:highlight w:val="none"/>
                      <w:lang w:bidi="ar"/>
                    </w:rPr>
                    <w:t>mg/L，SS≤</w:t>
                  </w:r>
                  <w:r>
                    <w:rPr>
                      <w:rFonts w:hint="default" w:ascii="Times New Roman" w:hAnsi="Times New Roman" w:eastAsia="宋体" w:cs="Times New Roman"/>
                      <w:color w:val="auto"/>
                      <w:sz w:val="21"/>
                      <w:szCs w:val="21"/>
                      <w:highlight w:val="none"/>
                      <w:lang w:val="en-US" w:eastAsia="zh-CN" w:bidi="ar"/>
                    </w:rPr>
                    <w:t>25</w:t>
                  </w:r>
                  <w:r>
                    <w:rPr>
                      <w:rFonts w:hint="default" w:ascii="Times New Roman" w:hAnsi="Times New Roman" w:eastAsia="宋体" w:cs="Times New Roman"/>
                      <w:color w:val="auto"/>
                      <w:sz w:val="21"/>
                      <w:szCs w:val="21"/>
                      <w:highlight w:val="none"/>
                      <w:lang w:bidi="ar"/>
                    </w:rPr>
                    <w:t>0mg/L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bidi="ar"/>
                    </w:rPr>
                    <w:t>NH</w:t>
                  </w:r>
                  <w:r>
                    <w:rPr>
                      <w:rFonts w:hint="default" w:ascii="Times New Roman" w:hAnsi="Times New Roman" w:eastAsia="宋体" w:cs="Times New Roman"/>
                      <w:color w:val="auto"/>
                      <w:sz w:val="21"/>
                      <w:szCs w:val="21"/>
                      <w:highlight w:val="none"/>
                      <w:vertAlign w:val="subscript"/>
                      <w:lang w:bidi="ar"/>
                    </w:rPr>
                    <w:t>3</w:t>
                  </w:r>
                  <w:r>
                    <w:rPr>
                      <w:rFonts w:hint="default" w:ascii="Times New Roman" w:hAnsi="Times New Roman" w:eastAsia="宋体" w:cs="Times New Roman"/>
                      <w:color w:val="auto"/>
                      <w:sz w:val="21"/>
                      <w:szCs w:val="21"/>
                      <w:highlight w:val="none"/>
                      <w:lang w:bidi="ar"/>
                    </w:rPr>
                    <w:t>-N≤</w:t>
                  </w:r>
                  <w:r>
                    <w:rPr>
                      <w:rFonts w:hint="default" w:ascii="Times New Roman" w:hAnsi="Times New Roman" w:eastAsia="宋体" w:cs="Times New Roman"/>
                      <w:color w:val="auto"/>
                      <w:sz w:val="21"/>
                      <w:szCs w:val="21"/>
                      <w:highlight w:val="none"/>
                      <w:lang w:val="en-US" w:eastAsia="zh-CN" w:bidi="ar"/>
                    </w:rPr>
                    <w:t>40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动植物油</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100</w:t>
                  </w:r>
                  <w:r>
                    <w:rPr>
                      <w:rFonts w:hint="default" w:ascii="Times New Roman" w:hAnsi="Times New Roman" w:eastAsia="宋体" w:cs="Times New Roman"/>
                      <w:color w:val="auto"/>
                      <w:sz w:val="21"/>
                      <w:szCs w:val="21"/>
                      <w:highlight w:val="none"/>
                      <w:lang w:bidi="ar"/>
                    </w:rPr>
                    <w:t>mg/L</w:t>
                  </w:r>
                </w:p>
              </w:tc>
            </w:tr>
            <w:tr w14:paraId="1E02EBD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0496E306">
                  <w:pPr>
                    <w:pStyle w:val="134"/>
                    <w:spacing w:line="240" w:lineRule="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2</w:t>
                  </w:r>
                </w:p>
              </w:tc>
              <w:tc>
                <w:tcPr>
                  <w:tcW w:w="498" w:type="pct"/>
                  <w:tcBorders>
                    <w:tl2br w:val="nil"/>
                    <w:tr2bl w:val="nil"/>
                  </w:tcBorders>
                  <w:noWrap w:val="0"/>
                  <w:vAlign w:val="center"/>
                </w:tcPr>
                <w:p w14:paraId="79C54021">
                  <w:pPr>
                    <w:pStyle w:val="134"/>
                    <w:spacing w:line="240" w:lineRule="auto"/>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DW00</w:t>
                  </w:r>
                  <w:r>
                    <w:rPr>
                      <w:rFonts w:hint="default" w:ascii="Times New Roman" w:hAnsi="Times New Roman" w:eastAsia="宋体" w:cs="Times New Roman"/>
                      <w:color w:val="auto"/>
                      <w:sz w:val="21"/>
                      <w:szCs w:val="21"/>
                      <w:highlight w:val="none"/>
                      <w:lang w:val="en-US" w:eastAsia="zh-CN" w:bidi="ar"/>
                    </w:rPr>
                    <w:t>2</w:t>
                  </w:r>
                </w:p>
              </w:tc>
              <w:tc>
                <w:tcPr>
                  <w:tcW w:w="1420" w:type="dxa"/>
                  <w:tcBorders>
                    <w:tl2br w:val="nil"/>
                    <w:tr2bl w:val="nil"/>
                  </w:tcBorders>
                  <w:noWrap w:val="0"/>
                  <w:vAlign w:val="center"/>
                </w:tcPr>
                <w:p w14:paraId="76CF8A0A">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kern w:val="2"/>
                      <w:sz w:val="21"/>
                      <w:szCs w:val="21"/>
                      <w:highlight w:val="none"/>
                    </w:rPr>
                    <w:t>SS、</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氟化物、</w:t>
                  </w:r>
                  <w:r>
                    <w:rPr>
                      <w:rFonts w:hint="eastAsia" w:ascii="Times New Roman" w:hAnsi="Times New Roman" w:cs="Times New Roman"/>
                      <w:color w:val="auto"/>
                      <w:kern w:val="2"/>
                      <w:sz w:val="21"/>
                      <w:szCs w:val="21"/>
                      <w:highlight w:val="none"/>
                      <w:lang w:val="en-US" w:eastAsia="zh-CN"/>
                    </w:rPr>
                    <w:t>TP、TN、</w:t>
                  </w:r>
                  <w:r>
                    <w:rPr>
                      <w:rFonts w:hint="default" w:ascii="Times New Roman" w:hAnsi="Times New Roman" w:cs="Times New Roman"/>
                      <w:color w:val="auto"/>
                      <w:kern w:val="2"/>
                      <w:sz w:val="21"/>
                      <w:szCs w:val="21"/>
                      <w:highlight w:val="none"/>
                    </w:rPr>
                    <w:t>阴离子表面活性剂、</w:t>
                  </w:r>
                  <w:r>
                    <w:rPr>
                      <w:rFonts w:hint="eastAsia" w:ascii="Times New Roman" w:hAnsi="Times New Roman" w:cs="Times New Roman"/>
                      <w:color w:val="auto"/>
                      <w:kern w:val="2"/>
                      <w:sz w:val="21"/>
                      <w:szCs w:val="21"/>
                      <w:highlight w:val="none"/>
                      <w:lang w:val="en-US" w:eastAsia="zh-CN"/>
                    </w:rPr>
                    <w:t>总铝、</w:t>
                  </w:r>
                  <w:r>
                    <w:rPr>
                      <w:rFonts w:hint="default" w:ascii="Times New Roman" w:hAnsi="Times New Roman" w:cs="Times New Roman"/>
                      <w:color w:val="auto"/>
                      <w:kern w:val="2"/>
                      <w:sz w:val="21"/>
                      <w:szCs w:val="21"/>
                      <w:highlight w:val="none"/>
                    </w:rPr>
                    <w:t>石油类</w:t>
                  </w:r>
                </w:p>
              </w:tc>
              <w:tc>
                <w:tcPr>
                  <w:tcW w:w="1909" w:type="pct"/>
                  <w:tcBorders>
                    <w:tl2br w:val="nil"/>
                    <w:tr2bl w:val="nil"/>
                  </w:tcBorders>
                  <w:noWrap w:val="0"/>
                  <w:vAlign w:val="center"/>
                </w:tcPr>
                <w:p w14:paraId="69349304">
                  <w:pPr>
                    <w:pStyle w:val="134"/>
                    <w:spacing w:line="240" w:lineRule="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园区污水处理厂接管水质要求、广东省《水污染物排放限值》（DB44/26-2001）第二时段三级标准以及《电镀水污染物排放标准》（DB44/1597-2015）</w:t>
                  </w:r>
                  <w:r>
                    <w:rPr>
                      <w:rFonts w:hint="default" w:ascii="Times New Roman" w:hAnsi="Times New Roman" w:cs="Times New Roman"/>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default" w:ascii="Times New Roman" w:hAnsi="Times New Roman" w:eastAsia="宋体" w:cs="Times New Roman"/>
                      <w:i w:val="0"/>
                      <w:iCs w:val="0"/>
                      <w:color w:val="auto"/>
                      <w:kern w:val="0"/>
                      <w:sz w:val="21"/>
                      <w:szCs w:val="21"/>
                      <w:u w:val="none"/>
                      <w:lang w:val="en-US" w:eastAsia="zh-CN" w:bidi="ar"/>
                    </w:rPr>
                    <w:t>三者较严值要求</w:t>
                  </w:r>
                </w:p>
              </w:tc>
              <w:tc>
                <w:tcPr>
                  <w:tcW w:w="1515" w:type="pct"/>
                  <w:tcBorders>
                    <w:tl2br w:val="nil"/>
                    <w:tr2bl w:val="nil"/>
                  </w:tcBorders>
                  <w:noWrap w:val="0"/>
                  <w:vAlign w:val="center"/>
                </w:tcPr>
                <w:p w14:paraId="7753AF04">
                  <w:pPr>
                    <w:pStyle w:val="134"/>
                    <w:spacing w:line="240" w:lineRule="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pH6~9，COD</w:t>
                  </w:r>
                  <w:r>
                    <w:rPr>
                      <w:rFonts w:hint="default" w:ascii="Times New Roman" w:hAnsi="Times New Roman" w:eastAsia="宋体" w:cs="Times New Roman"/>
                      <w:color w:val="auto"/>
                      <w:sz w:val="21"/>
                      <w:szCs w:val="21"/>
                      <w:highlight w:val="none"/>
                      <w:vertAlign w:val="subscript"/>
                      <w:lang w:val="en-US" w:eastAsia="zh-CN" w:bidi="ar"/>
                    </w:rPr>
                    <w:t>Cr</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8</w:t>
                  </w:r>
                  <w:r>
                    <w:rPr>
                      <w:rFonts w:hint="default" w:ascii="Times New Roman" w:hAnsi="Times New Roman" w:eastAsia="宋体" w:cs="Times New Roman"/>
                      <w:color w:val="auto"/>
                      <w:sz w:val="21"/>
                      <w:szCs w:val="21"/>
                      <w:highlight w:val="none"/>
                      <w:lang w:bidi="ar"/>
                    </w:rPr>
                    <w:t>0mg/L，</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w:t>
                  </w:r>
                  <w:r>
                    <w:rPr>
                      <w:rFonts w:hint="default" w:ascii="Times New Roman" w:hAnsi="Times New Roman" w:eastAsia="宋体" w:cs="Times New Roman"/>
                      <w:color w:val="auto"/>
                      <w:sz w:val="21"/>
                      <w:szCs w:val="21"/>
                      <w:highlight w:val="none"/>
                      <w:lang w:bidi="ar"/>
                    </w:rPr>
                    <w:t>0mg/L</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bidi="ar"/>
                    </w:rPr>
                    <w:t>SS≤</w:t>
                  </w:r>
                  <w:r>
                    <w:rPr>
                      <w:rFonts w:hint="default" w:ascii="Times New Roman" w:hAnsi="Times New Roman" w:eastAsia="宋体" w:cs="Times New Roman"/>
                      <w:color w:val="auto"/>
                      <w:sz w:val="21"/>
                      <w:szCs w:val="21"/>
                      <w:highlight w:val="none"/>
                      <w:lang w:val="en-US" w:eastAsia="zh-CN" w:bidi="ar"/>
                    </w:rPr>
                    <w:t>3</w:t>
                  </w:r>
                  <w:r>
                    <w:rPr>
                      <w:rFonts w:hint="default" w:ascii="Times New Roman" w:hAnsi="Times New Roman" w:eastAsia="宋体" w:cs="Times New Roman"/>
                      <w:color w:val="auto"/>
                      <w:sz w:val="21"/>
                      <w:szCs w:val="21"/>
                      <w:highlight w:val="none"/>
                      <w:lang w:bidi="ar"/>
                    </w:rPr>
                    <w:t>0mg/L</w:t>
                  </w:r>
                  <w:r>
                    <w:rPr>
                      <w:rFonts w:hint="default" w:ascii="Times New Roman" w:hAnsi="Times New Roman" w:eastAsia="宋体" w:cs="Times New Roman"/>
                      <w:color w:val="auto"/>
                      <w:sz w:val="21"/>
                      <w:szCs w:val="21"/>
                      <w:highlight w:val="none"/>
                      <w:lang w:eastAsia="zh-CN" w:bidi="ar"/>
                    </w:rPr>
                    <w:t>，氟化物</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Arial" w:cs="Times New Roman"/>
                      <w:color w:val="auto"/>
                      <w:sz w:val="21"/>
                      <w:szCs w:val="21"/>
                    </w:rPr>
                    <w:t>总磷 mg/L</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2.0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TN</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4</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LAS</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20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石油类</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6</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总铝</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2</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p>
              </w:tc>
            </w:tr>
          </w:tbl>
          <w:p w14:paraId="34DE02FD">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5885A7EE">
            <w:pPr>
              <w:keepNext/>
              <w:keepLines/>
              <w:numPr>
                <w:ilvl w:val="0"/>
                <w:numId w:val="0"/>
              </w:numPr>
              <w:suppressLineNumbers w:val="0"/>
              <w:tabs>
                <w:tab w:val="left" w:pos="0"/>
                <w:tab w:val="center" w:pos="4281"/>
                <w:tab w:val="left" w:pos="7099"/>
              </w:tabs>
              <w:spacing w:before="0" w:beforeAutospacing="0" w:after="0" w:afterAutospacing="0"/>
              <w:ind w:left="0" w:leftChars="0" w:right="0" w:rightChars="0" w:firstLine="40" w:firstLineChars="0"/>
              <w:jc w:val="left"/>
              <w:outlineLvl w:val="3"/>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kern w:val="2"/>
                <w:sz w:val="21"/>
                <w:szCs w:val="21"/>
                <w:lang w:val="en-US" w:eastAsia="zh-CN" w:bidi="ar-SA"/>
              </w:rPr>
              <w:tab/>
            </w: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30</w:t>
            </w:r>
            <w:r>
              <w:rPr>
                <w:rFonts w:hint="default" w:ascii="Times New Roman" w:hAnsi="Times New Roman" w:eastAsia="宋体" w:cs="Times New Roman"/>
                <w:b/>
                <w:bCs/>
                <w:color w:val="auto"/>
                <w:sz w:val="21"/>
                <w:szCs w:val="21"/>
                <w:highlight w:val="none"/>
              </w:rPr>
              <w:t>项目废水排放口基本情况表</w:t>
            </w:r>
            <w:r>
              <w:rPr>
                <w:rFonts w:hint="eastAsia" w:cs="Times New Roman"/>
                <w:b/>
                <w:bCs/>
                <w:color w:val="auto"/>
                <w:sz w:val="21"/>
                <w:szCs w:val="21"/>
                <w:highlight w:val="none"/>
                <w:lang w:eastAsia="zh-CN"/>
              </w:rPr>
              <w:tab/>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554"/>
              <w:gridCol w:w="659"/>
              <w:gridCol w:w="594"/>
              <w:gridCol w:w="604"/>
              <w:gridCol w:w="743"/>
              <w:gridCol w:w="1014"/>
              <w:gridCol w:w="564"/>
              <w:gridCol w:w="500"/>
              <w:gridCol w:w="1086"/>
              <w:gridCol w:w="1567"/>
            </w:tblGrid>
            <w:tr w14:paraId="4D7E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5B0C5F0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排放口编号</w:t>
                  </w:r>
                </w:p>
              </w:tc>
              <w:tc>
                <w:tcPr>
                  <w:tcW w:w="330" w:type="pct"/>
                  <w:vMerge w:val="restart"/>
                  <w:noWrap w:val="0"/>
                  <w:vAlign w:val="center"/>
                </w:tcPr>
                <w:p w14:paraId="34EEA44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排放口名称</w:t>
                  </w:r>
                </w:p>
              </w:tc>
              <w:tc>
                <w:tcPr>
                  <w:tcW w:w="746" w:type="pct"/>
                  <w:gridSpan w:val="2"/>
                  <w:noWrap w:val="0"/>
                  <w:vAlign w:val="center"/>
                </w:tcPr>
                <w:p w14:paraId="3155A35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排放口坐标</w:t>
                  </w:r>
                </w:p>
              </w:tc>
              <w:tc>
                <w:tcPr>
                  <w:tcW w:w="359" w:type="pct"/>
                  <w:vMerge w:val="restart"/>
                  <w:noWrap w:val="0"/>
                  <w:vAlign w:val="center"/>
                </w:tcPr>
                <w:p w14:paraId="076DD8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废水排放量/（万t/a）</w:t>
                  </w:r>
                </w:p>
              </w:tc>
              <w:tc>
                <w:tcPr>
                  <w:tcW w:w="442" w:type="pct"/>
                  <w:vMerge w:val="restart"/>
                  <w:noWrap w:val="0"/>
                  <w:vAlign w:val="center"/>
                </w:tcPr>
                <w:p w14:paraId="7E47DD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排放去向</w:t>
                  </w:r>
                </w:p>
              </w:tc>
              <w:tc>
                <w:tcPr>
                  <w:tcW w:w="603" w:type="pct"/>
                  <w:vMerge w:val="restart"/>
                  <w:noWrap w:val="0"/>
                  <w:vAlign w:val="center"/>
                </w:tcPr>
                <w:p w14:paraId="403556D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排放规律</w:t>
                  </w:r>
                </w:p>
              </w:tc>
              <w:tc>
                <w:tcPr>
                  <w:tcW w:w="336" w:type="pct"/>
                  <w:vMerge w:val="restart"/>
                  <w:noWrap w:val="0"/>
                  <w:vAlign w:val="center"/>
                </w:tcPr>
                <w:p w14:paraId="0B84E2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排放口类型</w:t>
                  </w:r>
                </w:p>
              </w:tc>
              <w:tc>
                <w:tcPr>
                  <w:tcW w:w="1876" w:type="pct"/>
                  <w:gridSpan w:val="3"/>
                  <w:noWrap w:val="0"/>
                  <w:vAlign w:val="center"/>
                </w:tcPr>
                <w:p w14:paraId="343C108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受纳污水处理厂信息</w:t>
                  </w:r>
                </w:p>
              </w:tc>
            </w:tr>
            <w:tr w14:paraId="3755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19304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30" w:type="pct"/>
                  <w:vMerge w:val="continue"/>
                  <w:noWrap w:val="0"/>
                  <w:vAlign w:val="center"/>
                </w:tcPr>
                <w:p w14:paraId="735BCF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92" w:type="pct"/>
                  <w:noWrap w:val="0"/>
                  <w:vAlign w:val="center"/>
                </w:tcPr>
                <w:p w14:paraId="67BAFA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auto"/>
                      <w:kern w:val="2"/>
                      <w:sz w:val="21"/>
                      <w:szCs w:val="21"/>
                      <w:highlight w:val="none"/>
                      <w:lang w:val="en-US" w:eastAsia="zh-CN"/>
                    </w:rPr>
                  </w:pPr>
                  <w:r>
                    <w:rPr>
                      <w:rFonts w:hint="default" w:ascii="Times New Roman" w:hAnsi="Times New Roman" w:cs="Times New Roman"/>
                      <w:b/>
                      <w:bCs/>
                      <w:color w:val="auto"/>
                      <w:kern w:val="2"/>
                      <w:sz w:val="21"/>
                      <w:szCs w:val="21"/>
                      <w:highlight w:val="none"/>
                      <w:lang w:val="en-US" w:eastAsia="zh-CN"/>
                    </w:rPr>
                    <w:t>经度</w:t>
                  </w:r>
                </w:p>
              </w:tc>
              <w:tc>
                <w:tcPr>
                  <w:tcW w:w="354" w:type="pct"/>
                  <w:noWrap w:val="0"/>
                  <w:vAlign w:val="center"/>
                </w:tcPr>
                <w:p w14:paraId="130B082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auto"/>
                      <w:kern w:val="2"/>
                      <w:sz w:val="21"/>
                      <w:szCs w:val="21"/>
                      <w:highlight w:val="none"/>
                      <w:lang w:eastAsia="zh-CN"/>
                    </w:rPr>
                  </w:pPr>
                  <w:r>
                    <w:rPr>
                      <w:rFonts w:hint="default" w:ascii="Times New Roman" w:hAnsi="Times New Roman" w:cs="Times New Roman"/>
                      <w:b/>
                      <w:bCs/>
                      <w:color w:val="auto"/>
                      <w:kern w:val="2"/>
                      <w:sz w:val="21"/>
                      <w:szCs w:val="21"/>
                      <w:highlight w:val="none"/>
                      <w:lang w:val="en-US" w:eastAsia="zh-CN"/>
                    </w:rPr>
                    <w:t>纬度</w:t>
                  </w:r>
                </w:p>
              </w:tc>
              <w:tc>
                <w:tcPr>
                  <w:tcW w:w="359" w:type="pct"/>
                  <w:vMerge w:val="continue"/>
                  <w:noWrap w:val="0"/>
                  <w:vAlign w:val="center"/>
                </w:tcPr>
                <w:p w14:paraId="379A45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442" w:type="pct"/>
                  <w:vMerge w:val="continue"/>
                  <w:noWrap w:val="0"/>
                  <w:vAlign w:val="center"/>
                </w:tcPr>
                <w:p w14:paraId="39FEA76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603" w:type="pct"/>
                  <w:vMerge w:val="continue"/>
                  <w:noWrap w:val="0"/>
                  <w:vAlign w:val="center"/>
                </w:tcPr>
                <w:p w14:paraId="4AE9BF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36" w:type="pct"/>
                  <w:vMerge w:val="continue"/>
                  <w:noWrap w:val="0"/>
                  <w:vAlign w:val="center"/>
                </w:tcPr>
                <w:p w14:paraId="1AC555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298" w:type="pct"/>
                  <w:noWrap w:val="0"/>
                  <w:vAlign w:val="center"/>
                </w:tcPr>
                <w:p w14:paraId="377868F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名称</w:t>
                  </w:r>
                </w:p>
              </w:tc>
              <w:tc>
                <w:tcPr>
                  <w:tcW w:w="646" w:type="pct"/>
                  <w:noWrap w:val="0"/>
                  <w:vAlign w:val="center"/>
                </w:tcPr>
                <w:p w14:paraId="1BA6B1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污染物种类</w:t>
                  </w:r>
                </w:p>
              </w:tc>
              <w:tc>
                <w:tcPr>
                  <w:tcW w:w="932" w:type="pct"/>
                  <w:noWrap w:val="0"/>
                  <w:vAlign w:val="center"/>
                </w:tcPr>
                <w:p w14:paraId="4777AD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国家或地方污染物排放标准浓度限值/(mg/L)</w:t>
                  </w:r>
                </w:p>
              </w:tc>
            </w:tr>
            <w:tr w14:paraId="5E14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3FB9B55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DW0</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1</w:t>
                  </w:r>
                </w:p>
              </w:tc>
              <w:tc>
                <w:tcPr>
                  <w:tcW w:w="330" w:type="pct"/>
                  <w:vMerge w:val="restart"/>
                  <w:noWrap w:val="0"/>
                  <w:vAlign w:val="center"/>
                </w:tcPr>
                <w:p w14:paraId="30B8B2B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lang w:val="en-US" w:eastAsia="zh-CN"/>
                    </w:rPr>
                    <w:t>生活污水</w:t>
                  </w:r>
                  <w:r>
                    <w:rPr>
                      <w:rFonts w:hint="default" w:ascii="Times New Roman" w:hAnsi="Times New Roman" w:cs="Times New Roman"/>
                      <w:color w:val="auto"/>
                      <w:kern w:val="2"/>
                      <w:sz w:val="21"/>
                      <w:szCs w:val="21"/>
                      <w:highlight w:val="none"/>
                    </w:rPr>
                    <w:t>排放口</w:t>
                  </w:r>
                </w:p>
              </w:tc>
              <w:tc>
                <w:tcPr>
                  <w:tcW w:w="392" w:type="pct"/>
                  <w:vMerge w:val="restart"/>
                  <w:noWrap w:val="0"/>
                  <w:vAlign w:val="center"/>
                </w:tcPr>
                <w:p w14:paraId="7EFC717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113°24′33.279″</w:t>
                  </w:r>
                </w:p>
              </w:tc>
              <w:tc>
                <w:tcPr>
                  <w:tcW w:w="354" w:type="pct"/>
                  <w:vMerge w:val="restart"/>
                  <w:noWrap w:val="0"/>
                  <w:vAlign w:val="center"/>
                </w:tcPr>
                <w:p w14:paraId="01BA1D7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25°9′21.12</w:t>
                  </w:r>
                  <w:r>
                    <w:rPr>
                      <w:rFonts w:hint="eastAsia" w:ascii="Times New Roman" w:hAnsi="Times New Roman" w:eastAsia="宋体" w:cs="Times New Roman"/>
                      <w:color w:val="auto"/>
                      <w:kern w:val="2"/>
                      <w:sz w:val="21"/>
                      <w:szCs w:val="21"/>
                      <w:highlight w:val="none"/>
                      <w:lang w:val="en-US" w:eastAsia="zh-CN"/>
                    </w:rPr>
                    <w:t>5</w:t>
                  </w:r>
                  <w:r>
                    <w:rPr>
                      <w:rFonts w:hint="default" w:ascii="Times New Roman" w:hAnsi="Times New Roman" w:eastAsia="宋体" w:cs="Times New Roman"/>
                      <w:color w:val="auto"/>
                      <w:kern w:val="2"/>
                      <w:sz w:val="21"/>
                      <w:szCs w:val="21"/>
                      <w:highlight w:val="none"/>
                      <w:lang w:val="en-US" w:eastAsia="zh-CN"/>
                    </w:rPr>
                    <w:t>″</w:t>
                  </w:r>
                </w:p>
              </w:tc>
              <w:tc>
                <w:tcPr>
                  <w:tcW w:w="359" w:type="pct"/>
                  <w:vMerge w:val="restart"/>
                  <w:noWrap w:val="0"/>
                  <w:vAlign w:val="center"/>
                </w:tcPr>
                <w:p w14:paraId="118D1D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0.2070</w:t>
                  </w:r>
                </w:p>
              </w:tc>
              <w:tc>
                <w:tcPr>
                  <w:tcW w:w="442" w:type="pct"/>
                  <w:vMerge w:val="restart"/>
                  <w:noWrap w:val="0"/>
                  <w:vAlign w:val="center"/>
                </w:tcPr>
                <w:p w14:paraId="576F22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集中式工业污水处理厂</w:t>
                  </w:r>
                </w:p>
              </w:tc>
              <w:tc>
                <w:tcPr>
                  <w:tcW w:w="603" w:type="pct"/>
                  <w:vMerge w:val="restart"/>
                  <w:noWrap w:val="0"/>
                  <w:vAlign w:val="center"/>
                </w:tcPr>
                <w:p w14:paraId="78E630C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336" w:type="pct"/>
                  <w:vMerge w:val="restart"/>
                  <w:noWrap w:val="0"/>
                  <w:vAlign w:val="center"/>
                </w:tcPr>
                <w:p w14:paraId="525935D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一般排放口</w:t>
                  </w:r>
                </w:p>
              </w:tc>
              <w:tc>
                <w:tcPr>
                  <w:tcW w:w="298" w:type="pct"/>
                  <w:vMerge w:val="restart"/>
                  <w:noWrap w:val="0"/>
                  <w:vAlign w:val="center"/>
                </w:tcPr>
                <w:p w14:paraId="2752A9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lang w:val="en-US" w:eastAsia="zh-CN"/>
                    </w:rPr>
                    <w:t>乐昌产业转移工业园污水处理厂</w:t>
                  </w:r>
                </w:p>
              </w:tc>
              <w:tc>
                <w:tcPr>
                  <w:tcW w:w="646" w:type="pct"/>
                  <w:noWrap w:val="0"/>
                  <w:vAlign w:val="center"/>
                </w:tcPr>
                <w:p w14:paraId="01E81A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pH</w:t>
                  </w:r>
                </w:p>
              </w:tc>
              <w:tc>
                <w:tcPr>
                  <w:tcW w:w="932" w:type="pct"/>
                  <w:noWrap w:val="0"/>
                  <w:vAlign w:val="center"/>
                </w:tcPr>
                <w:p w14:paraId="33DC18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6~9</w:t>
                  </w:r>
                </w:p>
              </w:tc>
            </w:tr>
            <w:tr w14:paraId="14F7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2AF98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55A42C3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48DCE87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31B1F8F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45A2719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0C056D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61F973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056C3A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47BA3E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p>
              </w:tc>
              <w:tc>
                <w:tcPr>
                  <w:tcW w:w="646" w:type="pct"/>
                  <w:noWrap w:val="0"/>
                  <w:vAlign w:val="center"/>
                </w:tcPr>
                <w:p w14:paraId="57430D7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COD</w:t>
                  </w:r>
                  <w:r>
                    <w:rPr>
                      <w:rFonts w:hint="default" w:ascii="Times New Roman" w:hAnsi="Times New Roman" w:cs="Times New Roman"/>
                      <w:b w:val="0"/>
                      <w:bCs w:val="0"/>
                      <w:color w:val="auto"/>
                      <w:kern w:val="2"/>
                      <w:sz w:val="21"/>
                      <w:szCs w:val="21"/>
                      <w:highlight w:val="none"/>
                      <w:vertAlign w:val="subscript"/>
                    </w:rPr>
                    <w:t>Cr</w:t>
                  </w:r>
                </w:p>
              </w:tc>
              <w:tc>
                <w:tcPr>
                  <w:tcW w:w="932" w:type="pct"/>
                  <w:noWrap w:val="0"/>
                  <w:vAlign w:val="center"/>
                </w:tcPr>
                <w:p w14:paraId="000E389B">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40</w:t>
                  </w:r>
                </w:p>
              </w:tc>
            </w:tr>
            <w:tr w14:paraId="14C5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EDA78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6CE315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52F1FD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1C985D3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6B05A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4C85EFA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47E14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71CC678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7B6F98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p>
              </w:tc>
              <w:tc>
                <w:tcPr>
                  <w:tcW w:w="646" w:type="pct"/>
                  <w:noWrap w:val="0"/>
                  <w:vAlign w:val="center"/>
                </w:tcPr>
                <w:p w14:paraId="4ACE4FB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BOD</w:t>
                  </w:r>
                  <w:r>
                    <w:rPr>
                      <w:rFonts w:hint="default" w:ascii="Times New Roman" w:hAnsi="Times New Roman" w:cs="Times New Roman"/>
                      <w:b w:val="0"/>
                      <w:bCs w:val="0"/>
                      <w:color w:val="auto"/>
                      <w:kern w:val="2"/>
                      <w:sz w:val="21"/>
                      <w:szCs w:val="21"/>
                      <w:highlight w:val="none"/>
                      <w:vertAlign w:val="subscript"/>
                    </w:rPr>
                    <w:t>5</w:t>
                  </w:r>
                </w:p>
              </w:tc>
              <w:tc>
                <w:tcPr>
                  <w:tcW w:w="932" w:type="pct"/>
                  <w:noWrap w:val="0"/>
                  <w:vAlign w:val="center"/>
                </w:tcPr>
                <w:p w14:paraId="385104BD">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0</w:t>
                  </w:r>
                </w:p>
              </w:tc>
            </w:tr>
            <w:tr w14:paraId="693D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4E0716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tcBorders>
                    <w:bottom w:val="single" w:color="000000" w:sz="4" w:space="0"/>
                  </w:tcBorders>
                  <w:noWrap w:val="0"/>
                  <w:vAlign w:val="center"/>
                </w:tcPr>
                <w:p w14:paraId="297F05A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tcBorders>
                    <w:bottom w:val="single" w:color="000000" w:sz="4" w:space="0"/>
                  </w:tcBorders>
                  <w:noWrap w:val="0"/>
                  <w:vAlign w:val="center"/>
                </w:tcPr>
                <w:p w14:paraId="57ECD5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tcBorders>
                    <w:bottom w:val="single" w:color="000000" w:sz="4" w:space="0"/>
                  </w:tcBorders>
                  <w:noWrap w:val="0"/>
                  <w:vAlign w:val="center"/>
                </w:tcPr>
                <w:p w14:paraId="4DBEAA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tcBorders>
                    <w:bottom w:val="single" w:color="000000" w:sz="4" w:space="0"/>
                  </w:tcBorders>
                  <w:noWrap w:val="0"/>
                  <w:vAlign w:val="center"/>
                </w:tcPr>
                <w:p w14:paraId="2BE3BF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tcBorders>
                    <w:bottom w:val="single" w:color="000000" w:sz="4" w:space="0"/>
                  </w:tcBorders>
                  <w:noWrap w:val="0"/>
                  <w:vAlign w:val="center"/>
                </w:tcPr>
                <w:p w14:paraId="6D69B4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tcBorders>
                    <w:bottom w:val="single" w:color="000000" w:sz="4" w:space="0"/>
                  </w:tcBorders>
                  <w:noWrap w:val="0"/>
                  <w:vAlign w:val="center"/>
                </w:tcPr>
                <w:p w14:paraId="45A7171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tcBorders>
                    <w:bottom w:val="single" w:color="000000" w:sz="4" w:space="0"/>
                  </w:tcBorders>
                  <w:noWrap w:val="0"/>
                  <w:vAlign w:val="center"/>
                </w:tcPr>
                <w:p w14:paraId="2C99E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2B69AD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bottom w:val="single" w:color="000000" w:sz="4" w:space="0"/>
                  </w:tcBorders>
                  <w:noWrap w:val="0"/>
                  <w:vAlign w:val="center"/>
                </w:tcPr>
                <w:p w14:paraId="71578A5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SS</w:t>
                  </w:r>
                </w:p>
              </w:tc>
              <w:tc>
                <w:tcPr>
                  <w:tcW w:w="932" w:type="pct"/>
                  <w:noWrap w:val="0"/>
                  <w:vAlign w:val="center"/>
                </w:tcPr>
                <w:p w14:paraId="11036005">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20</w:t>
                  </w:r>
                </w:p>
              </w:tc>
            </w:tr>
            <w:tr w14:paraId="25AE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123E03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tcBorders>
                    <w:bottom w:val="single" w:color="000000" w:sz="4" w:space="0"/>
                  </w:tcBorders>
                  <w:noWrap w:val="0"/>
                  <w:vAlign w:val="center"/>
                </w:tcPr>
                <w:p w14:paraId="628A51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tcBorders>
                    <w:bottom w:val="single" w:color="000000" w:sz="4" w:space="0"/>
                  </w:tcBorders>
                  <w:noWrap w:val="0"/>
                  <w:vAlign w:val="center"/>
                </w:tcPr>
                <w:p w14:paraId="430A791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tcBorders>
                    <w:bottom w:val="single" w:color="000000" w:sz="4" w:space="0"/>
                  </w:tcBorders>
                  <w:noWrap w:val="0"/>
                  <w:vAlign w:val="center"/>
                </w:tcPr>
                <w:p w14:paraId="1AA76DA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tcBorders>
                    <w:bottom w:val="single" w:color="000000" w:sz="4" w:space="0"/>
                  </w:tcBorders>
                  <w:noWrap w:val="0"/>
                  <w:vAlign w:val="center"/>
                </w:tcPr>
                <w:p w14:paraId="4644F46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tcBorders>
                    <w:bottom w:val="single" w:color="000000" w:sz="4" w:space="0"/>
                  </w:tcBorders>
                  <w:noWrap w:val="0"/>
                  <w:vAlign w:val="center"/>
                </w:tcPr>
                <w:p w14:paraId="49D59F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tcBorders>
                    <w:bottom w:val="single" w:color="000000" w:sz="4" w:space="0"/>
                  </w:tcBorders>
                  <w:noWrap w:val="0"/>
                  <w:vAlign w:val="center"/>
                </w:tcPr>
                <w:p w14:paraId="6A90EC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tcBorders>
                    <w:bottom w:val="single" w:color="000000" w:sz="4" w:space="0"/>
                  </w:tcBorders>
                  <w:noWrap w:val="0"/>
                  <w:vAlign w:val="center"/>
                </w:tcPr>
                <w:p w14:paraId="24A203B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79FEBFC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bottom w:val="single" w:color="000000" w:sz="4" w:space="0"/>
                  </w:tcBorders>
                  <w:noWrap w:val="0"/>
                  <w:vAlign w:val="center"/>
                </w:tcPr>
                <w:p w14:paraId="4990CDF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氨氮</w:t>
                  </w:r>
                </w:p>
              </w:tc>
              <w:tc>
                <w:tcPr>
                  <w:tcW w:w="932" w:type="pct"/>
                  <w:noWrap w:val="0"/>
                  <w:vAlign w:val="center"/>
                </w:tcPr>
                <w:p w14:paraId="71B65C51">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8</w:t>
                  </w:r>
                </w:p>
              </w:tc>
            </w:tr>
            <w:tr w14:paraId="33C4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tcBorders>
                    <w:top w:val="single" w:color="000000" w:sz="4" w:space="0"/>
                  </w:tcBorders>
                  <w:noWrap w:val="0"/>
                  <w:vAlign w:val="center"/>
                </w:tcPr>
                <w:p w14:paraId="74C10B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cs="Times New Roman"/>
                      <w:color w:val="auto"/>
                      <w:kern w:val="2"/>
                      <w:sz w:val="21"/>
                      <w:szCs w:val="21"/>
                      <w:highlight w:val="none"/>
                    </w:rPr>
                    <w:t>DW0</w:t>
                  </w:r>
                  <w:r>
                    <w:rPr>
                      <w:rFonts w:hint="default" w:ascii="Times New Roman" w:hAnsi="Times New Roman" w:cs="Times New Roman"/>
                      <w:color w:val="auto"/>
                      <w:kern w:val="2"/>
                      <w:sz w:val="21"/>
                      <w:szCs w:val="21"/>
                      <w:highlight w:val="none"/>
                      <w:lang w:val="en-US" w:eastAsia="zh-CN"/>
                    </w:rPr>
                    <w:t>02</w:t>
                  </w:r>
                </w:p>
              </w:tc>
              <w:tc>
                <w:tcPr>
                  <w:tcW w:w="330" w:type="pct"/>
                  <w:vMerge w:val="restart"/>
                  <w:tcBorders>
                    <w:top w:val="single" w:color="000000" w:sz="4" w:space="0"/>
                  </w:tcBorders>
                  <w:noWrap w:val="0"/>
                  <w:vAlign w:val="center"/>
                </w:tcPr>
                <w:p w14:paraId="56A8BB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外排</w:t>
                  </w:r>
                  <w:r>
                    <w:rPr>
                      <w:rFonts w:hint="default" w:ascii="Times New Roman" w:hAnsi="Times New Roman" w:cs="Times New Roman"/>
                      <w:color w:val="auto"/>
                      <w:kern w:val="2"/>
                      <w:sz w:val="21"/>
                      <w:szCs w:val="21"/>
                      <w:highlight w:val="none"/>
                      <w:lang w:val="en-US" w:eastAsia="zh-CN"/>
                    </w:rPr>
                    <w:t>生产废水</w:t>
                  </w:r>
                  <w:r>
                    <w:rPr>
                      <w:rFonts w:hint="default" w:ascii="Times New Roman" w:hAnsi="Times New Roman" w:cs="Times New Roman"/>
                      <w:color w:val="auto"/>
                      <w:kern w:val="2"/>
                      <w:sz w:val="21"/>
                      <w:szCs w:val="21"/>
                      <w:highlight w:val="none"/>
                    </w:rPr>
                    <w:t>排放口</w:t>
                  </w:r>
                </w:p>
              </w:tc>
              <w:tc>
                <w:tcPr>
                  <w:tcW w:w="392" w:type="pct"/>
                  <w:vMerge w:val="restart"/>
                  <w:tcBorders>
                    <w:top w:val="single" w:color="000000" w:sz="4" w:space="0"/>
                  </w:tcBorders>
                  <w:noWrap w:val="0"/>
                  <w:vAlign w:val="center"/>
                </w:tcPr>
                <w:p w14:paraId="6CF824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113°24′26.288″</w:t>
                  </w:r>
                </w:p>
              </w:tc>
              <w:tc>
                <w:tcPr>
                  <w:tcW w:w="354" w:type="pct"/>
                  <w:vMerge w:val="restart"/>
                  <w:tcBorders>
                    <w:top w:val="single" w:color="000000" w:sz="4" w:space="0"/>
                  </w:tcBorders>
                  <w:noWrap w:val="0"/>
                  <w:vAlign w:val="center"/>
                </w:tcPr>
                <w:p w14:paraId="705601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25°9′21.04</w:t>
                  </w:r>
                  <w:r>
                    <w:rPr>
                      <w:rFonts w:hint="eastAsia" w:ascii="Times New Roman" w:hAnsi="Times New Roman" w:eastAsia="宋体" w:cs="Times New Roman"/>
                      <w:color w:val="auto"/>
                      <w:kern w:val="2"/>
                      <w:sz w:val="21"/>
                      <w:szCs w:val="21"/>
                      <w:highlight w:val="none"/>
                      <w:lang w:val="en-US" w:eastAsia="zh-CN" w:bidi="ar-SA"/>
                    </w:rPr>
                    <w:t>8</w:t>
                  </w:r>
                  <w:r>
                    <w:rPr>
                      <w:rFonts w:hint="default" w:ascii="Times New Roman" w:hAnsi="Times New Roman" w:eastAsia="宋体" w:cs="Times New Roman"/>
                      <w:color w:val="auto"/>
                      <w:kern w:val="2"/>
                      <w:sz w:val="21"/>
                      <w:szCs w:val="21"/>
                      <w:highlight w:val="none"/>
                      <w:lang w:val="en-US" w:eastAsia="zh-CN" w:bidi="ar-SA"/>
                    </w:rPr>
                    <w:t>″</w:t>
                  </w:r>
                </w:p>
              </w:tc>
              <w:tc>
                <w:tcPr>
                  <w:tcW w:w="359" w:type="pct"/>
                  <w:vMerge w:val="restart"/>
                  <w:tcBorders>
                    <w:top w:val="single" w:color="000000" w:sz="4" w:space="0"/>
                  </w:tcBorders>
                  <w:noWrap w:val="0"/>
                  <w:vAlign w:val="center"/>
                </w:tcPr>
                <w:p w14:paraId="32512F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rPr>
                  </w:pPr>
                  <w:r>
                    <w:rPr>
                      <w:rFonts w:hint="eastAsia" w:ascii="Times New Roman" w:hAnsi="Times New Roman" w:cs="Times New Roman"/>
                      <w:i w:val="0"/>
                      <w:iCs w:val="0"/>
                      <w:color w:val="auto"/>
                      <w:kern w:val="2"/>
                      <w:sz w:val="21"/>
                      <w:szCs w:val="21"/>
                      <w:highlight w:val="none"/>
                      <w:u w:val="none"/>
                      <w:lang w:val="en-US" w:eastAsia="zh-CN" w:bidi="ar-SA"/>
                    </w:rPr>
                    <w:t>1.10512</w:t>
                  </w:r>
                </w:p>
              </w:tc>
              <w:tc>
                <w:tcPr>
                  <w:tcW w:w="442" w:type="pct"/>
                  <w:vMerge w:val="restart"/>
                  <w:tcBorders>
                    <w:top w:val="single" w:color="000000" w:sz="4" w:space="0"/>
                  </w:tcBorders>
                  <w:noWrap w:val="0"/>
                  <w:vAlign w:val="center"/>
                </w:tcPr>
                <w:p w14:paraId="47DAFD2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集中式工业污水处理厂</w:t>
                  </w:r>
                </w:p>
              </w:tc>
              <w:tc>
                <w:tcPr>
                  <w:tcW w:w="603" w:type="pct"/>
                  <w:vMerge w:val="restart"/>
                  <w:tcBorders>
                    <w:top w:val="single" w:color="000000" w:sz="4" w:space="0"/>
                  </w:tcBorders>
                  <w:noWrap w:val="0"/>
                  <w:vAlign w:val="center"/>
                </w:tcPr>
                <w:p w14:paraId="58E56C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336" w:type="pct"/>
                  <w:vMerge w:val="restart"/>
                  <w:tcBorders>
                    <w:top w:val="single" w:color="000000" w:sz="4" w:space="0"/>
                  </w:tcBorders>
                  <w:noWrap w:val="0"/>
                  <w:vAlign w:val="center"/>
                </w:tcPr>
                <w:p w14:paraId="0AF368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一般排放口</w:t>
                  </w:r>
                </w:p>
              </w:tc>
              <w:tc>
                <w:tcPr>
                  <w:tcW w:w="298" w:type="pct"/>
                  <w:vMerge w:val="continue"/>
                  <w:noWrap w:val="0"/>
                  <w:vAlign w:val="center"/>
                </w:tcPr>
                <w:p w14:paraId="0BEFB5C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top w:val="single" w:color="000000" w:sz="4" w:space="0"/>
                  </w:tcBorders>
                  <w:noWrap w:val="0"/>
                  <w:vAlign w:val="center"/>
                </w:tcPr>
                <w:p w14:paraId="3439AC0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rPr>
                    <w:t>总磷</w:t>
                  </w:r>
                </w:p>
              </w:tc>
              <w:tc>
                <w:tcPr>
                  <w:tcW w:w="932" w:type="pct"/>
                  <w:noWrap w:val="0"/>
                  <w:vAlign w:val="center"/>
                </w:tcPr>
                <w:p w14:paraId="6EC04236">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0.5</w:t>
                  </w:r>
                </w:p>
              </w:tc>
            </w:tr>
            <w:tr w14:paraId="3F00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97456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6FA787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1C02453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27C97E2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01CC59B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49526D2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114DBE2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1891217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35FC86C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0C31594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动植物油</w:t>
                  </w:r>
                </w:p>
              </w:tc>
              <w:tc>
                <w:tcPr>
                  <w:tcW w:w="932" w:type="pct"/>
                  <w:noWrap w:val="0"/>
                  <w:vAlign w:val="center"/>
                </w:tcPr>
                <w:p w14:paraId="58E811CF">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w:t>
                  </w:r>
                </w:p>
              </w:tc>
            </w:tr>
            <w:tr w14:paraId="7A9A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6A58E06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34A4613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4CB1A42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11D1A8A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1ABAAA6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2B2B93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576A0E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6BF16BE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4D0613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43672BF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阴离子表面活性剂</w:t>
                  </w:r>
                </w:p>
              </w:tc>
              <w:tc>
                <w:tcPr>
                  <w:tcW w:w="932" w:type="pct"/>
                  <w:noWrap w:val="0"/>
                  <w:vAlign w:val="center"/>
                </w:tcPr>
                <w:p w14:paraId="24B1E8D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1.0</w:t>
                  </w:r>
                </w:p>
              </w:tc>
            </w:tr>
            <w:tr w14:paraId="53E8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497BECA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70B6ED0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6124325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6A247C0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0EECAE9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0CE3BD6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05F32C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30F4A1E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3E74D3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312600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石油类</w:t>
                  </w:r>
                </w:p>
              </w:tc>
              <w:tc>
                <w:tcPr>
                  <w:tcW w:w="932" w:type="pct"/>
                  <w:noWrap w:val="0"/>
                  <w:vAlign w:val="center"/>
                </w:tcPr>
                <w:p w14:paraId="0BB4657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3</w:t>
                  </w:r>
                </w:p>
              </w:tc>
            </w:tr>
          </w:tbl>
          <w:p w14:paraId="43A85914">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793C2F5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2.4</w:t>
            </w:r>
            <w:r>
              <w:rPr>
                <w:rFonts w:hint="default" w:ascii="Times New Roman" w:hAnsi="Times New Roman" w:cs="Times New Roman"/>
                <w:b/>
                <w:bCs/>
                <w:color w:val="auto"/>
                <w:sz w:val="24"/>
                <w:szCs w:val="24"/>
                <w:highlight w:val="none"/>
              </w:rPr>
              <w:t>达标情况分析</w:t>
            </w:r>
          </w:p>
          <w:p w14:paraId="42E4BDA7">
            <w:pPr>
              <w:pStyle w:val="2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（1）可行性技术分析</w:t>
            </w:r>
          </w:p>
          <w:p w14:paraId="37405352">
            <w:pPr>
              <w:pStyle w:val="25"/>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参考《排污许可证申请与核发技术规范铁路、船舶、航空航天和其他运输设备制造业》（HJ 1124—2020）中表A.7表面处理（涂装）排污单位废水污染防治推荐可行技术</w:t>
            </w:r>
            <w:r>
              <w:rPr>
                <w:rFonts w:hint="eastAsia" w:cs="Times New Roman"/>
                <w:color w:val="auto"/>
                <w:sz w:val="24"/>
                <w:szCs w:val="24"/>
                <w:highlight w:val="none"/>
                <w:lang w:eastAsia="zh-CN"/>
              </w:rPr>
              <w:t>、</w:t>
            </w:r>
            <w:r>
              <w:rPr>
                <w:rFonts w:hint="eastAsia" w:cs="Times New Roman"/>
                <w:b w:val="0"/>
                <w:bCs w:val="0"/>
                <w:i w:val="0"/>
                <w:iCs w:val="0"/>
                <w:color w:val="auto"/>
                <w:kern w:val="0"/>
                <w:sz w:val="24"/>
                <w:szCs w:val="24"/>
                <w:highlight w:val="none"/>
                <w:u w:val="none"/>
                <w:lang w:val="en-US" w:eastAsia="zh-CN" w:bidi="ar"/>
              </w:rPr>
              <w:t>《排污许可证申请与核发技术规范 电镀工业》（HJ855—2017）、《电镀污染防治可行技术指南 》（HJ 1306—2023）</w:t>
            </w:r>
            <w:r>
              <w:rPr>
                <w:rFonts w:hint="default" w:ascii="Times New Roman" w:hAnsi="Times New Roman" w:cs="Times New Roman"/>
                <w:color w:val="auto"/>
                <w:sz w:val="24"/>
                <w:szCs w:val="24"/>
                <w:highlight w:val="none"/>
              </w:rPr>
              <w:t>可知，本项目</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生产废水采用“</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处理和</w:t>
            </w:r>
            <w:r>
              <w:rPr>
                <w:rFonts w:hint="default" w:ascii="Times New Roman" w:hAnsi="Times New Roman" w:cs="Times New Roman"/>
                <w:color w:val="auto"/>
                <w:sz w:val="24"/>
                <w:szCs w:val="24"/>
                <w:highlight w:val="none"/>
              </w:rPr>
              <w:t>生活污水采用三级化粪池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所用技术均</w:t>
            </w:r>
            <w:r>
              <w:rPr>
                <w:rFonts w:hint="default" w:ascii="Times New Roman" w:hAnsi="Times New Roman" w:cs="Times New Roman"/>
                <w:color w:val="auto"/>
                <w:sz w:val="24"/>
                <w:szCs w:val="24"/>
                <w:highlight w:val="none"/>
              </w:rPr>
              <w:t>属于可行技术。因此，项目废水处理措施可行。</w:t>
            </w:r>
          </w:p>
          <w:p w14:paraId="0D6132F6">
            <w:pPr>
              <w:pStyle w:val="2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（2）水污染物控制和水环境影响减缓措施有效性评价</w:t>
            </w:r>
          </w:p>
          <w:p w14:paraId="5E88A937">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本项目位于广东省韶关市乐昌市乐昌产业转移工业园内，属于园区污水处理</w:t>
            </w:r>
            <w:r>
              <w:rPr>
                <w:rFonts w:hint="default" w:ascii="Times New Roman" w:hAnsi="Times New Roman" w:cs="Times New Roman"/>
                <w:color w:val="auto"/>
                <w:sz w:val="24"/>
                <w:szCs w:val="24"/>
                <w:highlight w:val="none"/>
                <w:lang w:val="en-US" w:eastAsia="zh-CN"/>
              </w:rPr>
              <w:t>厂纳污</w:t>
            </w:r>
            <w:r>
              <w:rPr>
                <w:rFonts w:hint="default" w:ascii="Times New Roman" w:hAnsi="Times New Roman" w:cs="Times New Roman"/>
                <w:color w:val="auto"/>
                <w:sz w:val="24"/>
                <w:szCs w:val="24"/>
                <w:highlight w:val="none"/>
              </w:rPr>
              <w:t>范围</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园区污水处理厂纳污管网图见附图15</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。项目生活污水经三级化粪池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预处理、</w:t>
            </w:r>
            <w:r>
              <w:rPr>
                <w:rFonts w:hint="eastAsia" w:cs="Times New Roman"/>
                <w:color w:val="auto"/>
                <w:sz w:val="24"/>
                <w:szCs w:val="24"/>
                <w:highlight w:val="none"/>
                <w:lang w:val="en-US" w:eastAsia="zh-CN"/>
              </w:rPr>
              <w:t>外排生产</w:t>
            </w:r>
            <w:r>
              <w:rPr>
                <w:rFonts w:hint="eastAsia" w:cs="Times New Roman"/>
                <w:color w:val="auto"/>
                <w:sz w:val="24"/>
                <w:szCs w:val="24"/>
                <w:highlight w:val="none"/>
                <w:lang w:eastAsia="zh-CN"/>
              </w:rPr>
              <w:t>废水经自建</w:t>
            </w:r>
            <w:r>
              <w:rPr>
                <w:rFonts w:hint="default" w:ascii="Times New Roman" w:hAnsi="Times New Roman" w:cs="Times New Roman"/>
                <w:color w:val="auto"/>
                <w:sz w:val="24"/>
                <w:szCs w:val="24"/>
                <w:highlight w:val="none"/>
              </w:rPr>
              <w:t>废水处理设施处理后，进入园区污水处理厂深度处理，处理后的尾水排入武江（乐昌城-犁市河段）。</w:t>
            </w:r>
          </w:p>
          <w:p w14:paraId="60228C84">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自建废水处理设施设计处理能力为</w:t>
            </w:r>
            <w:r>
              <w:rPr>
                <w:rFonts w:hint="eastAsia" w:cs="Times New Roman"/>
                <w:color w:val="auto"/>
                <w:sz w:val="24"/>
                <w:szCs w:val="24"/>
                <w:highlight w:val="none"/>
                <w:lang w:val="en-US" w:eastAsia="zh-CN"/>
              </w:rPr>
              <w:t>50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为避免预、主脱脂池槽液更换期间，更换废水一并进入自建污水处理站造成水质冲击，本项目处理池及污水排放管网设置有阀门，自建污水处理站设置流量调节装置，可将槽液更换期间产生的废水分批次纳入调节池中，另建设单位应加强废水管理，避免所有处理池排放废水在同一天排入自建污水处理站中，废水处理设计处理能力为</w:t>
            </w:r>
            <w:r>
              <w:rPr>
                <w:rFonts w:hint="eastAsia" w:cs="Times New Roman"/>
                <w:color w:val="auto"/>
                <w:sz w:val="24"/>
                <w:szCs w:val="24"/>
                <w:highlight w:val="none"/>
                <w:lang w:val="en-US" w:eastAsia="zh-CN"/>
              </w:rPr>
              <w:t>50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/d，</w:t>
            </w:r>
            <w:r>
              <w:rPr>
                <w:rFonts w:hint="default" w:ascii="Times New Roman" w:hAnsi="Times New Roman" w:cs="Times New Roman"/>
                <w:color w:val="auto"/>
                <w:sz w:val="24"/>
                <w:szCs w:val="24"/>
                <w:highlight w:val="none"/>
              </w:rPr>
              <w:t>满足本项目所需处理的废水量</w:t>
            </w:r>
            <w:r>
              <w:rPr>
                <w:rFonts w:hint="eastAsia" w:cs="Times New Roman"/>
                <w:color w:val="auto"/>
                <w:sz w:val="24"/>
                <w:szCs w:val="24"/>
                <w:highlight w:val="none"/>
                <w:lang w:val="en-US" w:eastAsia="zh-CN"/>
              </w:rPr>
              <w:t>41.54</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/d</w:t>
            </w:r>
            <w:r>
              <w:rPr>
                <w:rFonts w:hint="default" w:ascii="Times New Roman" w:hAnsi="Times New Roman" w:cs="Times New Roman"/>
                <w:color w:val="auto"/>
                <w:sz w:val="24"/>
                <w:szCs w:val="24"/>
                <w:highlight w:val="none"/>
              </w:rPr>
              <w:t>。</w:t>
            </w:r>
          </w:p>
          <w:p w14:paraId="6D08FAD0">
            <w:pPr>
              <w:pStyle w:val="2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vertAlign w:val="baseline"/>
                <w:lang w:val="en-US" w:eastAsia="zh-CN"/>
              </w:rPr>
            </w:pPr>
            <w:r>
              <w:rPr>
                <w:rFonts w:hint="eastAsia"/>
                <w:color w:val="auto"/>
                <w:sz w:val="24"/>
                <w:szCs w:val="24"/>
                <w:lang w:val="en-US" w:eastAsia="zh-CN"/>
              </w:rPr>
              <w:t>根据废水产生情况，槽液更换量最大为11.2m</w:t>
            </w:r>
            <w:r>
              <w:rPr>
                <w:rFonts w:hint="eastAsia"/>
                <w:color w:val="auto"/>
                <w:sz w:val="24"/>
                <w:szCs w:val="24"/>
                <w:vertAlign w:val="superscript"/>
                <w:lang w:val="en-US" w:eastAsia="zh-CN"/>
              </w:rPr>
              <w:t>3</w:t>
            </w:r>
            <w:r>
              <w:rPr>
                <w:rFonts w:hint="eastAsia"/>
                <w:color w:val="auto"/>
                <w:sz w:val="24"/>
                <w:szCs w:val="24"/>
                <w:lang w:val="en-US" w:eastAsia="zh-CN"/>
              </w:rPr>
              <w:t>，每次更换一个槽池，假设更换槽液时其他池子正常作业（即溢流废水正常产生），则单日最大废水产生量为11.2+10010.08÷241=52.74t/d，项目废水处理站设置调节池容积为55m</w:t>
            </w:r>
            <w:r>
              <w:rPr>
                <w:rFonts w:hint="eastAsia"/>
                <w:color w:val="auto"/>
                <w:sz w:val="24"/>
                <w:szCs w:val="24"/>
                <w:vertAlign w:val="superscript"/>
                <w:lang w:val="en-US" w:eastAsia="zh-CN"/>
              </w:rPr>
              <w:t>3</w:t>
            </w:r>
            <w:r>
              <w:rPr>
                <w:rFonts w:hint="eastAsia"/>
                <w:color w:val="auto"/>
                <w:sz w:val="24"/>
                <w:szCs w:val="24"/>
                <w:vertAlign w:val="baseline"/>
                <w:lang w:val="en-US" w:eastAsia="zh-CN"/>
              </w:rPr>
              <w:t>，大于单日最大废水产生量，调节池容积足以缓冲水量冲击负荷。</w:t>
            </w:r>
          </w:p>
          <w:p w14:paraId="48501CBE">
            <w:pPr>
              <w:pStyle w:val="27"/>
              <w:keepNext w:val="0"/>
              <w:keepLines w:val="0"/>
              <w:suppressLineNumbers w:val="0"/>
              <w:spacing w:before="0" w:beforeAutospacing="0" w:after="0" w:afterAutospacing="0" w:line="360" w:lineRule="auto"/>
              <w:ind w:left="0" w:right="0" w:firstLine="482"/>
              <w:rPr>
                <w:rFonts w:hint="default" w:ascii="Times New Roman" w:hAnsi="Times New Roman" w:cs="Times New Roman"/>
                <w:color w:val="auto"/>
                <w:kern w:val="0"/>
                <w:sz w:val="24"/>
                <w:szCs w:val="24"/>
                <w:highlight w:val="none"/>
                <w:lang w:bidi="ar"/>
              </w:rPr>
            </w:pPr>
            <w:r>
              <w:rPr>
                <w:rFonts w:hint="default" w:ascii="Times New Roman" w:hAnsi="Times New Roman" w:cs="Times New Roman"/>
                <w:color w:val="auto"/>
                <w:kern w:val="0"/>
                <w:sz w:val="24"/>
                <w:szCs w:val="24"/>
                <w:highlight w:val="none"/>
                <w:lang w:bidi="ar"/>
              </w:rPr>
              <w:t>园区污水处理厂出水水质执行《城镇污水处理厂污染物排放标准》（GB18918-2002）中</w:t>
            </w:r>
            <w:r>
              <w:rPr>
                <w:rFonts w:hint="eastAsia" w:cs="Times New Roman"/>
                <w:color w:val="auto"/>
                <w:kern w:val="0"/>
                <w:sz w:val="24"/>
                <w:szCs w:val="24"/>
                <w:highlight w:val="none"/>
                <w:lang w:eastAsia="zh-CN" w:bidi="ar"/>
              </w:rPr>
              <w:t>及其修改单一级 A 标准</w:t>
            </w:r>
            <w:r>
              <w:rPr>
                <w:rFonts w:hint="default" w:ascii="Times New Roman" w:hAnsi="Times New Roman" w:cs="Times New Roman"/>
                <w:color w:val="auto"/>
                <w:kern w:val="0"/>
                <w:sz w:val="24"/>
                <w:szCs w:val="24"/>
                <w:highlight w:val="none"/>
                <w:lang w:bidi="ar"/>
              </w:rPr>
              <w:t>和广东省《水污染物排放限值》（DB44/26-2001）中的第二时段一级排放标准较严者，对周围环境影响较小。</w:t>
            </w:r>
          </w:p>
          <w:p w14:paraId="1C4456F3">
            <w:pPr>
              <w:pStyle w:val="27"/>
              <w:keepNext w:val="0"/>
              <w:keepLines w:val="0"/>
              <w:suppressLineNumbers w:val="0"/>
              <w:spacing w:before="0" w:beforeAutospacing="0" w:after="0" w:afterAutospacing="0" w:line="360" w:lineRule="auto"/>
              <w:ind w:left="0" w:right="0" w:firstLine="482"/>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（3）依托污水设施的环境可行性评价</w:t>
            </w:r>
          </w:p>
          <w:p w14:paraId="2E1A95DD">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产业园范围内已有乐昌产业转移工业园污水处理厂，</w:t>
            </w:r>
            <w:r>
              <w:rPr>
                <w:rFonts w:hint="default" w:ascii="Times New Roman" w:hAnsi="Times New Roman" w:cs="Times New Roman"/>
                <w:color w:val="auto"/>
                <w:sz w:val="24"/>
                <w:szCs w:val="24"/>
                <w:highlight w:val="none"/>
                <w:lang w:val="en-US" w:eastAsia="zh-CN"/>
              </w:rPr>
              <w:t>且本项目所在地块已纳入现状排污管收集范围内。</w:t>
            </w:r>
            <w:r>
              <w:rPr>
                <w:rFonts w:hint="default" w:ascii="Times New Roman" w:hAnsi="Times New Roman" w:cs="Times New Roman"/>
                <w:color w:val="auto"/>
                <w:sz w:val="24"/>
                <w:szCs w:val="24"/>
                <w:highlight w:val="none"/>
              </w:rPr>
              <w:t>污水工艺采用循环式活性污泥法（CASS）工艺。出水水质标准执行广东省地方标准《水污染物排放限值》</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DB44/26-2001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第二时段一级标准及国家《城镇污水处理厂污染物排放标准》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GB18918-2002</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及其修改单一级 A 标准</w:t>
            </w:r>
            <w:r>
              <w:rPr>
                <w:rFonts w:hint="default" w:ascii="Times New Roman" w:hAnsi="Times New Roman" w:cs="Times New Roman"/>
                <w:color w:val="auto"/>
                <w:sz w:val="24"/>
                <w:szCs w:val="24"/>
                <w:highlight w:val="none"/>
              </w:rPr>
              <w:t>中较严标准，处理达标后由污水处理厂内提升泵通过已建成6392米长的出水管道输送至武江排放。</w:t>
            </w:r>
          </w:p>
          <w:p w14:paraId="51602D7E">
            <w:pPr>
              <w:pStyle w:val="2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园区污水处理厂主体工艺</w:t>
            </w:r>
            <w:r>
              <w:rPr>
                <w:rFonts w:hint="default" w:ascii="Times New Roman" w:hAnsi="Times New Roman" w:cs="Times New Roman"/>
                <w:color w:val="auto"/>
                <w:sz w:val="24"/>
                <w:szCs w:val="24"/>
                <w:highlight w:val="none"/>
                <w:lang w:eastAsia="zh-CN"/>
              </w:rPr>
              <w:t>采用</w:t>
            </w:r>
            <w:r>
              <w:rPr>
                <w:rFonts w:hint="default" w:ascii="Times New Roman" w:hAnsi="Times New Roman" w:cs="Times New Roman"/>
                <w:color w:val="auto"/>
                <w:sz w:val="24"/>
                <w:szCs w:val="24"/>
                <w:highlight w:val="none"/>
              </w:rPr>
              <w:t>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w:t>
            </w:r>
            <w:r>
              <w:rPr>
                <w:rFonts w:hint="default" w:ascii="Times New Roman" w:hAnsi="Times New Roman" w:cs="Times New Roman"/>
                <w:color w:val="auto"/>
                <w:sz w:val="24"/>
                <w:szCs w:val="24"/>
                <w:highlight w:val="none"/>
                <w:vertAlign w:val="superscript"/>
              </w:rPr>
              <w:t>-</w:t>
            </w:r>
            <w:r>
              <w:rPr>
                <w:rFonts w:hint="default" w:ascii="Times New Roman" w:hAnsi="Times New Roman" w:cs="Times New Roman"/>
                <w:color w:val="auto"/>
                <w:sz w:val="24"/>
                <w:szCs w:val="24"/>
                <w:highlight w:val="none"/>
              </w:rPr>
              <w:t>后，预处理达到广东省《水污染</w:t>
            </w:r>
            <w:r>
              <w:rPr>
                <w:rFonts w:hint="default" w:ascii="Times New Roman" w:hAnsi="Times New Roman" w:cs="Times New Roman"/>
                <w:color w:val="auto"/>
                <w:sz w:val="24"/>
                <w:szCs w:val="24"/>
                <w:highlight w:val="none"/>
                <w:lang w:val="en-US" w:eastAsia="zh-CN"/>
              </w:rPr>
              <w:t>物</w:t>
            </w:r>
            <w:r>
              <w:rPr>
                <w:rFonts w:hint="default" w:ascii="Times New Roman" w:hAnsi="Times New Roman" w:cs="Times New Roman"/>
                <w:color w:val="auto"/>
                <w:sz w:val="24"/>
                <w:szCs w:val="24"/>
                <w:highlight w:val="none"/>
              </w:rPr>
              <w:t>排放限值》</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DB44/26-2001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第二时段三级标准</w:t>
            </w:r>
            <w:r>
              <w:rPr>
                <w:rFonts w:hint="default" w:ascii="Times New Roman" w:hAnsi="Times New Roman" w:cs="Times New Roman"/>
                <w:color w:val="auto"/>
                <w:sz w:val="24"/>
                <w:szCs w:val="24"/>
                <w:highlight w:val="none"/>
                <w:lang w:eastAsia="zh-CN"/>
              </w:rPr>
              <w:t>。</w:t>
            </w:r>
          </w:p>
          <w:p w14:paraId="461B6246">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产业园污水处理厂目前已建成正常运行，并安装了在线监控设施并</w:t>
            </w:r>
            <w:r>
              <w:rPr>
                <w:rFonts w:hint="default" w:ascii="Times New Roman" w:hAnsi="Times New Roman" w:cs="Times New Roman"/>
                <w:color w:val="auto"/>
                <w:sz w:val="24"/>
                <w:szCs w:val="24"/>
                <w:highlight w:val="none"/>
                <w:lang w:eastAsia="zh-CN"/>
              </w:rPr>
              <w:t>与</w:t>
            </w:r>
            <w:r>
              <w:rPr>
                <w:rFonts w:hint="eastAsia" w:cs="Times New Roman"/>
                <w:color w:val="auto"/>
                <w:sz w:val="24"/>
                <w:szCs w:val="24"/>
                <w:highlight w:val="none"/>
                <w:lang w:eastAsia="zh-CN"/>
              </w:rPr>
              <w:t>生态环境主管部门</w:t>
            </w:r>
            <w:r>
              <w:rPr>
                <w:rFonts w:hint="default" w:ascii="Times New Roman" w:hAnsi="Times New Roman" w:cs="Times New Roman"/>
                <w:color w:val="auto"/>
                <w:sz w:val="24"/>
                <w:szCs w:val="24"/>
                <w:highlight w:val="none"/>
              </w:rPr>
              <w:t>联网，园区污水处理厂占地面积15400m²，设计处理能力为10000m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/d，分两期建设，一期处理能力5000m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/d，二期处理能力5000m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/d，现状首期5000m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/d已经建成运行。</w:t>
            </w:r>
          </w:p>
          <w:p w14:paraId="6D88BEF2">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根据乐昌产业转移工业园管委会提供的资料显示：2025年1月至6月期间，乐昌市产业转移工业园污水处理厂接纳污水总量为404312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最大接纳污水量为6月</w:t>
            </w:r>
            <w:r>
              <w:rPr>
                <w:rFonts w:hint="default" w:ascii="Times New Roman" w:hAnsi="Times New Roman" w:cs="Times New Roman"/>
                <w:color w:val="auto"/>
                <w:sz w:val="24"/>
                <w:szCs w:val="24"/>
                <w:highlight w:val="none"/>
                <w:lang w:val="en-US" w:eastAsia="zh-CN"/>
              </w:rPr>
              <w:t>110739</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最小接纳污水量为1月</w:t>
            </w:r>
            <w:r>
              <w:rPr>
                <w:rFonts w:hint="default" w:ascii="Times New Roman" w:hAnsi="Times New Roman" w:cs="Times New Roman"/>
                <w:color w:val="auto"/>
                <w:sz w:val="24"/>
                <w:szCs w:val="24"/>
                <w:highlight w:val="none"/>
                <w:lang w:val="en-US" w:eastAsia="zh-CN"/>
              </w:rPr>
              <w:t>32168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平均每月接纳污水总量为80862.4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val="en-US" w:eastAsia="zh-CN"/>
              </w:rPr>
              <w:t>，按每月30日折算</w:t>
            </w:r>
            <w:r>
              <w:rPr>
                <w:rFonts w:hint="default" w:ascii="Times New Roman" w:hAnsi="Times New Roman" w:cs="Times New Roman"/>
                <w:color w:val="auto"/>
                <w:kern w:val="0"/>
                <w:sz w:val="24"/>
                <w:szCs w:val="24"/>
                <w:highlight w:val="none"/>
                <w:lang w:val="en-US" w:eastAsia="zh-CN" w:bidi="ar"/>
              </w:rPr>
              <w:t>日处理量约为2695.4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/d，则剩余接纳污水能力为</w:t>
            </w:r>
            <w:r>
              <w:rPr>
                <w:rFonts w:hint="default" w:ascii="Times New Roman" w:hAnsi="Times New Roman" w:cs="Times New Roman"/>
                <w:color w:val="auto"/>
                <w:sz w:val="24"/>
                <w:szCs w:val="24"/>
                <w:highlight w:val="none"/>
              </w:rPr>
              <w:t>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bidi="ar"/>
              </w:rPr>
              <w:t>2695.4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/d=2304.6</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w:t>
            </w:r>
          </w:p>
          <w:p w14:paraId="1F7EBDB1">
            <w:pPr>
              <w:pStyle w:val="24"/>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本项目</w:t>
            </w:r>
            <w:r>
              <w:rPr>
                <w:rFonts w:hint="eastAsia" w:cs="Times New Roman"/>
                <w:color w:val="auto"/>
                <w:sz w:val="24"/>
                <w:szCs w:val="24"/>
                <w:highlight w:val="none"/>
                <w:lang w:val="en-US" w:eastAsia="zh-CN"/>
              </w:rPr>
              <w:t>全厂</w:t>
            </w:r>
            <w:r>
              <w:rPr>
                <w:rFonts w:hint="default" w:ascii="Times New Roman" w:hAnsi="Times New Roman" w:cs="Times New Roman"/>
                <w:color w:val="auto"/>
                <w:sz w:val="24"/>
                <w:szCs w:val="24"/>
                <w:highlight w:val="none"/>
              </w:rPr>
              <w:t>纳入污水处理厂的污水排放量为</w:t>
            </w:r>
            <w:r>
              <w:rPr>
                <w:rFonts w:hint="eastAsia" w:cs="Times New Roman"/>
                <w:color w:val="auto"/>
                <w:sz w:val="24"/>
                <w:szCs w:val="24"/>
                <w:highlight w:val="none"/>
                <w:lang w:val="en-US" w:eastAsia="zh-CN"/>
              </w:rPr>
              <w:t>50.12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约</w:t>
            </w:r>
            <w:r>
              <w:rPr>
                <w:rFonts w:hint="default" w:ascii="Times New Roman" w:hAnsi="Times New Roman" w:cs="Times New Roman"/>
                <w:color w:val="auto"/>
                <w:sz w:val="24"/>
                <w:szCs w:val="24"/>
                <w:highlight w:val="none"/>
                <w:lang w:eastAsia="zh-CN"/>
              </w:rPr>
              <w:t>占剩余处理能力的</w:t>
            </w:r>
            <w:r>
              <w:rPr>
                <w:rFonts w:hint="eastAsia" w:cs="Times New Roman"/>
                <w:color w:val="auto"/>
                <w:sz w:val="24"/>
                <w:szCs w:val="24"/>
                <w:highlight w:val="none"/>
                <w:lang w:val="en-US" w:eastAsia="zh-CN"/>
              </w:rPr>
              <w:t>2.2</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污水中的污染物主要为SS、COD</w:t>
            </w:r>
            <w:r>
              <w:rPr>
                <w:rFonts w:hint="default" w:ascii="Times New Roman" w:hAnsi="Times New Roman" w:cs="Times New Roman"/>
                <w:color w:val="auto"/>
                <w:sz w:val="24"/>
                <w:szCs w:val="24"/>
                <w:highlight w:val="none"/>
                <w:vertAlign w:val="subscript"/>
                <w:lang w:val="en-US" w:eastAsia="zh-CN"/>
              </w:rPr>
              <w:t>Cr</w:t>
            </w:r>
            <w:r>
              <w:rPr>
                <w:rFonts w:hint="default" w:ascii="Times New Roman" w:hAnsi="Times New Roman" w:cs="Times New Roman"/>
                <w:color w:val="auto"/>
                <w:sz w:val="24"/>
                <w:szCs w:val="24"/>
                <w:highlight w:val="none"/>
              </w:rPr>
              <w:t>、BOD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rPr>
              <w:t>、NH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-N、氟化物、LAS、</w:t>
            </w:r>
            <w:r>
              <w:rPr>
                <w:rFonts w:hint="eastAsia" w:cs="Times New Roman"/>
                <w:color w:val="auto"/>
                <w:sz w:val="24"/>
                <w:szCs w:val="24"/>
                <w:highlight w:val="none"/>
                <w:lang w:val="en-US" w:eastAsia="zh-CN"/>
              </w:rPr>
              <w:t>总铝、</w:t>
            </w:r>
            <w:r>
              <w:rPr>
                <w:rFonts w:hint="default" w:ascii="Times New Roman" w:hAnsi="Times New Roman" w:cs="Times New Roman"/>
                <w:color w:val="auto"/>
                <w:sz w:val="24"/>
                <w:szCs w:val="24"/>
                <w:highlight w:val="none"/>
              </w:rPr>
              <w:t>石油类</w:t>
            </w:r>
            <w:r>
              <w:rPr>
                <w:rFonts w:hint="default" w:ascii="Times New Roman" w:hAnsi="Times New Roman" w:cs="Times New Roman"/>
                <w:color w:val="auto"/>
                <w:sz w:val="24"/>
                <w:szCs w:val="24"/>
                <w:highlight w:val="none"/>
                <w:lang w:val="en-US" w:eastAsia="zh-CN"/>
              </w:rPr>
              <w:t>、锆、钛</w:t>
            </w:r>
            <w:r>
              <w:rPr>
                <w:rFonts w:hint="default" w:ascii="Times New Roman" w:hAnsi="Times New Roman" w:cs="Times New Roman"/>
                <w:color w:val="auto"/>
                <w:sz w:val="24"/>
                <w:szCs w:val="24"/>
                <w:highlight w:val="none"/>
              </w:rPr>
              <w:t>等，污染物种类较简单</w:t>
            </w:r>
            <w:r>
              <w:rPr>
                <w:rFonts w:hint="default" w:ascii="Times New Roman" w:hAnsi="Times New Roman" w:cs="Times New Roman"/>
                <w:color w:val="auto"/>
                <w:sz w:val="24"/>
                <w:szCs w:val="24"/>
                <w:highlight w:val="none"/>
                <w:lang w:eastAsia="zh-CN"/>
              </w:rPr>
              <w:t>。</w:t>
            </w:r>
          </w:p>
          <w:p w14:paraId="3004028E">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b/>
                <w:bCs/>
                <w:color w:val="auto"/>
                <w:sz w:val="24"/>
                <w:szCs w:val="24"/>
                <w:highlight w:val="none"/>
                <w:lang w:val="en-US"/>
              </w:rPr>
            </w:pPr>
            <w:r>
              <w:rPr>
                <w:rFonts w:hint="default" w:ascii="Times New Roman" w:hAnsi="Times New Roman" w:cs="Times New Roman"/>
                <w:b/>
                <w:bCs/>
                <w:color w:val="auto"/>
                <w:sz w:val="24"/>
                <w:szCs w:val="24"/>
                <w:highlight w:val="none"/>
                <w:lang w:val="en-US" w:eastAsia="zh-CN"/>
              </w:rPr>
              <w:t>园区污水处理厂对</w:t>
            </w:r>
            <w:bookmarkStart w:id="28" w:name="OLE_LINK49"/>
            <w:r>
              <w:rPr>
                <w:rFonts w:hint="default" w:ascii="Times New Roman" w:hAnsi="Times New Roman" w:cs="Times New Roman"/>
                <w:b/>
                <w:bCs/>
                <w:color w:val="auto"/>
                <w:sz w:val="24"/>
                <w:szCs w:val="24"/>
                <w:highlight w:val="none"/>
                <w:lang w:val="en-US" w:eastAsia="zh-CN"/>
              </w:rPr>
              <w:t>LAS、氟化物、</w:t>
            </w:r>
            <w:bookmarkEnd w:id="28"/>
            <w:r>
              <w:rPr>
                <w:rFonts w:hint="default" w:ascii="Times New Roman" w:hAnsi="Times New Roman" w:cs="Times New Roman"/>
                <w:b/>
                <w:bCs/>
                <w:color w:val="auto"/>
                <w:sz w:val="24"/>
                <w:szCs w:val="24"/>
                <w:highlight w:val="none"/>
                <w:lang w:val="en-US" w:eastAsia="zh-CN"/>
              </w:rPr>
              <w:t>锆和钛的处理能力分析：</w:t>
            </w:r>
          </w:p>
          <w:p w14:paraId="2A9456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bookmarkStart w:id="29" w:name="OLE_LINK50"/>
            <w:r>
              <w:rPr>
                <w:rFonts w:hint="default" w:ascii="Times New Roman" w:hAnsi="Times New Roman" w:eastAsia="宋体" w:cs="Times New Roman"/>
                <w:b w:val="0"/>
                <w:bCs w:val="0"/>
                <w:color w:val="auto"/>
                <w:sz w:val="24"/>
                <w:szCs w:val="24"/>
                <w:highlight w:val="none"/>
              </w:rPr>
              <w:t>一、工艺适配性分析</w:t>
            </w:r>
          </w:p>
          <w:p w14:paraId="5800E7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rPr>
              <w:t>预处理工艺与园区工艺衔接</w:t>
            </w:r>
          </w:p>
          <w:p w14:paraId="2D141A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本项目</w:t>
            </w:r>
            <w:r>
              <w:rPr>
                <w:rFonts w:hint="default" w:ascii="Times New Roman" w:hAnsi="Times New Roman" w:eastAsia="宋体" w:cs="Times New Roman"/>
                <w:b w:val="0"/>
                <w:bCs w:val="0"/>
                <w:color w:val="auto"/>
                <w:sz w:val="24"/>
                <w:szCs w:val="24"/>
                <w:highlight w:val="none"/>
              </w:rPr>
              <w:t>采用“</w:t>
            </w:r>
            <w:r>
              <w:rPr>
                <w:rFonts w:hint="eastAsia" w:cs="Times New Roman"/>
                <w:b w:val="0"/>
                <w:bCs w:val="0"/>
                <w:color w:val="auto"/>
                <w:sz w:val="24"/>
                <w:szCs w:val="24"/>
                <w:highlight w:val="none"/>
                <w:lang w:eastAsia="zh-CN"/>
              </w:rPr>
              <w:t>中和调节+混凝沉淀+气浮+化学除氟</w:t>
            </w:r>
            <w:r>
              <w:rPr>
                <w:rFonts w:hint="default" w:ascii="Times New Roman" w:hAnsi="Times New Roman" w:eastAsia="宋体" w:cs="Times New Roman"/>
                <w:b w:val="0"/>
                <w:bCs w:val="0"/>
                <w:color w:val="auto"/>
                <w:sz w:val="24"/>
                <w:szCs w:val="24"/>
                <w:highlight w:val="none"/>
              </w:rPr>
              <w:t>”预处理工艺，混凝沉淀通过电荷中和作用破坏LAS胶体稳定性，气浮则通过微气泡吸附将其分离</w:t>
            </w:r>
            <w:r>
              <w:rPr>
                <w:rFonts w:hint="default" w:ascii="Times New Roman" w:hAnsi="Times New Roman" w:eastAsia="宋体" w:cs="Times New Roman"/>
                <w:b w:val="0"/>
                <w:bCs w:val="0"/>
                <w:color w:val="auto"/>
                <w:sz w:val="24"/>
                <w:szCs w:val="24"/>
                <w:highlight w:val="none"/>
                <w:lang w:eastAsia="zh-CN"/>
              </w:rPr>
              <w:t>。预处理工艺</w:t>
            </w:r>
            <w:r>
              <w:rPr>
                <w:rFonts w:hint="default" w:ascii="Times New Roman" w:hAnsi="Times New Roman" w:eastAsia="宋体" w:cs="Times New Roman"/>
                <w:b w:val="0"/>
                <w:bCs w:val="0"/>
                <w:color w:val="auto"/>
                <w:sz w:val="24"/>
                <w:szCs w:val="24"/>
                <w:highlight w:val="none"/>
              </w:rPr>
              <w:t>可有效降低废水中</w:t>
            </w:r>
            <w:r>
              <w:rPr>
                <w:rFonts w:hint="default" w:ascii="Times New Roman" w:hAnsi="Times New Roman" w:eastAsia="宋体" w:cs="Times New Roman"/>
                <w:b w:val="0"/>
                <w:bCs w:val="0"/>
                <w:color w:val="auto"/>
                <w:sz w:val="24"/>
                <w:szCs w:val="24"/>
                <w:highlight w:val="none"/>
                <w:lang w:val="en-US" w:eastAsia="zh-CN"/>
              </w:rPr>
              <w:t>LAS、氟化物、</w:t>
            </w:r>
            <w:r>
              <w:rPr>
                <w:rFonts w:hint="default" w:ascii="Times New Roman" w:hAnsi="Times New Roman" w:eastAsia="宋体" w:cs="Times New Roman"/>
                <w:b w:val="0"/>
                <w:bCs w:val="0"/>
                <w:color w:val="auto"/>
                <w:sz w:val="24"/>
                <w:szCs w:val="24"/>
                <w:highlight w:val="none"/>
              </w:rPr>
              <w:t>锆（Zr）、钛（Ti）浓度</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显著减轻园区污水处理厂负荷。</w:t>
            </w:r>
          </w:p>
          <w:p w14:paraId="56D86D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CASS工艺处理能力</w:t>
            </w:r>
          </w:p>
          <w:p w14:paraId="06C335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a</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金属氢氧化物沉淀机理</w:t>
            </w:r>
          </w:p>
          <w:p w14:paraId="6CE889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Zr⁴⁺在pH≥7.0条件下生成Zr(OH)₄沉淀（Ksp≈10⁻⁵⁶），Ti⁴⁺形成Ti(OH)₄胶体（Ksp≈10⁻⁴⁴），投加PAC（聚合氯化铝）和PAM（聚丙烯酰胺）后，通过电荷中和、吸附架桥及网捕作用，形成致密絮体，</w:t>
            </w:r>
            <w:r>
              <w:rPr>
                <w:rFonts w:hint="default" w:ascii="Times New Roman" w:hAnsi="Times New Roman" w:eastAsia="宋体" w:cs="Times New Roman"/>
                <w:b w:val="0"/>
                <w:bCs w:val="0"/>
                <w:color w:val="auto"/>
                <w:sz w:val="24"/>
                <w:szCs w:val="24"/>
                <w:highlight w:val="none"/>
                <w:lang w:val="en-US" w:eastAsia="zh-CN"/>
              </w:rPr>
              <w:t>可</w:t>
            </w:r>
            <w:r>
              <w:rPr>
                <w:rFonts w:hint="default" w:ascii="Times New Roman" w:hAnsi="Times New Roman" w:eastAsia="宋体" w:cs="Times New Roman"/>
                <w:b w:val="0"/>
                <w:bCs w:val="0"/>
                <w:color w:val="auto"/>
                <w:sz w:val="24"/>
                <w:szCs w:val="24"/>
                <w:highlight w:val="none"/>
              </w:rPr>
              <w:t>沉淀</w:t>
            </w:r>
            <w:r>
              <w:rPr>
                <w:rFonts w:hint="default" w:ascii="Times New Roman" w:hAnsi="Times New Roman" w:eastAsia="宋体" w:cs="Times New Roman"/>
                <w:b w:val="0"/>
                <w:bCs w:val="0"/>
                <w:color w:val="auto"/>
                <w:sz w:val="24"/>
                <w:szCs w:val="24"/>
                <w:highlight w:val="none"/>
                <w:lang w:val="en-US" w:eastAsia="zh-CN"/>
              </w:rPr>
              <w:t>去除，沉淀</w:t>
            </w:r>
            <w:r>
              <w:rPr>
                <w:rFonts w:hint="default" w:ascii="Times New Roman" w:hAnsi="Times New Roman" w:eastAsia="宋体" w:cs="Times New Roman"/>
                <w:b w:val="0"/>
                <w:bCs w:val="0"/>
                <w:color w:val="auto"/>
                <w:sz w:val="24"/>
                <w:szCs w:val="24"/>
                <w:highlight w:val="none"/>
              </w:rPr>
              <w:t>效率提升20%</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30%</w:t>
            </w:r>
            <w:r>
              <w:rPr>
                <w:rFonts w:hint="default" w:ascii="Times New Roman" w:hAnsi="Times New Roman" w:eastAsia="宋体" w:cs="Times New Roman"/>
                <w:b w:val="0"/>
                <w:bCs w:val="0"/>
                <w:color w:val="auto"/>
                <w:sz w:val="24"/>
                <w:szCs w:val="24"/>
                <w:highlight w:val="none"/>
                <w:lang w:eastAsia="zh-CN"/>
              </w:rPr>
              <w:t>。</w:t>
            </w:r>
          </w:p>
          <w:p w14:paraId="58BEC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b</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生物吸附机制</w:t>
            </w:r>
          </w:p>
          <w:p w14:paraId="16DF36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活性污泥中微生物（如假单胞菌、芽孢杆菌）的细胞壁含羧基（-COOH）、羟基（-OH）等官能团，通过离子交换与表面络合吸附Zr⁴⁺、Ti⁴⁺，污泥回流设计（污泥龄15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25天）增强吸附容量（5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8mg/g MLSS）</w:t>
            </w:r>
            <w:r>
              <w:rPr>
                <w:rFonts w:hint="default" w:ascii="Times New Roman" w:hAnsi="Times New Roman" w:eastAsia="宋体" w:cs="Times New Roman"/>
                <w:b w:val="0"/>
                <w:bCs w:val="0"/>
                <w:color w:val="auto"/>
                <w:sz w:val="24"/>
                <w:szCs w:val="24"/>
                <w:highlight w:val="none"/>
                <w:lang w:eastAsia="zh-CN"/>
              </w:rPr>
              <w:t>。CASS工艺中活性污泥的微生物（如假单胞菌）可通过生物氧化分解LAS，其长污泥龄（15~25天）增强了对难降解有机物的去除能力。尽管预处理已大幅降低氟化物浓度，CASS工艺通过生物吸附和化学沉淀的协同作用（如微生物胞外聚合物对F</w:t>
            </w:r>
            <w:r>
              <w:rPr>
                <w:rFonts w:hint="default" w:ascii="Times New Roman" w:hAnsi="Times New Roman" w:eastAsia="宋体" w:cs="Times New Roman"/>
                <w:b w:val="0"/>
                <w:bCs w:val="0"/>
                <w:color w:val="auto"/>
                <w:sz w:val="24"/>
                <w:szCs w:val="24"/>
                <w:highlight w:val="none"/>
                <w:vertAlign w:val="superscript"/>
                <w:lang w:eastAsia="zh-CN"/>
              </w:rPr>
              <w:t>−</w:t>
            </w:r>
            <w:r>
              <w:rPr>
                <w:rFonts w:hint="default" w:ascii="Times New Roman" w:hAnsi="Times New Roman" w:eastAsia="宋体" w:cs="Times New Roman"/>
                <w:b w:val="0"/>
                <w:bCs w:val="0"/>
                <w:color w:val="auto"/>
                <w:sz w:val="24"/>
                <w:szCs w:val="24"/>
                <w:highlight w:val="none"/>
                <w:lang w:eastAsia="zh-CN"/>
              </w:rPr>
              <w:t>的络合），可进一步将氟化物浓度降</w:t>
            </w:r>
            <w:r>
              <w:rPr>
                <w:rFonts w:hint="default" w:ascii="Times New Roman" w:hAnsi="Times New Roman" w:eastAsia="宋体" w:cs="Times New Roman"/>
                <w:b w:val="0"/>
                <w:bCs w:val="0"/>
                <w:color w:val="auto"/>
                <w:sz w:val="24"/>
                <w:szCs w:val="24"/>
                <w:highlight w:val="none"/>
                <w:lang w:val="en-US" w:eastAsia="zh-CN"/>
              </w:rPr>
              <w:t>低</w:t>
            </w:r>
            <w:r>
              <w:rPr>
                <w:rFonts w:hint="default" w:ascii="Times New Roman" w:hAnsi="Times New Roman" w:eastAsia="宋体" w:cs="Times New Roman"/>
                <w:b w:val="0"/>
                <w:bCs w:val="0"/>
                <w:color w:val="auto"/>
                <w:sz w:val="24"/>
                <w:szCs w:val="24"/>
                <w:highlight w:val="none"/>
                <w:lang w:eastAsia="zh-CN"/>
              </w:rPr>
              <w:t>，强化达标保障。</w:t>
            </w:r>
          </w:p>
          <w:p w14:paraId="2C3B69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c</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协同增效效应</w:t>
            </w:r>
          </w:p>
          <w:p w14:paraId="5A701D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化学沉淀生成的金属絮体与活性污泥包裹形成“生物-化学复合体”，较单一工艺提升去除率15%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25%。</w:t>
            </w:r>
          </w:p>
          <w:p w14:paraId="26C79F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深度处理保障：后续絮凝沉淀池及纤维滤池可进一步截留微量金属</w:t>
            </w:r>
            <w:r>
              <w:rPr>
                <w:rFonts w:hint="default" w:ascii="Times New Roman" w:hAnsi="Times New Roman" w:eastAsia="宋体" w:cs="Times New Roman"/>
                <w:b w:val="0"/>
                <w:bCs w:val="0"/>
                <w:color w:val="auto"/>
                <w:sz w:val="24"/>
                <w:szCs w:val="24"/>
                <w:highlight w:val="none"/>
                <w:lang w:val="en-US" w:eastAsia="zh-CN"/>
              </w:rPr>
              <w:t>离子</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对</w:t>
            </w:r>
            <w:r>
              <w:rPr>
                <w:rFonts w:hint="default" w:ascii="Times New Roman" w:hAnsi="Times New Roman" w:eastAsia="宋体" w:cs="Times New Roman"/>
                <w:b w:val="0"/>
                <w:bCs w:val="0"/>
                <w:color w:val="auto"/>
                <w:sz w:val="24"/>
                <w:szCs w:val="24"/>
                <w:highlight w:val="none"/>
              </w:rPr>
              <w:t>污染物</w:t>
            </w:r>
            <w:r>
              <w:rPr>
                <w:rFonts w:hint="default" w:ascii="Times New Roman" w:hAnsi="Times New Roman" w:eastAsia="宋体" w:cs="Times New Roman"/>
                <w:b w:val="0"/>
                <w:bCs w:val="0"/>
                <w:color w:val="auto"/>
                <w:sz w:val="24"/>
                <w:szCs w:val="24"/>
                <w:highlight w:val="none"/>
                <w:lang w:val="en-US" w:eastAsia="zh-CN"/>
              </w:rPr>
              <w:t>进行进一步的</w:t>
            </w:r>
            <w:r>
              <w:rPr>
                <w:rFonts w:hint="default" w:ascii="Times New Roman" w:hAnsi="Times New Roman" w:eastAsia="宋体" w:cs="Times New Roman"/>
                <w:b w:val="0"/>
                <w:bCs w:val="0"/>
                <w:color w:val="auto"/>
                <w:sz w:val="24"/>
                <w:szCs w:val="24"/>
                <w:highlight w:val="none"/>
              </w:rPr>
              <w:t>截留。</w:t>
            </w:r>
          </w:p>
          <w:p w14:paraId="6ACE4D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二、重金属去除效能验证</w:t>
            </w:r>
          </w:p>
          <w:p w14:paraId="6F287B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rPr>
              <w:t>污染物浓度与工艺负荷</w:t>
            </w:r>
          </w:p>
          <w:p w14:paraId="394A19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本项目</w:t>
            </w:r>
            <w:r>
              <w:rPr>
                <w:rFonts w:hint="default" w:ascii="Times New Roman" w:hAnsi="Times New Roman" w:eastAsia="宋体" w:cs="Times New Roman"/>
                <w:b w:val="0"/>
                <w:bCs w:val="0"/>
                <w:color w:val="auto"/>
                <w:sz w:val="24"/>
                <w:szCs w:val="24"/>
                <w:highlight w:val="none"/>
              </w:rPr>
              <w:t>预处理后Zr、Ti总浓度</w:t>
            </w:r>
            <w:r>
              <w:rPr>
                <w:rFonts w:hint="default" w:ascii="Times New Roman" w:hAnsi="Times New Roman" w:eastAsia="宋体" w:cs="Times New Roman"/>
                <w:b w:val="0"/>
                <w:bCs w:val="0"/>
                <w:color w:val="auto"/>
                <w:sz w:val="24"/>
                <w:szCs w:val="24"/>
                <w:highlight w:val="none"/>
                <w:lang w:val="en-US" w:eastAsia="zh-CN"/>
              </w:rPr>
              <w:t>约</w:t>
            </w:r>
            <w:r>
              <w:rPr>
                <w:rFonts w:hint="default" w:ascii="Times New Roman" w:hAnsi="Times New Roman" w:eastAsia="宋体" w:cs="Times New Roman"/>
                <w:b w:val="0"/>
                <w:bCs w:val="0"/>
                <w:color w:val="auto"/>
                <w:sz w:val="24"/>
                <w:szCs w:val="24"/>
                <w:highlight w:val="none"/>
              </w:rPr>
              <w:t>为</w:t>
            </w:r>
            <w:r>
              <w:rPr>
                <w:rFonts w:hint="eastAsia" w:cs="Times New Roman"/>
                <w:b w:val="0"/>
                <w:bCs w:val="0"/>
                <w:color w:val="auto"/>
                <w:sz w:val="24"/>
                <w:szCs w:val="24"/>
                <w:highlight w:val="none"/>
                <w:lang w:val="en-US" w:eastAsia="zh-CN"/>
              </w:rPr>
              <w:t>0.80m</w:t>
            </w:r>
            <w:r>
              <w:rPr>
                <w:rFonts w:hint="default" w:ascii="Times New Roman" w:hAnsi="Times New Roman" w:eastAsia="宋体" w:cs="Times New Roman"/>
                <w:b w:val="0"/>
                <w:bCs w:val="0"/>
                <w:color w:val="auto"/>
                <w:sz w:val="24"/>
                <w:szCs w:val="24"/>
                <w:highlight w:val="none"/>
              </w:rPr>
              <w:t>g/L（</w:t>
            </w:r>
            <w:r>
              <w:rPr>
                <w:rFonts w:hint="eastAsia" w:cs="Times New Roman"/>
                <w:b w:val="0"/>
                <w:bCs w:val="0"/>
                <w:color w:val="auto"/>
                <w:sz w:val="24"/>
                <w:szCs w:val="24"/>
                <w:highlight w:val="none"/>
                <w:vertAlign w:val="baseline"/>
                <w:lang w:val="en-US" w:eastAsia="zh-CN"/>
              </w:rPr>
              <w:t>0.48</w:t>
            </w:r>
            <w:r>
              <w:rPr>
                <w:rFonts w:hint="default" w:ascii="Times New Roman" w:hAnsi="Times New Roman" w:cs="Times New Roman"/>
                <w:b w:val="0"/>
                <w:bCs w:val="0"/>
                <w:color w:val="auto"/>
                <w:sz w:val="24"/>
                <w:szCs w:val="24"/>
                <w:highlight w:val="none"/>
                <w:vertAlign w:val="baseline"/>
                <w:lang w:val="en-US" w:eastAsia="zh-CN"/>
              </w:rPr>
              <w:t>mg/L+</w:t>
            </w:r>
            <w:r>
              <w:rPr>
                <w:rFonts w:hint="eastAsia" w:cs="Times New Roman"/>
                <w:b w:val="0"/>
                <w:bCs w:val="0"/>
                <w:color w:val="auto"/>
                <w:sz w:val="24"/>
                <w:szCs w:val="24"/>
                <w:highlight w:val="none"/>
                <w:vertAlign w:val="baseline"/>
                <w:lang w:val="en-US" w:eastAsia="zh-CN"/>
              </w:rPr>
              <w:t>0.32</w:t>
            </w:r>
            <w:r>
              <w:rPr>
                <w:rFonts w:hint="default" w:ascii="Times New Roman" w:hAnsi="Times New Roman" w:cs="Times New Roman"/>
                <w:b w:val="0"/>
                <w:bCs w:val="0"/>
                <w:color w:val="auto"/>
                <w:sz w:val="24"/>
                <w:szCs w:val="24"/>
                <w:highlight w:val="none"/>
                <w:vertAlign w:val="baseline"/>
                <w:lang w:val="en-US" w:eastAsia="zh-CN"/>
              </w:rPr>
              <w:t>mg/L</w:t>
            </w:r>
            <w:r>
              <w:rPr>
                <w:rFonts w:hint="default" w:ascii="Times New Roman" w:hAnsi="Times New Roman" w:eastAsia="宋体" w:cs="Times New Roman"/>
                <w:b w:val="0"/>
                <w:bCs w:val="0"/>
                <w:color w:val="auto"/>
                <w:sz w:val="24"/>
                <w:szCs w:val="24"/>
                <w:highlight w:val="none"/>
              </w:rPr>
              <w:t>），低于园区污水处理厂设计进水重金属综合限值（参照《污水排入城镇下水道水质标准》</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GB/T31962-2015</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，通常设定为10mg/L），工艺安全余量充足。</w:t>
            </w:r>
          </w:p>
          <w:p w14:paraId="601310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水量稀释效应</w:t>
            </w:r>
          </w:p>
          <w:p w14:paraId="702C8FAA">
            <w:pPr>
              <w:pStyle w:val="24"/>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rPr>
              <w:t>废水排放量为</w:t>
            </w:r>
            <w:r>
              <w:rPr>
                <w:rFonts w:hint="eastAsia" w:cs="Times New Roman"/>
                <w:color w:val="auto"/>
                <w:sz w:val="24"/>
                <w:szCs w:val="24"/>
                <w:highlight w:val="none"/>
                <w:lang w:val="en-US" w:eastAsia="zh-CN"/>
              </w:rPr>
              <w:t>50.12</w:t>
            </w:r>
            <w:r>
              <w:rPr>
                <w:rFonts w:hint="default" w:ascii="Times New Roman" w:hAnsi="Times New Roman" w:eastAsia="宋体" w:cs="Times New Roman"/>
                <w:color w:val="auto"/>
                <w:sz w:val="24"/>
                <w:szCs w:val="24"/>
                <w:highlight w:val="none"/>
              </w:rPr>
              <w:t>m³/d，仅占园区污水处理厂剩余处理能力（</w:t>
            </w:r>
            <w:r>
              <w:rPr>
                <w:rFonts w:hint="default" w:ascii="Times New Roman" w:hAnsi="Times New Roman" w:eastAsia="宋体" w:cs="Times New Roman"/>
                <w:color w:val="auto"/>
                <w:sz w:val="24"/>
                <w:szCs w:val="24"/>
                <w:highlight w:val="none"/>
                <w:lang w:val="en-US" w:eastAsia="zh-CN"/>
              </w:rPr>
              <w:t>2304.6</w:t>
            </w:r>
            <w:r>
              <w:rPr>
                <w:rFonts w:hint="default" w:ascii="Times New Roman" w:hAnsi="Times New Roman" w:eastAsia="宋体" w:cs="Times New Roman"/>
                <w:color w:val="auto"/>
                <w:sz w:val="24"/>
                <w:szCs w:val="24"/>
                <w:highlight w:val="none"/>
              </w:rPr>
              <w:t>m³/d）的</w:t>
            </w:r>
            <w:r>
              <w:rPr>
                <w:rFonts w:hint="eastAsia"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。大水量对污染物具有显著稀释作用，结合工艺处理，预计Zr、Ti浓度可进一步降至0.25mg/L以下，远低于环境风险阈值。</w:t>
            </w:r>
          </w:p>
          <w:bookmarkEnd w:id="29"/>
          <w:p w14:paraId="014A7848">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乐昌产业转移工业园污水处理厂现有CASS工艺具备处理</w:t>
            </w:r>
            <w:r>
              <w:rPr>
                <w:rFonts w:hint="eastAsia"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含锆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钛废水的能力，预处理后</w:t>
            </w:r>
            <w:r>
              <w:rPr>
                <w:rFonts w:hint="default"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水质及水量均在</w:t>
            </w:r>
            <w:r>
              <w:rPr>
                <w:rFonts w:hint="default" w:ascii="Times New Roman" w:hAnsi="Times New Roman" w:cs="Times New Roman"/>
                <w:color w:val="auto"/>
                <w:sz w:val="24"/>
                <w:szCs w:val="24"/>
                <w:highlight w:val="none"/>
                <w:lang w:val="en-US" w:eastAsia="zh-CN"/>
              </w:rPr>
              <w:t>园区污水处理厂</w:t>
            </w:r>
            <w:r>
              <w:rPr>
                <w:rFonts w:hint="default" w:ascii="Times New Roman" w:hAnsi="Times New Roman" w:cs="Times New Roman"/>
                <w:color w:val="auto"/>
                <w:sz w:val="24"/>
                <w:szCs w:val="24"/>
                <w:highlight w:val="none"/>
              </w:rPr>
              <w:t>工艺耐受范围内，</w:t>
            </w:r>
            <w:r>
              <w:rPr>
                <w:rFonts w:hint="default" w:ascii="Times New Roman" w:hAnsi="Times New Roman" w:cs="Times New Roman"/>
                <w:color w:val="auto"/>
                <w:sz w:val="24"/>
                <w:highlight w:val="none"/>
              </w:rPr>
              <w:t>同意</w:t>
            </w:r>
            <w:r>
              <w:rPr>
                <w:rFonts w:hint="default" w:ascii="Times New Roman" w:hAnsi="Times New Roman" w:cs="Times New Roman"/>
                <w:color w:val="auto"/>
                <w:sz w:val="24"/>
                <w:highlight w:val="none"/>
                <w:lang w:val="en-US" w:eastAsia="zh-CN"/>
              </w:rPr>
              <w:t>本项目</w:t>
            </w:r>
            <w:r>
              <w:rPr>
                <w:rFonts w:hint="eastAsia" w:cs="Times New Roman"/>
                <w:color w:val="auto"/>
                <w:sz w:val="24"/>
                <w:highlight w:val="none"/>
                <w:lang w:val="en-US" w:eastAsia="zh-CN"/>
              </w:rPr>
              <w:t>外排</w:t>
            </w:r>
            <w:r>
              <w:rPr>
                <w:rFonts w:hint="default" w:ascii="Times New Roman" w:hAnsi="Times New Roman" w:cs="Times New Roman"/>
                <w:color w:val="auto"/>
                <w:sz w:val="24"/>
                <w:highlight w:val="none"/>
                <w:lang w:val="en-US" w:eastAsia="zh-CN"/>
              </w:rPr>
              <w:t>生产废水</w:t>
            </w:r>
            <w:r>
              <w:rPr>
                <w:rFonts w:hint="default" w:ascii="Times New Roman" w:hAnsi="Times New Roman" w:cs="Times New Roman"/>
                <w:color w:val="auto"/>
                <w:sz w:val="24"/>
                <w:highlight w:val="none"/>
              </w:rPr>
              <w:t>接入园区</w:t>
            </w:r>
            <w:r>
              <w:rPr>
                <w:rFonts w:hint="default" w:ascii="Times New Roman" w:hAnsi="Times New Roman" w:cs="Times New Roman"/>
                <w:color w:val="auto"/>
                <w:sz w:val="24"/>
                <w:highlight w:val="none"/>
                <w:lang w:val="en-US" w:eastAsia="zh-CN"/>
              </w:rPr>
              <w:t>污水</w:t>
            </w:r>
            <w:r>
              <w:rPr>
                <w:rFonts w:hint="default" w:ascii="Times New Roman" w:hAnsi="Times New Roman" w:cs="Times New Roman"/>
                <w:color w:val="auto"/>
                <w:sz w:val="24"/>
                <w:highlight w:val="none"/>
              </w:rPr>
              <w:t>管网</w:t>
            </w:r>
            <w:r>
              <w:rPr>
                <w:rFonts w:hint="default" w:ascii="Times New Roman" w:hAnsi="Times New Roman" w:cs="Times New Roman"/>
                <w:color w:val="auto"/>
                <w:sz w:val="24"/>
                <w:szCs w:val="24"/>
                <w:highlight w:val="none"/>
              </w:rPr>
              <w:t>。根据前</w:t>
            </w:r>
            <w:r>
              <w:rPr>
                <w:rFonts w:hint="default" w:ascii="Times New Roman" w:hAnsi="Times New Roman" w:cs="Times New Roman"/>
                <w:color w:val="auto"/>
                <w:sz w:val="24"/>
                <w:szCs w:val="24"/>
                <w:highlight w:val="none"/>
                <w:lang w:val="en-US" w:eastAsia="zh-CN"/>
              </w:rPr>
              <w:t>文</w:t>
            </w:r>
            <w:r>
              <w:rPr>
                <w:rFonts w:hint="default" w:ascii="Times New Roman" w:hAnsi="Times New Roman" w:cs="Times New Roman"/>
                <w:color w:val="auto"/>
                <w:sz w:val="24"/>
                <w:szCs w:val="24"/>
                <w:highlight w:val="none"/>
              </w:rPr>
              <w:t>分析，</w:t>
            </w:r>
            <w:bookmarkStart w:id="30" w:name="OLE_LINK51"/>
            <w:r>
              <w:rPr>
                <w:rFonts w:hint="default" w:ascii="Times New Roman" w:hAnsi="Times New Roman" w:cs="Times New Roman"/>
                <w:color w:val="auto"/>
                <w:sz w:val="24"/>
                <w:szCs w:val="24"/>
                <w:highlight w:val="none"/>
              </w:rPr>
              <w:t>园区污水处理厂剩余污水处理能力完全可以容纳处理本项目排入的污水，且与园区处理能力匹配</w:t>
            </w:r>
            <w:r>
              <w:rPr>
                <w:rFonts w:hint="default" w:ascii="Times New Roman" w:hAnsi="Times New Roman" w:cs="Times New Roman"/>
                <w:color w:val="auto"/>
                <w:sz w:val="24"/>
                <w:szCs w:val="24"/>
                <w:highlight w:val="none"/>
                <w:lang w:eastAsia="zh-CN"/>
              </w:rPr>
              <w:t>。</w:t>
            </w:r>
            <w:bookmarkEnd w:id="30"/>
            <w:r>
              <w:rPr>
                <w:rFonts w:hint="default" w:ascii="Times New Roman" w:hAnsi="Times New Roman" w:cs="Times New Roman"/>
                <w:color w:val="auto"/>
                <w:sz w:val="24"/>
                <w:szCs w:val="24"/>
                <w:highlight w:val="none"/>
              </w:rPr>
              <w:t>因此，本</w:t>
            </w:r>
            <w:bookmarkStart w:id="31" w:name="OLE_LINK52"/>
            <w:r>
              <w:rPr>
                <w:rFonts w:hint="default" w:ascii="Times New Roman" w:hAnsi="Times New Roman" w:cs="Times New Roman"/>
                <w:color w:val="auto"/>
                <w:sz w:val="24"/>
                <w:szCs w:val="24"/>
                <w:highlight w:val="none"/>
              </w:rPr>
              <w:t>项目产生的</w:t>
            </w:r>
            <w:r>
              <w:rPr>
                <w:rFonts w:hint="default" w:ascii="Times New Roman" w:hAnsi="Times New Roman" w:cs="Times New Roman"/>
                <w:color w:val="auto"/>
                <w:sz w:val="24"/>
                <w:szCs w:val="24"/>
                <w:highlight w:val="none"/>
                <w:lang w:val="en-US" w:eastAsia="zh-CN"/>
              </w:rPr>
              <w:t>废</w:t>
            </w:r>
            <w:r>
              <w:rPr>
                <w:rFonts w:hint="default" w:ascii="Times New Roman" w:hAnsi="Times New Roman" w:cs="Times New Roman"/>
                <w:color w:val="auto"/>
                <w:sz w:val="24"/>
                <w:szCs w:val="24"/>
                <w:highlight w:val="none"/>
              </w:rPr>
              <w:t>水经预处理后排入园区污水处理厂处理具有环境可行性</w:t>
            </w:r>
            <w:bookmarkEnd w:id="31"/>
            <w:r>
              <w:rPr>
                <w:rFonts w:hint="default" w:ascii="Times New Roman" w:hAnsi="Times New Roman" w:cs="Times New Roman"/>
                <w:color w:val="auto"/>
                <w:sz w:val="24"/>
                <w:szCs w:val="24"/>
                <w:highlight w:val="none"/>
              </w:rPr>
              <w:t>。</w:t>
            </w:r>
          </w:p>
          <w:p w14:paraId="11336479">
            <w:pPr>
              <w:pStyle w:val="163"/>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344795" cy="2265680"/>
                  <wp:effectExtent l="0" t="0" r="8255" b="1270"/>
                  <wp:docPr id="1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
                          <pic:cNvPicPr>
                            <a:picLocks noChangeAspect="1"/>
                          </pic:cNvPicPr>
                        </pic:nvPicPr>
                        <pic:blipFill>
                          <a:blip r:embed="rId31"/>
                          <a:srcRect l="4562" t="1219"/>
                          <a:stretch>
                            <a:fillRect/>
                          </a:stretch>
                        </pic:blipFill>
                        <pic:spPr>
                          <a:xfrm>
                            <a:off x="0" y="0"/>
                            <a:ext cx="5344795" cy="2265680"/>
                          </a:xfrm>
                          <a:prstGeom prst="rect">
                            <a:avLst/>
                          </a:prstGeom>
                          <a:noFill/>
                          <a:ln>
                            <a:noFill/>
                          </a:ln>
                        </pic:spPr>
                      </pic:pic>
                    </a:graphicData>
                  </a:graphic>
                </wp:inline>
              </w:drawing>
            </w:r>
          </w:p>
          <w:p w14:paraId="0E9A17DB">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4</w:t>
            </w:r>
            <w:r>
              <w:rPr>
                <w:rFonts w:hint="default" w:ascii="Times New Roman" w:hAnsi="Times New Roman" w:cs="Times New Roman"/>
                <w:b/>
                <w:bCs/>
                <w:color w:val="auto"/>
                <w:sz w:val="21"/>
                <w:szCs w:val="21"/>
                <w:highlight w:val="none"/>
                <w:lang w:val="en-US" w:eastAsia="zh-CN"/>
              </w:rPr>
              <w:t>园区</w:t>
            </w:r>
            <w:r>
              <w:rPr>
                <w:rFonts w:hint="default" w:ascii="Times New Roman" w:hAnsi="Times New Roman" w:eastAsia="宋体" w:cs="Times New Roman"/>
                <w:b/>
                <w:bCs/>
                <w:color w:val="auto"/>
                <w:kern w:val="0"/>
                <w:sz w:val="21"/>
                <w:szCs w:val="21"/>
                <w:highlight w:val="none"/>
                <w:lang w:val="en-US" w:eastAsia="zh-CN" w:bidi="ar"/>
              </w:rPr>
              <w:t>污水处理厂工艺流程图</w:t>
            </w:r>
          </w:p>
          <w:p w14:paraId="74ADD083">
            <w:pPr>
              <w:pStyle w:val="27"/>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val="en-US" w:eastAsia="zh-CN"/>
              </w:rPr>
              <w:t>2.5</w:t>
            </w:r>
            <w:r>
              <w:rPr>
                <w:rFonts w:hint="default" w:ascii="Times New Roman" w:hAnsi="Times New Roman" w:cs="Times New Roman"/>
                <w:b/>
                <w:bCs/>
                <w:color w:val="auto"/>
                <w:sz w:val="24"/>
                <w:szCs w:val="24"/>
                <w:highlight w:val="none"/>
              </w:rPr>
              <w:t>监测要求</w:t>
            </w:r>
          </w:p>
          <w:p w14:paraId="61439AAB">
            <w:pPr>
              <w:pStyle w:val="2"/>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根据《排污单位自行监测技术指南 总则》（HJ819-2017）、《排污单位自行监测技术指南 涂装》（HJ 1086-2020），生活污水单独排放口且排放方式为间接排放，无自行监测频次要求，</w:t>
            </w:r>
            <w:r>
              <w:rPr>
                <w:rFonts w:hint="eastAsia" w:ascii="Times New Roman" w:hAnsi="Times New Roman" w:eastAsia="宋体" w:cs="Times New Roman"/>
                <w:color w:val="auto"/>
                <w:kern w:val="2"/>
                <w:sz w:val="24"/>
                <w:szCs w:val="24"/>
                <w:highlight w:val="none"/>
                <w:lang w:val="en-US" w:eastAsia="zh-CN" w:bidi="ar-SA"/>
              </w:rPr>
              <w:t>为预防和控制含重金废水对下游纳污河段的影响，根据有关专家和主管部门的建议，重金属离子参照废水直接排放标准执行，即按《电镀水污染物排放标准》（DB44/1597-2015）表2新建项目水污染物排放限值-非珠三角地区执行。本评价建议建设单位优先采购重金属含量更低的表面处理药剂，并加强对重金属钛、锆离子排放浓度的监测。</w:t>
            </w:r>
          </w:p>
          <w:p w14:paraId="3D9488D0">
            <w:pPr>
              <w:pStyle w:val="25"/>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因此本项目</w:t>
            </w:r>
            <w:r>
              <w:rPr>
                <w:rFonts w:hint="eastAsia" w:cs="Times New Roman"/>
                <w:color w:val="auto"/>
                <w:kern w:val="2"/>
                <w:sz w:val="24"/>
                <w:szCs w:val="24"/>
                <w:highlight w:val="none"/>
                <w:lang w:val="en-US" w:eastAsia="zh-CN" w:bidi="ar-SA"/>
              </w:rPr>
              <w:t>外排</w:t>
            </w:r>
            <w:r>
              <w:rPr>
                <w:rFonts w:hint="default" w:ascii="Times New Roman" w:hAnsi="Times New Roman" w:eastAsia="宋体" w:cs="Times New Roman"/>
                <w:color w:val="auto"/>
                <w:kern w:val="2"/>
                <w:sz w:val="24"/>
                <w:szCs w:val="24"/>
                <w:highlight w:val="none"/>
                <w:lang w:val="en-US" w:eastAsia="zh-CN" w:bidi="ar-SA"/>
              </w:rPr>
              <w:t>生产废水自行监测计划，监测要求见下表</w:t>
            </w:r>
            <w:r>
              <w:rPr>
                <w:rFonts w:hint="default" w:ascii="Times New Roman" w:hAnsi="Times New Roman" w:cs="Times New Roman"/>
                <w:color w:val="auto"/>
                <w:sz w:val="24"/>
                <w:szCs w:val="24"/>
                <w:highlight w:val="none"/>
              </w:rPr>
              <w:t>。</w:t>
            </w:r>
          </w:p>
          <w:p w14:paraId="06E3B55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1 废水</w:t>
            </w:r>
            <w:r>
              <w:rPr>
                <w:rFonts w:hint="default" w:ascii="Times New Roman" w:hAnsi="Times New Roman" w:eastAsia="宋体" w:cs="Times New Roman"/>
                <w:b/>
                <w:bCs/>
                <w:color w:val="auto"/>
                <w:sz w:val="21"/>
                <w:szCs w:val="21"/>
                <w:highlight w:val="none"/>
              </w:rPr>
              <w:t>监测</w:t>
            </w:r>
            <w:r>
              <w:rPr>
                <w:rFonts w:hint="eastAsia" w:cs="Times New Roman"/>
                <w:b/>
                <w:bCs/>
                <w:color w:val="auto"/>
                <w:sz w:val="21"/>
                <w:szCs w:val="21"/>
                <w:highlight w:val="none"/>
                <w:lang w:val="en-US" w:eastAsia="zh-CN"/>
              </w:rPr>
              <w:t>计划</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933"/>
              <w:gridCol w:w="1117"/>
              <w:gridCol w:w="4151"/>
            </w:tblGrid>
            <w:tr w14:paraId="3A0E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45EC059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监测点位</w:t>
                  </w:r>
                </w:p>
              </w:tc>
              <w:tc>
                <w:tcPr>
                  <w:tcW w:w="1150" w:type="pct"/>
                  <w:noWrap w:val="0"/>
                  <w:vAlign w:val="center"/>
                </w:tcPr>
                <w:p w14:paraId="32CDD1F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监测指标</w:t>
                  </w:r>
                </w:p>
              </w:tc>
              <w:tc>
                <w:tcPr>
                  <w:tcW w:w="665" w:type="pct"/>
                  <w:noWrap w:val="0"/>
                  <w:vAlign w:val="center"/>
                </w:tcPr>
                <w:p w14:paraId="0C85872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监测频次</w:t>
                  </w:r>
                </w:p>
              </w:tc>
              <w:tc>
                <w:tcPr>
                  <w:tcW w:w="2469" w:type="pct"/>
                  <w:noWrap w:val="0"/>
                  <w:vAlign w:val="center"/>
                </w:tcPr>
                <w:p w14:paraId="5905767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auto"/>
                      <w:kern w:val="2"/>
                      <w:sz w:val="21"/>
                      <w:szCs w:val="21"/>
                      <w:highlight w:val="none"/>
                      <w:lang w:eastAsia="zh-CN"/>
                    </w:rPr>
                  </w:pPr>
                  <w:r>
                    <w:rPr>
                      <w:rFonts w:hint="default" w:ascii="Times New Roman" w:hAnsi="Times New Roman" w:cs="Times New Roman"/>
                      <w:b/>
                      <w:bCs/>
                      <w:color w:val="auto"/>
                      <w:kern w:val="2"/>
                      <w:sz w:val="21"/>
                      <w:szCs w:val="21"/>
                      <w:highlight w:val="none"/>
                    </w:rPr>
                    <w:t>监测</w:t>
                  </w:r>
                  <w:r>
                    <w:rPr>
                      <w:rFonts w:hint="eastAsia" w:ascii="Times New Roman" w:hAnsi="Times New Roman" w:cs="Times New Roman"/>
                      <w:b/>
                      <w:bCs/>
                      <w:color w:val="auto"/>
                      <w:kern w:val="2"/>
                      <w:sz w:val="21"/>
                      <w:szCs w:val="21"/>
                      <w:highlight w:val="none"/>
                      <w:lang w:val="en-US" w:eastAsia="zh-CN"/>
                    </w:rPr>
                    <w:t>依据</w:t>
                  </w:r>
                </w:p>
              </w:tc>
            </w:tr>
            <w:tr w14:paraId="785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DAE1C57">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生产</w:t>
                  </w:r>
                  <w:r>
                    <w:rPr>
                      <w:rFonts w:hint="default" w:ascii="Times New Roman" w:hAnsi="Times New Roman" w:cs="Times New Roman"/>
                      <w:color w:val="auto"/>
                      <w:kern w:val="2"/>
                      <w:sz w:val="21"/>
                      <w:szCs w:val="21"/>
                      <w:highlight w:val="none"/>
                    </w:rPr>
                    <w:t>废水排放口</w:t>
                  </w:r>
                  <w:r>
                    <w:rPr>
                      <w:rFonts w:hint="default" w:ascii="Times New Roman" w:hAnsi="Times New Roman" w:cs="Times New Roman"/>
                      <w:color w:val="auto"/>
                      <w:kern w:val="2"/>
                      <w:sz w:val="21"/>
                      <w:szCs w:val="21"/>
                      <w:highlight w:val="none"/>
                      <w:lang w:val="en-US" w:eastAsia="zh-CN"/>
                    </w:rPr>
                    <w:t>DW002</w:t>
                  </w:r>
                </w:p>
              </w:tc>
              <w:tc>
                <w:tcPr>
                  <w:tcW w:w="1150" w:type="pct"/>
                  <w:noWrap w:val="0"/>
                  <w:vAlign w:val="center"/>
                </w:tcPr>
                <w:p w14:paraId="5A0DE2F6">
                  <w:pPr>
                    <w:pStyle w:val="25"/>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eastAsia="宋体"/>
                      <w:color w:val="auto"/>
                      <w:sz w:val="21"/>
                      <w:szCs w:val="21"/>
                      <w:highlight w:val="none"/>
                    </w:rPr>
                    <w:t>流量、pH、COD</w:t>
                  </w:r>
                  <w:r>
                    <w:rPr>
                      <w:rFonts w:hint="default" w:eastAsia="宋体"/>
                      <w:color w:val="auto"/>
                      <w:sz w:val="21"/>
                      <w:szCs w:val="21"/>
                      <w:highlight w:val="none"/>
                      <w:vertAlign w:val="subscript"/>
                    </w:rPr>
                    <w:t>Cr</w:t>
                  </w:r>
                  <w:r>
                    <w:rPr>
                      <w:rFonts w:hint="default" w:eastAsia="宋体"/>
                      <w:color w:val="auto"/>
                      <w:sz w:val="21"/>
                      <w:szCs w:val="21"/>
                      <w:highlight w:val="none"/>
                    </w:rPr>
                    <w:t>、氨氮、悬浮物、氟化物、LAS、石油类、BOD</w:t>
                  </w:r>
                  <w:r>
                    <w:rPr>
                      <w:rFonts w:hint="default" w:eastAsia="宋体"/>
                      <w:color w:val="auto"/>
                      <w:sz w:val="21"/>
                      <w:szCs w:val="21"/>
                      <w:highlight w:val="none"/>
                      <w:vertAlign w:val="subscript"/>
                    </w:rPr>
                    <w:t>5</w:t>
                  </w:r>
                  <w:r>
                    <w:rPr>
                      <w:rFonts w:hint="default" w:eastAsia="宋体"/>
                      <w:color w:val="auto"/>
                      <w:sz w:val="21"/>
                      <w:szCs w:val="21"/>
                      <w:highlight w:val="none"/>
                    </w:rPr>
                    <w:t>、总氮、总磷</w:t>
                  </w:r>
                  <w:r>
                    <w:rPr>
                      <w:rFonts w:hint="eastAsia"/>
                      <w:color w:val="auto"/>
                      <w:sz w:val="21"/>
                      <w:szCs w:val="21"/>
                      <w:highlight w:val="none"/>
                      <w:lang w:eastAsia="zh-CN"/>
                    </w:rPr>
                    <w:t>、</w:t>
                  </w:r>
                  <w:r>
                    <w:rPr>
                      <w:rFonts w:hint="eastAsia"/>
                      <w:color w:val="auto"/>
                      <w:sz w:val="21"/>
                      <w:szCs w:val="21"/>
                      <w:highlight w:val="none"/>
                      <w:lang w:val="en-US" w:eastAsia="zh-CN"/>
                    </w:rPr>
                    <w:t>总铝、总锆、总钛</w:t>
                  </w:r>
                </w:p>
              </w:tc>
              <w:tc>
                <w:tcPr>
                  <w:tcW w:w="665" w:type="pct"/>
                  <w:noWrap w:val="0"/>
                  <w:vAlign w:val="center"/>
                </w:tcPr>
                <w:p w14:paraId="209D42E6">
                  <w:pPr>
                    <w:pStyle w:val="109"/>
                    <w:keepNext w:val="0"/>
                    <w:keepLines w:val="0"/>
                    <w:widowControl/>
                    <w:suppressLineNumbers w:val="0"/>
                    <w:tabs>
                      <w:tab w:val="left" w:pos="-2848"/>
                    </w:tabs>
                    <w:spacing w:before="0" w:beforeAutospacing="0" w:after="0" w:afterAutospacing="0"/>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cs="Times New Roman"/>
                      <w:color w:val="auto"/>
                      <w:kern w:val="2"/>
                      <w:highlight w:val="none"/>
                    </w:rPr>
                    <w:t>1次/</w:t>
                  </w:r>
                  <w:r>
                    <w:rPr>
                      <w:rFonts w:hint="eastAsia" w:ascii="Times New Roman" w:hAnsi="Times New Roman" w:cs="Times New Roman"/>
                      <w:color w:val="auto"/>
                      <w:kern w:val="2"/>
                      <w:highlight w:val="none"/>
                      <w:lang w:val="en-US" w:eastAsia="zh-CN"/>
                    </w:rPr>
                    <w:t>半</w:t>
                  </w:r>
                  <w:r>
                    <w:rPr>
                      <w:rFonts w:hint="default" w:ascii="Times New Roman" w:hAnsi="Times New Roman" w:cs="Times New Roman"/>
                      <w:color w:val="auto"/>
                      <w:kern w:val="2"/>
                      <w:highlight w:val="none"/>
                      <w:lang w:val="en-US" w:eastAsia="zh-CN"/>
                    </w:rPr>
                    <w:t>年</w:t>
                  </w:r>
                </w:p>
              </w:tc>
              <w:tc>
                <w:tcPr>
                  <w:tcW w:w="2469" w:type="pct"/>
                  <w:noWrap w:val="0"/>
                  <w:vAlign w:val="center"/>
                </w:tcPr>
                <w:p w14:paraId="28E9506F">
                  <w:pPr>
                    <w:pStyle w:val="109"/>
                    <w:keepNext w:val="0"/>
                    <w:keepLines w:val="0"/>
                    <w:widowControl/>
                    <w:suppressLineNumbers w:val="0"/>
                    <w:tabs>
                      <w:tab w:val="left" w:pos="-2848"/>
                    </w:tabs>
                    <w:spacing w:before="0" w:beforeAutospacing="0" w:after="0" w:afterAutospacing="0" w:line="240" w:lineRule="auto"/>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eastAsia="宋体"/>
                      <w:color w:val="auto"/>
                      <w:spacing w:val="-2"/>
                      <w:sz w:val="21"/>
                      <w:szCs w:val="21"/>
                      <w:highlight w:val="none"/>
                    </w:rPr>
                    <w:t>《排污单位自行监测技术指南 涂装》</w:t>
                  </w:r>
                  <w:r>
                    <w:rPr>
                      <w:rFonts w:hint="default" w:ascii="Times New Roman" w:hAnsi="Times New Roman" w:eastAsia="宋体" w:cs="Times New Roman"/>
                      <w:color w:val="auto"/>
                      <w:spacing w:val="-2"/>
                      <w:sz w:val="21"/>
                      <w:szCs w:val="21"/>
                      <w:highlight w:val="none"/>
                    </w:rPr>
                    <w:t>（HJ1086-2020）表1-</w:t>
                  </w:r>
                  <w:r>
                    <w:rPr>
                      <w:rFonts w:hint="eastAsia" w:eastAsia="宋体"/>
                      <w:color w:val="auto"/>
                      <w:spacing w:val="-2"/>
                      <w:sz w:val="21"/>
                      <w:szCs w:val="21"/>
                      <w:highlight w:val="none"/>
                    </w:rPr>
                    <w:t>废水总排放口-非重点排污单位-间接排放</w:t>
                  </w:r>
                </w:p>
              </w:tc>
            </w:tr>
            <w:tr w14:paraId="01B4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B48851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雨水排放口（YS001）</w:t>
                  </w:r>
                </w:p>
              </w:tc>
              <w:tc>
                <w:tcPr>
                  <w:tcW w:w="1150" w:type="pct"/>
                  <w:noWrap w:val="0"/>
                  <w:vAlign w:val="center"/>
                </w:tcPr>
                <w:p w14:paraId="1A164A8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auto"/>
                      <w:sz w:val="21"/>
                      <w:szCs w:val="21"/>
                      <w:highlight w:val="none"/>
                    </w:rPr>
                  </w:pPr>
                  <w:r>
                    <w:rPr>
                      <w:rFonts w:hint="default"/>
                      <w:color w:val="auto"/>
                      <w:kern w:val="2"/>
                      <w:sz w:val="21"/>
                      <w:szCs w:val="21"/>
                      <w:highlight w:val="none"/>
                    </w:rPr>
                    <w:t>pH、COD</w:t>
                  </w:r>
                  <w:r>
                    <w:rPr>
                      <w:rFonts w:hint="default"/>
                      <w:color w:val="auto"/>
                      <w:kern w:val="2"/>
                      <w:sz w:val="21"/>
                      <w:szCs w:val="21"/>
                      <w:highlight w:val="none"/>
                      <w:vertAlign w:val="subscript"/>
                    </w:rPr>
                    <w:t>Cr</w:t>
                  </w:r>
                  <w:r>
                    <w:rPr>
                      <w:rFonts w:hint="default"/>
                      <w:color w:val="auto"/>
                      <w:kern w:val="2"/>
                      <w:sz w:val="21"/>
                      <w:szCs w:val="21"/>
                      <w:highlight w:val="none"/>
                    </w:rPr>
                    <w:t>、SS</w:t>
                  </w:r>
                </w:p>
              </w:tc>
              <w:tc>
                <w:tcPr>
                  <w:tcW w:w="665" w:type="pct"/>
                  <w:noWrap w:val="0"/>
                  <w:vAlign w:val="center"/>
                </w:tcPr>
                <w:p w14:paraId="5738B1EB">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kern w:val="2"/>
                      <w:highlight w:val="none"/>
                    </w:rPr>
                  </w:pPr>
                  <w:r>
                    <w:rPr>
                      <w:rFonts w:hint="default"/>
                      <w:color w:val="auto"/>
                      <w:kern w:val="2"/>
                      <w:sz w:val="21"/>
                      <w:szCs w:val="21"/>
                      <w:highlight w:val="none"/>
                    </w:rPr>
                    <w:t>1次/月</w:t>
                  </w:r>
                </w:p>
              </w:tc>
              <w:tc>
                <w:tcPr>
                  <w:tcW w:w="2469" w:type="pct"/>
                  <w:noWrap w:val="0"/>
                  <w:vAlign w:val="center"/>
                </w:tcPr>
                <w:p w14:paraId="7F0E962A">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auto"/>
                      <w:spacing w:val="-2"/>
                      <w:sz w:val="21"/>
                      <w:szCs w:val="21"/>
                      <w:highlight w:val="none"/>
                    </w:rPr>
                  </w:pPr>
                  <w:r>
                    <w:rPr>
                      <w:rFonts w:hint="default"/>
                      <w:color w:val="auto"/>
                      <w:kern w:val="2"/>
                      <w:sz w:val="21"/>
                      <w:szCs w:val="21"/>
                      <w:highlight w:val="none"/>
                    </w:rPr>
                    <w:t>《排污单位自行监测技术指南 涂装》（HJ1086-2020）表1</w:t>
                  </w:r>
                </w:p>
              </w:tc>
            </w:tr>
            <w:tr w14:paraId="1CE3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4"/>
                  <w:noWrap w:val="0"/>
                  <w:vAlign w:val="center"/>
                </w:tcPr>
                <w:p w14:paraId="6EBACC07">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color w:val="auto"/>
                      <w:kern w:val="2"/>
                      <w:sz w:val="21"/>
                      <w:szCs w:val="21"/>
                      <w:highlight w:val="none"/>
                    </w:rPr>
                  </w:pPr>
                  <w:r>
                    <w:rPr>
                      <w:rFonts w:hint="default"/>
                      <w:color w:val="auto"/>
                      <w:kern w:val="2"/>
                      <w:sz w:val="21"/>
                      <w:szCs w:val="21"/>
                      <w:highlight w:val="none"/>
                    </w:rPr>
                    <w:t>注：雨水排放口每月有流动水排放时开展一次监测。如监测一年无异常情况，可放宽至每季度有流动水排放时开展一次监测。</w:t>
                  </w:r>
                </w:p>
              </w:tc>
            </w:tr>
          </w:tbl>
          <w:p w14:paraId="7BB85F93">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auto"/>
                <w:highlight w:val="none"/>
              </w:rPr>
            </w:pPr>
          </w:p>
          <w:p w14:paraId="16176787">
            <w:pPr>
              <w:pStyle w:val="43"/>
              <w:spacing w:after="0" w:line="360" w:lineRule="auto"/>
              <w:ind w:firstLine="480"/>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3、噪声</w:t>
            </w:r>
          </w:p>
          <w:p w14:paraId="06786C6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snapToGrid/>
                <w:color w:val="auto"/>
                <w:kern w:val="0"/>
                <w:sz w:val="24"/>
                <w:szCs w:val="24"/>
                <w:highlight w:val="none"/>
                <w:lang w:val="en-US" w:eastAsia="zh-CN" w:bidi="ar-SA"/>
              </w:rPr>
              <w:t>本项目运营期噪声污染主要是生产过程中机械设备运行产生的机械噪声，根据《噪声控制工程》（高红武武汉理工大学出版社2003年），项目设备噪声源强为60~85dB（A）。</w:t>
            </w:r>
          </w:p>
          <w:p w14:paraId="168B303E">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环境噪声控制》（作者：刘惠玲主编，2002年第一版），墙体降噪效果在23-30dB（A）之间，基础减振降噪效果在10-25dB（A）之间，本项目墙体主要为钢质材料，隔音效果较差降噪效果保守取15dB（A）、基础减振降噪效果取10dB（A），考虑到人员进出本项目过程中开关门、窗户等对隔声的负面影响，实际隔声量按20dB（A）计算。</w:t>
            </w:r>
            <w:r>
              <w:rPr>
                <w:rFonts w:hint="default" w:ascii="Times New Roman" w:hAnsi="Times New Roman" w:eastAsia="宋体" w:cs="Times New Roman"/>
                <w:snapToGrid/>
                <w:color w:val="auto"/>
                <w:kern w:val="0"/>
                <w:sz w:val="24"/>
                <w:szCs w:val="24"/>
                <w:highlight w:val="none"/>
                <w:lang w:val="en-US" w:eastAsia="zh-CN" w:bidi="ar-SA"/>
              </w:rPr>
              <w:t>同时噪声治理效果参考《</w:t>
            </w:r>
            <w:r>
              <w:rPr>
                <w:rFonts w:hint="eastAsia" w:cs="Times New Roman"/>
                <w:snapToGrid/>
                <w:color w:val="auto"/>
                <w:kern w:val="0"/>
                <w:sz w:val="24"/>
                <w:szCs w:val="24"/>
                <w:highlight w:val="none"/>
                <w:lang w:val="en-US" w:eastAsia="zh-CN" w:bidi="ar-SA"/>
              </w:rPr>
              <w:t>环境噪声与振动控制工程技术导则</w:t>
            </w:r>
            <w:r>
              <w:rPr>
                <w:rFonts w:hint="default" w:ascii="Times New Roman" w:hAnsi="Times New Roman" w:eastAsia="宋体" w:cs="Times New Roman"/>
                <w:snapToGrid/>
                <w:color w:val="auto"/>
                <w:kern w:val="0"/>
                <w:sz w:val="24"/>
                <w:szCs w:val="24"/>
                <w:highlight w:val="none"/>
                <w:lang w:val="en-US" w:eastAsia="zh-CN" w:bidi="ar-SA"/>
              </w:rPr>
              <w:t>》（HJ2034-2013），降噪效果如下表所示。</w:t>
            </w:r>
          </w:p>
          <w:p w14:paraId="655F556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 xml:space="preserve">2 </w:t>
            </w:r>
            <w:r>
              <w:rPr>
                <w:rFonts w:hint="default" w:ascii="Times New Roman" w:hAnsi="Times New Roman" w:eastAsia="宋体" w:cs="Times New Roman"/>
                <w:b/>
                <w:bCs/>
                <w:color w:val="auto"/>
                <w:sz w:val="21"/>
                <w:szCs w:val="21"/>
                <w:highlight w:val="none"/>
                <w:lang w:eastAsia="zh-CN"/>
              </w:rPr>
              <w:t>降噪效果一览表</w:t>
            </w:r>
          </w:p>
          <w:tbl>
            <w:tblPr>
              <w:tblStyle w:val="132"/>
              <w:tblW w:w="4998" w:type="pct"/>
              <w:tblInd w:w="0" w:type="dxa"/>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Layout w:type="fixed"/>
              <w:tblCellMar>
                <w:top w:w="0" w:type="dxa"/>
                <w:left w:w="0" w:type="dxa"/>
                <w:bottom w:w="0" w:type="dxa"/>
                <w:right w:w="0" w:type="dxa"/>
              </w:tblCellMar>
            </w:tblPr>
            <w:tblGrid>
              <w:gridCol w:w="1013"/>
              <w:gridCol w:w="4536"/>
              <w:gridCol w:w="2843"/>
            </w:tblGrid>
            <w:tr w14:paraId="7532A532">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E864B75">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序号</w:t>
                  </w:r>
                </w:p>
              </w:tc>
              <w:tc>
                <w:tcPr>
                  <w:tcW w:w="2702" w:type="pct"/>
                  <w:tcBorders>
                    <w:tl2br w:val="nil"/>
                    <w:tr2bl w:val="nil"/>
                  </w:tcBorders>
                  <w:noWrap w:val="0"/>
                  <w:vAlign w:val="center"/>
                </w:tcPr>
                <w:p w14:paraId="78E5D1AA">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降噪方式</w:t>
                  </w:r>
                </w:p>
              </w:tc>
              <w:tc>
                <w:tcPr>
                  <w:tcW w:w="1693" w:type="pct"/>
                  <w:tcBorders>
                    <w:tl2br w:val="nil"/>
                    <w:tr2bl w:val="nil"/>
                  </w:tcBorders>
                  <w:noWrap w:val="0"/>
                  <w:vAlign w:val="center"/>
                </w:tcPr>
                <w:p w14:paraId="2968E4E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降噪效果dB（A）</w:t>
                  </w:r>
                </w:p>
              </w:tc>
            </w:tr>
            <w:tr w14:paraId="62BAD1E5">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7C429C8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w:t>
                  </w:r>
                </w:p>
              </w:tc>
              <w:tc>
                <w:tcPr>
                  <w:tcW w:w="2702" w:type="pct"/>
                  <w:tcBorders>
                    <w:tl2br w:val="nil"/>
                    <w:tr2bl w:val="nil"/>
                  </w:tcBorders>
                  <w:noWrap w:val="0"/>
                  <w:vAlign w:val="center"/>
                </w:tcPr>
                <w:p w14:paraId="70DD6E2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采取墙体隔声措施</w:t>
                  </w:r>
                </w:p>
              </w:tc>
              <w:tc>
                <w:tcPr>
                  <w:tcW w:w="1693" w:type="pct"/>
                  <w:tcBorders>
                    <w:tl2br w:val="nil"/>
                    <w:tr2bl w:val="nil"/>
                  </w:tcBorders>
                  <w:noWrap w:val="0"/>
                  <w:vAlign w:val="center"/>
                </w:tcPr>
                <w:p w14:paraId="1BB7998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1</w:t>
                  </w:r>
                  <w:r>
                    <w:rPr>
                      <w:rFonts w:hint="default" w:ascii="Times New Roman" w:hAnsi="Times New Roman" w:eastAsia="宋体" w:cs="Times New Roman"/>
                      <w:snapToGrid/>
                      <w:color w:val="auto"/>
                      <w:kern w:val="2"/>
                      <w:sz w:val="21"/>
                      <w:szCs w:val="21"/>
                      <w:highlight w:val="none"/>
                      <w:lang w:eastAsia="zh-CN"/>
                    </w:rPr>
                    <w:t>5</w:t>
                  </w:r>
                </w:p>
              </w:tc>
            </w:tr>
            <w:tr w14:paraId="222EE00E">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A56BA8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2</w:t>
                  </w:r>
                </w:p>
              </w:tc>
              <w:tc>
                <w:tcPr>
                  <w:tcW w:w="2702" w:type="pct"/>
                  <w:tcBorders>
                    <w:tl2br w:val="nil"/>
                    <w:tr2bl w:val="nil"/>
                  </w:tcBorders>
                  <w:noWrap w:val="0"/>
                  <w:vAlign w:val="center"/>
                </w:tcPr>
                <w:p w14:paraId="33F19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采取基础减振措施</w:t>
                  </w:r>
                </w:p>
              </w:tc>
              <w:tc>
                <w:tcPr>
                  <w:tcW w:w="1693" w:type="pct"/>
                  <w:tcBorders>
                    <w:tl2br w:val="nil"/>
                    <w:tr2bl w:val="nil"/>
                  </w:tcBorders>
                  <w:noWrap w:val="0"/>
                  <w:vAlign w:val="center"/>
                </w:tcPr>
                <w:p w14:paraId="2C70CE9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r>
            <w:tr w14:paraId="4C7B1028">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5DDA29D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w:t>
                  </w:r>
                </w:p>
              </w:tc>
              <w:tc>
                <w:tcPr>
                  <w:tcW w:w="2702" w:type="pct"/>
                  <w:tcBorders>
                    <w:tl2br w:val="nil"/>
                    <w:tr2bl w:val="nil"/>
                  </w:tcBorders>
                  <w:noWrap w:val="0"/>
                  <w:vAlign w:val="center"/>
                </w:tcPr>
                <w:p w14:paraId="36B8452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合计</w:t>
                  </w:r>
                </w:p>
              </w:tc>
              <w:tc>
                <w:tcPr>
                  <w:tcW w:w="1693" w:type="pct"/>
                  <w:tcBorders>
                    <w:tl2br w:val="nil"/>
                    <w:tr2bl w:val="nil"/>
                  </w:tcBorders>
                  <w:noWrap w:val="0"/>
                  <w:vAlign w:val="center"/>
                </w:tcPr>
                <w:p w14:paraId="2BF2860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2</w:t>
                  </w:r>
                  <w:r>
                    <w:rPr>
                      <w:rFonts w:hint="default" w:ascii="Times New Roman" w:hAnsi="Times New Roman" w:eastAsia="宋体" w:cs="Times New Roman"/>
                      <w:snapToGrid/>
                      <w:color w:val="auto"/>
                      <w:kern w:val="2"/>
                      <w:sz w:val="21"/>
                      <w:szCs w:val="21"/>
                      <w:highlight w:val="none"/>
                      <w:lang w:eastAsia="zh-CN"/>
                    </w:rPr>
                    <w:t>0</w:t>
                  </w:r>
                </w:p>
              </w:tc>
            </w:tr>
          </w:tbl>
          <w:p w14:paraId="2D998EEE">
            <w:pPr>
              <w:keepNext w:val="0"/>
              <w:keepLines w:val="0"/>
              <w:pageBreakBefore w:val="0"/>
              <w:widowControl w:val="0"/>
              <w:kinsoku/>
              <w:wordWrap/>
              <w:overflowPunct/>
              <w:topLinePunct w:val="0"/>
              <w:autoSpaceDE/>
              <w:autoSpaceDN/>
              <w:bidi w:val="0"/>
              <w:adjustRightInd/>
              <w:snapToGrid/>
              <w:spacing w:line="10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p>
          <w:p w14:paraId="79A40CF8">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snapToGrid/>
                <w:color w:val="auto"/>
                <w:kern w:val="0"/>
                <w:sz w:val="24"/>
                <w:szCs w:val="24"/>
                <w:highlight w:val="none"/>
                <w:lang w:val="en-US" w:eastAsia="zh-CN" w:bidi="ar-SA"/>
              </w:rPr>
              <w:t>综上，本项目噪声污染源源强核算结果见下表：</w:t>
            </w:r>
          </w:p>
          <w:p w14:paraId="529A0A6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lang w:val="en-US" w:eastAsia="zh-CN" w:bidi="ar-SA"/>
              </w:rPr>
              <w:t>表4-3</w:t>
            </w:r>
            <w:r>
              <w:rPr>
                <w:rFonts w:hint="eastAsia" w:cs="Times New Roman"/>
                <w:b/>
                <w:bCs/>
                <w:snapToGrid/>
                <w:color w:val="auto"/>
                <w:kern w:val="2"/>
                <w:sz w:val="21"/>
                <w:szCs w:val="21"/>
                <w:lang w:val="en-US" w:eastAsia="zh-CN" w:bidi="ar-SA"/>
              </w:rPr>
              <w:t>3</w:t>
            </w:r>
            <w:r>
              <w:rPr>
                <w:rFonts w:hint="default" w:ascii="Times New Roman" w:hAnsi="Times New Roman" w:eastAsia="宋体" w:cs="Times New Roman"/>
                <w:b/>
                <w:bCs/>
                <w:snapToGrid/>
                <w:color w:val="auto"/>
                <w:kern w:val="2"/>
                <w:sz w:val="21"/>
                <w:szCs w:val="21"/>
                <w:highlight w:val="none"/>
                <w:lang w:eastAsia="zh-CN"/>
              </w:rPr>
              <w:t>工业企业噪声源强调查清单（室外声源）</w:t>
            </w:r>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874"/>
              <w:gridCol w:w="845"/>
              <w:gridCol w:w="570"/>
              <w:gridCol w:w="570"/>
              <w:gridCol w:w="410"/>
              <w:gridCol w:w="1277"/>
              <w:gridCol w:w="1066"/>
              <w:gridCol w:w="1574"/>
              <w:gridCol w:w="845"/>
            </w:tblGrid>
            <w:tr w14:paraId="72AB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D031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5ECF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声源名称</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654C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设备数量</w:t>
                  </w:r>
                </w:p>
              </w:tc>
              <w:tc>
                <w:tcPr>
                  <w:tcW w:w="1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B98B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空间相对位置</w:t>
                  </w:r>
                </w:p>
              </w:tc>
              <w:tc>
                <w:tcPr>
                  <w:tcW w:w="2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CB09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声源源强</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B73C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声源控制措施</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036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运行时段</w:t>
                  </w:r>
                </w:p>
              </w:tc>
            </w:tr>
            <w:tr w14:paraId="6559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21CCB">
                  <w:pPr>
                    <w:jc w:val="center"/>
                    <w:rPr>
                      <w:rFonts w:hint="default" w:ascii="Times New Roman" w:hAnsi="Times New Roman" w:eastAsia="宋体" w:cs="Times New Roman"/>
                      <w:i w:val="0"/>
                      <w:iCs w:val="0"/>
                      <w:color w:val="auto"/>
                      <w:sz w:val="21"/>
                      <w:szCs w:val="21"/>
                      <w:u w:val="none"/>
                    </w:rPr>
                  </w:pP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5758B">
                  <w:pPr>
                    <w:jc w:val="center"/>
                    <w:rPr>
                      <w:rFonts w:hint="default" w:ascii="Times New Roman" w:hAnsi="Times New Roman" w:eastAsia="宋体" w:cs="Times New Roman"/>
                      <w:i w:val="0"/>
                      <w:iCs w:val="0"/>
                      <w:color w:val="auto"/>
                      <w:sz w:val="21"/>
                      <w:szCs w:val="21"/>
                      <w:u w:val="none"/>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2D59">
                  <w:pPr>
                    <w:jc w:val="center"/>
                    <w:rPr>
                      <w:rFonts w:hint="default" w:ascii="Times New Roman" w:hAnsi="Times New Roman" w:eastAsia="宋体" w:cs="Times New Roman"/>
                      <w:b/>
                      <w:bCs/>
                      <w:i w:val="0"/>
                      <w:iCs w:val="0"/>
                      <w:color w:val="auto"/>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F02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X</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D65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Y</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D1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Z</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BDA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声压级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01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距声源距离m</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537C">
                  <w:pPr>
                    <w:jc w:val="center"/>
                    <w:rPr>
                      <w:rFonts w:hint="default" w:ascii="Times New Roman" w:hAnsi="Times New Roman" w:eastAsia="宋体" w:cs="Times New Roman"/>
                      <w:i w:val="0"/>
                      <w:iCs w:val="0"/>
                      <w:color w:val="auto"/>
                      <w:sz w:val="21"/>
                      <w:szCs w:val="21"/>
                      <w:u w:val="none"/>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8DC7">
                  <w:pPr>
                    <w:jc w:val="center"/>
                    <w:rPr>
                      <w:rFonts w:hint="default" w:ascii="Times New Roman" w:hAnsi="Times New Roman" w:eastAsia="宋体" w:cs="Times New Roman"/>
                      <w:i w:val="0"/>
                      <w:iCs w:val="0"/>
                      <w:color w:val="auto"/>
                      <w:sz w:val="21"/>
                      <w:szCs w:val="21"/>
                      <w:u w:val="none"/>
                    </w:rPr>
                  </w:pPr>
                </w:p>
              </w:tc>
            </w:tr>
            <w:tr w14:paraId="533E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28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9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21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D0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97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3D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A3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2B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5C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B6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5E9E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1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F3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2#</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E7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18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07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E4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33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3E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77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BC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1C72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B8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7E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3#</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3A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77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0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A4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A9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59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71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3D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596A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6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7540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color w:val="auto"/>
                      <w:spacing w:val="-1"/>
                      <w:sz w:val="21"/>
                      <w:szCs w:val="21"/>
                      <w:highlight w:val="none"/>
                    </w:rPr>
                    <w:t>注：以</w:t>
                  </w:r>
                  <w:r>
                    <w:rPr>
                      <w:rFonts w:hint="eastAsia" w:cs="Times New Roman"/>
                      <w:color w:val="auto"/>
                      <w:spacing w:val="-1"/>
                      <w:sz w:val="21"/>
                      <w:szCs w:val="21"/>
                      <w:highlight w:val="none"/>
                      <w:lang w:eastAsia="zh-CN"/>
                    </w:rPr>
                    <w:t>（</w:t>
                  </w:r>
                  <w:r>
                    <w:rPr>
                      <w:rFonts w:hint="default" w:ascii="Times New Roman" w:hAnsi="Times New Roman" w:eastAsia="宋体" w:cs="Times New Roman"/>
                      <w:color w:val="auto"/>
                      <w:sz w:val="21"/>
                      <w:szCs w:val="21"/>
                      <w:highlight w:val="none"/>
                    </w:rPr>
                    <w:t>东经113°24'30.099"，北纬25°9'23.358"</w:t>
                  </w:r>
                  <w:r>
                    <w:rPr>
                      <w:rFonts w:hint="eastAsia" w:cs="Times New Roman"/>
                      <w:color w:val="auto"/>
                      <w:spacing w:val="-1"/>
                      <w:sz w:val="21"/>
                      <w:szCs w:val="21"/>
                      <w:highlight w:val="none"/>
                      <w:lang w:eastAsia="zh-CN"/>
                    </w:rPr>
                    <w:t>）</w:t>
                  </w:r>
                  <w:r>
                    <w:rPr>
                      <w:rFonts w:hint="default" w:ascii="Times New Roman" w:hAnsi="Times New Roman" w:eastAsia="宋体" w:cs="Times New Roman"/>
                      <w:color w:val="auto"/>
                      <w:spacing w:val="-1"/>
                      <w:sz w:val="21"/>
                      <w:szCs w:val="21"/>
                      <w:highlight w:val="none"/>
                    </w:rPr>
                    <w:t>为原点（0，0），正东向为X轴正方向、正北向为Y轴正方向建立直角坐标系。</w:t>
                  </w:r>
                </w:p>
              </w:tc>
            </w:tr>
          </w:tbl>
          <w:p w14:paraId="714AFF1B">
            <w:pPr>
              <w:pStyle w:val="2"/>
              <w:rPr>
                <w:rFonts w:hint="default" w:ascii="Times New Roman" w:hAnsi="Times New Roman" w:eastAsia="宋体" w:cs="Times New Roman"/>
                <w:b/>
                <w:bCs/>
                <w:snapToGrid/>
                <w:color w:val="auto"/>
                <w:kern w:val="2"/>
                <w:sz w:val="21"/>
                <w:szCs w:val="21"/>
                <w:highlight w:val="none"/>
                <w:lang w:eastAsia="zh-CN"/>
              </w:rPr>
            </w:pPr>
          </w:p>
          <w:p w14:paraId="34C2F75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p>
        </w:tc>
      </w:tr>
    </w:tbl>
    <w:p w14:paraId="570C5510">
      <w:pPr>
        <w:pStyle w:val="76"/>
        <w:rPr>
          <w:rFonts w:hint="eastAsia"/>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204"/>
      </w:tblGrid>
      <w:tr w14:paraId="343E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5" w:hRule="atLeast"/>
        </w:trPr>
        <w:tc>
          <w:tcPr>
            <w:tcW w:w="448" w:type="dxa"/>
            <w:noWrap w:val="0"/>
            <w:vAlign w:val="top"/>
          </w:tcPr>
          <w:p w14:paraId="5D115C26">
            <w:pPr>
              <w:pStyle w:val="45"/>
              <w:jc w:val="center"/>
              <w:outlineLvl w:val="0"/>
              <w:rPr>
                <w:rFonts w:hint="default" w:ascii="Times New Roman" w:hAnsi="Times New Roman" w:eastAsia="宋体" w:cs="Times New Roman"/>
                <w:snapToGrid w:val="0"/>
                <w:color w:val="auto"/>
                <w:sz w:val="30"/>
                <w:szCs w:val="30"/>
                <w:highlight w:val="none"/>
                <w:vertAlign w:val="baseline"/>
              </w:rPr>
            </w:pPr>
          </w:p>
        </w:tc>
        <w:tc>
          <w:tcPr>
            <w:tcW w:w="13204" w:type="dxa"/>
            <w:noWrap w:val="0"/>
            <w:vAlign w:val="top"/>
          </w:tcPr>
          <w:p w14:paraId="7F25E2D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pacing w:val="-4"/>
                <w:sz w:val="21"/>
                <w:szCs w:val="21"/>
                <w:highlight w:val="none"/>
                <w:lang w:eastAsia="zh-CN"/>
              </w:rPr>
            </w:pPr>
            <w:r>
              <w:rPr>
                <w:rFonts w:hint="default" w:ascii="Times New Roman" w:hAnsi="Times New Roman" w:eastAsia="宋体" w:cs="Times New Roman"/>
                <w:b/>
                <w:bCs/>
                <w:color w:val="auto"/>
                <w:spacing w:val="-4"/>
                <w:kern w:val="2"/>
                <w:sz w:val="21"/>
                <w:szCs w:val="21"/>
                <w:lang w:val="en-US" w:eastAsia="zh-CN" w:bidi="ar-SA"/>
              </w:rPr>
              <w:t>表4-3</w:t>
            </w:r>
            <w:r>
              <w:rPr>
                <w:rFonts w:hint="eastAsia" w:cs="Times New Roman"/>
                <w:b/>
                <w:bCs/>
                <w:color w:val="auto"/>
                <w:spacing w:val="-4"/>
                <w:kern w:val="2"/>
                <w:sz w:val="21"/>
                <w:szCs w:val="21"/>
                <w:lang w:val="en-US" w:eastAsia="zh-CN" w:bidi="ar-SA"/>
              </w:rPr>
              <w:t>4</w:t>
            </w:r>
            <w:r>
              <w:rPr>
                <w:rFonts w:hint="default" w:ascii="Times New Roman" w:hAnsi="Times New Roman" w:eastAsia="宋体" w:cs="Times New Roman"/>
                <w:b/>
                <w:bCs/>
                <w:color w:val="auto"/>
                <w:sz w:val="21"/>
                <w:szCs w:val="21"/>
                <w:highlight w:val="none"/>
                <w:lang w:eastAsia="zh-CN"/>
              </w:rPr>
              <w:t>工业</w:t>
            </w:r>
            <w:r>
              <w:rPr>
                <w:rFonts w:hint="default" w:ascii="Times New Roman" w:hAnsi="Times New Roman" w:eastAsia="宋体" w:cs="Times New Roman"/>
                <w:b/>
                <w:bCs/>
                <w:color w:val="auto"/>
                <w:spacing w:val="-4"/>
                <w:sz w:val="21"/>
                <w:szCs w:val="21"/>
                <w:highlight w:val="none"/>
              </w:rPr>
              <w:t>企业噪声源强调查清单</w:t>
            </w:r>
            <w:r>
              <w:rPr>
                <w:rFonts w:hint="default" w:ascii="Times New Roman" w:hAnsi="Times New Roman" w:eastAsia="宋体" w:cs="Times New Roman"/>
                <w:b/>
                <w:bCs/>
                <w:color w:val="auto"/>
                <w:spacing w:val="-4"/>
                <w:sz w:val="21"/>
                <w:szCs w:val="21"/>
                <w:highlight w:val="none"/>
                <w:lang w:eastAsia="zh-CN"/>
              </w:rPr>
              <w:t>（</w:t>
            </w:r>
            <w:r>
              <w:rPr>
                <w:rFonts w:hint="default" w:ascii="Times New Roman" w:hAnsi="Times New Roman" w:eastAsia="宋体" w:cs="Times New Roman"/>
                <w:b/>
                <w:bCs/>
                <w:color w:val="auto"/>
                <w:spacing w:val="-4"/>
                <w:sz w:val="21"/>
                <w:szCs w:val="21"/>
                <w:highlight w:val="none"/>
              </w:rPr>
              <w:t>室内声源</w:t>
            </w:r>
            <w:r>
              <w:rPr>
                <w:rFonts w:hint="default" w:ascii="Times New Roman" w:hAnsi="Times New Roman" w:eastAsia="宋体" w:cs="Times New Roman"/>
                <w:b/>
                <w:bCs/>
                <w:color w:val="auto"/>
                <w:spacing w:val="-4"/>
                <w:sz w:val="21"/>
                <w:szCs w:val="21"/>
                <w:highlight w:val="none"/>
                <w:lang w:eastAsia="zh-CN"/>
              </w:rPr>
              <w:t>）</w:t>
            </w:r>
          </w:p>
          <w:tbl>
            <w:tblPr>
              <w:tblStyle w:val="48"/>
              <w:tblW w:w="129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
              <w:gridCol w:w="975"/>
              <w:gridCol w:w="599"/>
              <w:gridCol w:w="994"/>
              <w:gridCol w:w="874"/>
              <w:gridCol w:w="1308"/>
              <w:gridCol w:w="379"/>
              <w:gridCol w:w="338"/>
              <w:gridCol w:w="377"/>
              <w:gridCol w:w="294"/>
              <w:gridCol w:w="220"/>
              <w:gridCol w:w="324"/>
              <w:gridCol w:w="220"/>
              <w:gridCol w:w="481"/>
              <w:gridCol w:w="481"/>
              <w:gridCol w:w="481"/>
              <w:gridCol w:w="481"/>
              <w:gridCol w:w="459"/>
              <w:gridCol w:w="617"/>
              <w:gridCol w:w="482"/>
              <w:gridCol w:w="482"/>
              <w:gridCol w:w="483"/>
              <w:gridCol w:w="487"/>
              <w:gridCol w:w="805"/>
            </w:tblGrid>
            <w:tr w14:paraId="5D74E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47"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051D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72615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声源名称</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7E53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设备数量</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FA547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声源源强</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56ED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声源控制措施</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F1596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空间相对位置</w:t>
                  </w:r>
                </w:p>
              </w:tc>
              <w:tc>
                <w:tcPr>
                  <w:tcW w:w="1058"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21957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距室内边界距离</w:t>
                  </w:r>
                  <w:r>
                    <w:rPr>
                      <w:rFonts w:hint="default" w:ascii="Times New Roman" w:hAnsi="Times New Roman" w:eastAsia="宋体" w:cs="Times New Roman"/>
                      <w:b/>
                      <w:bCs/>
                      <w:i w:val="0"/>
                      <w:iCs w:val="0"/>
                      <w:color w:val="auto"/>
                      <w:kern w:val="0"/>
                      <w:sz w:val="21"/>
                      <w:szCs w:val="21"/>
                      <w:u w:val="none"/>
                      <w:lang w:val="en-US" w:eastAsia="zh-CN" w:bidi="ar"/>
                    </w:rPr>
                    <w:t>/m</w:t>
                  </w:r>
                </w:p>
              </w:tc>
              <w:tc>
                <w:tcPr>
                  <w:tcW w:w="192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49BDF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室内边界声级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459"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1981A8E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运行时段</w:t>
                  </w:r>
                </w:p>
              </w:tc>
              <w:tc>
                <w:tcPr>
                  <w:tcW w:w="617"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45A1819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建筑物插入损失</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193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C2F5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建筑物外声级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805"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70A52B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建筑物外距离</w:t>
                  </w:r>
                  <w:r>
                    <w:rPr>
                      <w:rFonts w:hint="default" w:ascii="Times New Roman" w:hAnsi="Times New Roman" w:eastAsia="宋体" w:cs="Times New Roman"/>
                      <w:b/>
                      <w:bCs/>
                      <w:i w:val="0"/>
                      <w:iCs w:val="0"/>
                      <w:color w:val="auto"/>
                      <w:kern w:val="0"/>
                      <w:sz w:val="21"/>
                      <w:szCs w:val="21"/>
                      <w:u w:val="none"/>
                      <w:lang w:val="en-US" w:eastAsia="zh-CN" w:bidi="ar"/>
                    </w:rPr>
                    <w:t>/m</w:t>
                  </w:r>
                </w:p>
              </w:tc>
            </w:tr>
            <w:tr w14:paraId="541F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47"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E50F35">
                  <w:pPr>
                    <w:jc w:val="center"/>
                    <w:rPr>
                      <w:rFonts w:hint="default" w:ascii="Times New Roman" w:hAnsi="Times New Roman" w:eastAsia="宋体" w:cs="Times New Roman"/>
                      <w:b/>
                      <w:bCs/>
                      <w:i w:val="0"/>
                      <w:iCs w:val="0"/>
                      <w:color w:val="auto"/>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74243">
                  <w:pPr>
                    <w:jc w:val="center"/>
                    <w:rPr>
                      <w:rFonts w:hint="default" w:ascii="Times New Roman" w:hAnsi="Times New Roman" w:eastAsia="宋体" w:cs="Times New Roman"/>
                      <w:b/>
                      <w:bCs/>
                      <w:i w:val="0"/>
                      <w:iCs w:val="0"/>
                      <w:color w:val="auto"/>
                      <w:sz w:val="21"/>
                      <w:szCs w:val="21"/>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C8CE84">
                  <w:pPr>
                    <w:jc w:val="center"/>
                    <w:rPr>
                      <w:rFonts w:hint="default" w:ascii="Times New Roman" w:hAnsi="Times New Roman" w:eastAsia="宋体" w:cs="Times New Roman"/>
                      <w:b/>
                      <w:bCs/>
                      <w:i w:val="0"/>
                      <w:iCs w:val="0"/>
                      <w:color w:val="auto"/>
                      <w:sz w:val="21"/>
                      <w:szCs w:val="21"/>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8136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声压级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0CCA9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距声源距离</w:t>
                  </w:r>
                  <w:r>
                    <w:rPr>
                      <w:rFonts w:hint="default" w:ascii="Times New Roman" w:hAnsi="Times New Roman" w:eastAsia="宋体" w:cs="Times New Roman"/>
                      <w:b/>
                      <w:bCs/>
                      <w:i w:val="0"/>
                      <w:iCs w:val="0"/>
                      <w:color w:val="auto"/>
                      <w:kern w:val="0"/>
                      <w:sz w:val="21"/>
                      <w:szCs w:val="21"/>
                      <w:u w:val="none"/>
                      <w:lang w:val="en-US" w:eastAsia="zh-CN" w:bidi="ar"/>
                    </w:rPr>
                    <w:t>/m</w:t>
                  </w: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D2BBC3">
                  <w:pPr>
                    <w:jc w:val="center"/>
                    <w:rPr>
                      <w:rFonts w:hint="default" w:ascii="Times New Roman" w:hAnsi="Times New Roman" w:eastAsia="宋体" w:cs="Times New Roman"/>
                      <w:b/>
                      <w:bCs/>
                      <w:i w:val="0"/>
                      <w:iCs w:val="0"/>
                      <w:color w:val="auto"/>
                      <w:sz w:val="21"/>
                      <w:szCs w:val="21"/>
                      <w:u w:val="none"/>
                    </w:rPr>
                  </w:pP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2CAB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X</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3768B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Y</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7B0DF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Z</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80A5A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F2CB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1C348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700B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1F2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31C8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65026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CE9F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459"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33458BD3">
                  <w:pPr>
                    <w:jc w:val="center"/>
                    <w:rPr>
                      <w:rFonts w:hint="default" w:ascii="Times New Roman" w:hAnsi="Times New Roman" w:eastAsia="宋体" w:cs="Times New Roman"/>
                      <w:b/>
                      <w:bCs/>
                      <w:i w:val="0"/>
                      <w:iCs w:val="0"/>
                      <w:color w:val="auto"/>
                      <w:sz w:val="21"/>
                      <w:szCs w:val="21"/>
                      <w:u w:val="none"/>
                    </w:rPr>
                  </w:pPr>
                </w:p>
              </w:tc>
              <w:tc>
                <w:tcPr>
                  <w:tcW w:w="617"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0DA9E64F">
                  <w:pPr>
                    <w:jc w:val="center"/>
                    <w:rPr>
                      <w:rFonts w:hint="default" w:ascii="Times New Roman" w:hAnsi="Times New Roman" w:eastAsia="宋体" w:cs="Times New Roman"/>
                      <w:b/>
                      <w:bCs/>
                      <w:i w:val="0"/>
                      <w:iCs w:val="0"/>
                      <w:color w:val="auto"/>
                      <w:sz w:val="21"/>
                      <w:szCs w:val="21"/>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5C8F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237A7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EEE51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2DAC5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805"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5A6B6E04">
                  <w:pPr>
                    <w:jc w:val="center"/>
                    <w:rPr>
                      <w:rFonts w:hint="default" w:ascii="Times New Roman" w:hAnsi="Times New Roman" w:eastAsia="宋体" w:cs="Times New Roman"/>
                      <w:b/>
                      <w:bCs/>
                      <w:i w:val="0"/>
                      <w:iCs w:val="0"/>
                      <w:color w:val="auto"/>
                      <w:sz w:val="21"/>
                      <w:szCs w:val="21"/>
                      <w:u w:val="none"/>
                    </w:rPr>
                  </w:pPr>
                </w:p>
              </w:tc>
            </w:tr>
            <w:tr w14:paraId="5C48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204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BAA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张力机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675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16BE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A261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52C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208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F780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0B0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DA60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3FCB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149F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D9F1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6F62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282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42.01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8E89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DF09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47.22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BA76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574F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F509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57B1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15.59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750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FF82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ABB4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F81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33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DC12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烘水炉</w:t>
                  </w:r>
                  <w:r>
                    <w:rPr>
                      <w:rFonts w:hint="eastAsia" w:ascii="宋体" w:hAnsi="宋体" w:cs="宋体"/>
                      <w:i w:val="0"/>
                      <w:iCs w:val="0"/>
                      <w:color w:val="auto"/>
                      <w:kern w:val="0"/>
                      <w:sz w:val="21"/>
                      <w:szCs w:val="21"/>
                      <w:u w:val="none"/>
                      <w:lang w:val="en-US" w:eastAsia="zh-CN" w:bidi="ar"/>
                    </w:rPr>
                    <w:t>加热</w:t>
                  </w:r>
                  <w:r>
                    <w:rPr>
                      <w:rFonts w:hint="eastAsia" w:ascii="宋体" w:hAnsi="宋体" w:eastAsia="宋体" w:cs="宋体"/>
                      <w:i w:val="0"/>
                      <w:iCs w:val="0"/>
                      <w:color w:val="auto"/>
                      <w:kern w:val="0"/>
                      <w:sz w:val="21"/>
                      <w:szCs w:val="21"/>
                      <w:u w:val="none"/>
                      <w:lang w:val="en-US" w:eastAsia="zh-CN" w:bidi="ar"/>
                    </w:rPr>
                    <w:t>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26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6BED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5A1E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9E13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3439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54B2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0AD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0B9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F7E0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0480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1562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9CBE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45.32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FD3D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7EE6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FE70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8748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195B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BC5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E1C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0B6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B60F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31.89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07E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3922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775E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6F78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9E6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DB3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2AC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D8B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3A5E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86B2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66D8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7E73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68DF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B66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E5C2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3103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29.68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0790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47.94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91DC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34.74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F7B6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B2F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8766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46D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30C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B8C7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7A6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82FE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E658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7530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6AE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数控折弯机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C802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5533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EE4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EED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7FA9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5CE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96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6A16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A0C7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ED03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AE16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7021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2654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528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65.98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950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63.76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2B19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1946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7F82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727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F7F9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503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41D3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BFC0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99E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23F9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滚压成型设备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948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9F35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BFB2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9B4F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442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D92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471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1FB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2265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6CBF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6230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EB1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58.54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AF5B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87E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34E4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62.35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2934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7765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95C4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32.37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3405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38.95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60B1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BF8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36.09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2473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FEF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ECF4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AF4A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全自动冲孔设备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ACF6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1536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CBE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D6CF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54D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B6D7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ADA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B347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9EF4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3BD7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A43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1C4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34AA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19F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52.08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216C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A02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E7B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1071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A73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6A37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25.97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1C4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142F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0A6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154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502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数控切割机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E5C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7FA9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ECB2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BB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68B4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5F8F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B75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893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571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55C3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EEA8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73D5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E3C6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58.76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5928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59.61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7EF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CFE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3B63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830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20.13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7E72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1623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33.16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3165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B95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3DF0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009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99E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激光切割生产线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0CA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E1F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F64E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4E38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B41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AC20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DD7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3EFF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8EEB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414D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0760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D1B2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48.12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674C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37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53.96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E26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56.19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1D7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7A6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F0F3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B7EA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31.88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CB9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27.72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CE8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29.88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D7DE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200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D2DD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EB60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卧式数控刨槽机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4D9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F29E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D37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D240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DFD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F191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45A3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05DB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5D7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A812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F4F4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372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9E9A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C289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7A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9E93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5A3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1457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ACB5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25.49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F05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0937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2D5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B9B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F746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6AED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数控转塔冲床</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8F96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00F7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E227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21E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D2E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219B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331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3F2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83F5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3C5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F64A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29BD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CFF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3F7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4810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66.03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5CB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F66E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2372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40.41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77F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0DD9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32.26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14D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39.76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C38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4A0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1BB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532B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精密剪板机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D94F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92F6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B20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483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1A5B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6FC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CD9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A3DB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B9E5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5321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9ACA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853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C11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7CE7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40.75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EFF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7FA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D880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A3F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DE4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00A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B66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A89B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9FD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ED8E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FEC3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高速激光焊机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BCDA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8A4D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CC2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5DC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9F75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94D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F131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D76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69AA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04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7B6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C1C5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D954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9C7A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9A7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46.46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E0F2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E991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798B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8.74</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D140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6D1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25.49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E3F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20.14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AB5C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0B0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EF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1488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进口氩弧焊机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0F5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015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EAA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570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56E1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F2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A34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BB1D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E15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04D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4592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BD40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33.84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4DA0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43.69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2934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CCBA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2D7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8EFC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09BC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7.75</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B9FC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311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19.73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357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723D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451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D69E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0580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多功能焊机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9DA9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670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950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9D7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FAC8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4B6D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472C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6C4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69C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42A0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B9EA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D81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35.09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1FA8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46BC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CF37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44.48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97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E701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9666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650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24C8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2743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B7B9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143F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B610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F14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B322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31A9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FE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6EA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CDF7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D004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D986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CADE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C7EF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9CEE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237A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693F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A9E5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36.42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D247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9D30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7E49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6A30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230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46D5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0A5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A4D5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4C8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C422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C8C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7615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手磨机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1860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FD73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D28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B19B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5F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92A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9C06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524B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F04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AAF1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73D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05F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1EE8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36.25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A6B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FA6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B638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AD3D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6CF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CD8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88D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57E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9.12</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CC4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1DD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5D0F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0D76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94CB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52C1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7882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A94A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F255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1F17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1E4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6414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172F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A8FC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79D3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4627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4379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C27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CFA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42.82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BE33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6AE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F0F1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55F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64D6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14.57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804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DF9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93C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530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2904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0631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75AF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E8D3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E1A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E05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7F20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7626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30ED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A2F3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41B5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F2E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2F6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0888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30.55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9A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34.04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94E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39.95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685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3E56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B4BD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5B6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D20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2F4F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21C3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F31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6695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C3A2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手持喷枪</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D901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004F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FA8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4FB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9444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3D2A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7DD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9B1E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0E4C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9016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BA1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4D77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3D76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33A5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970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49.94</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A0A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664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D44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9.36</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162F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14.33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1B14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15.35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DF4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D48F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D7A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10B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0B54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B9E3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21A3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77A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9A7B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722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E2CA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E5F5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438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40E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722B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F54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103C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4B1A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1B3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522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912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E3C5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7F21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1C48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32F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4673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13.04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534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E27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E704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266C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EA7F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2275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9724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461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6B9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C915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C05E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B3F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38FE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0E12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C747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6F0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28.37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D7B5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30.87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1C6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27.65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8C8D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64C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71BF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E38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C12F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5894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6C6E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12.38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6689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8F2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CAF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6D0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烤炉</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A61F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038E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E0B1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15FD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AA1D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89BA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D3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D86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2DCC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D790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0A8A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AE33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50.24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D552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51.22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8E5E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2635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1CBE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3AC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C46F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23.99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6E4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24.94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5FA2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17.07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B04C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E4F4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B33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771A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4C45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403F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D8D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A2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7EF9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7FB2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5E9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EBF7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1050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AE5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E7B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AA3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CC70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37.16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66C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858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0CE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FD1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D595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FE1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26CC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19.85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FC0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0310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19.61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844D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5DBA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448A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88CA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6435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952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C466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6092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0644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606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589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9B99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0A47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4BEB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626E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8E18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35.33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70E4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623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41.86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C193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307E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E95B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337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C113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45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15.63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635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834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9E1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CD20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4790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442D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3160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C6B3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EA35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37B5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023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B02A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F28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F65F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96A4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51C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4A40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EB27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708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249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53.31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B3F1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486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A6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1B3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19.56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FD01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14.88</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C514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02C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BCF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21B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04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各类组装设备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33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F84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A6A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40B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D55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5409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92D7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2827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77C9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98F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A190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5230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44DF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E2F7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05F2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22E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EA56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505A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4A4A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19.79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34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15DD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984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bl>
          <w:p w14:paraId="7F464690">
            <w:pPr>
              <w:rPr>
                <w:rFonts w:hint="default"/>
                <w:color w:val="auto"/>
              </w:rPr>
            </w:pPr>
            <w:r>
              <w:rPr>
                <w:rFonts w:hint="default" w:ascii="Times New Roman" w:hAnsi="Times New Roman" w:eastAsia="宋体" w:cs="Times New Roman"/>
                <w:color w:val="auto"/>
                <w:spacing w:val="-1"/>
                <w:sz w:val="17"/>
                <w:szCs w:val="17"/>
                <w:highlight w:val="none"/>
              </w:rPr>
              <w:t>注：以（东经113°24'30.099"，北纬25°9'23.358"）为原点（0，0），正东向为X轴正方向、正北向为Y轴正方向建立直角坐标系。</w:t>
            </w:r>
          </w:p>
        </w:tc>
      </w:tr>
    </w:tbl>
    <w:p w14:paraId="4AFA7B19">
      <w:pPr>
        <w:pStyle w:val="76"/>
        <w:rPr>
          <w:rFonts w:hint="eastAsia"/>
          <w:color w:val="auto"/>
          <w:highlight w:val="none"/>
        </w:rPr>
        <w:sectPr>
          <w:pgSz w:w="16840" w:h="11907"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543"/>
      </w:tblGrid>
      <w:tr w14:paraId="7132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9" w:hRule="atLeast"/>
        </w:trPr>
        <w:tc>
          <w:tcPr>
            <w:tcW w:w="518" w:type="dxa"/>
            <w:noWrap w:val="0"/>
            <w:vAlign w:val="top"/>
          </w:tcPr>
          <w:p w14:paraId="2C258D5B">
            <w:pPr>
              <w:pStyle w:val="76"/>
              <w:rPr>
                <w:rFonts w:hint="default" w:ascii="Times New Roman" w:hAnsi="Times New Roman" w:eastAsia="宋体" w:cs="Times New Roman"/>
                <w:color w:val="auto"/>
                <w:highlight w:val="none"/>
                <w:vertAlign w:val="baseline"/>
              </w:rPr>
            </w:pPr>
          </w:p>
        </w:tc>
        <w:tc>
          <w:tcPr>
            <w:tcW w:w="8543" w:type="dxa"/>
            <w:noWrap w:val="0"/>
            <w:vAlign w:val="top"/>
          </w:tcPr>
          <w:p w14:paraId="5D50B863">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3.2</w:t>
            </w:r>
            <w:r>
              <w:rPr>
                <w:rFonts w:hint="default" w:ascii="Times New Roman" w:hAnsi="Times New Roman" w:eastAsia="宋体" w:cs="Times New Roman"/>
                <w:b/>
                <w:bCs/>
                <w:color w:val="auto"/>
                <w:sz w:val="24"/>
                <w:highlight w:val="none"/>
                <w:lang w:val="en-US" w:eastAsia="zh-CN"/>
              </w:rPr>
              <w:t>噪声污染防治措施</w:t>
            </w:r>
          </w:p>
          <w:p w14:paraId="29190533">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为确保厂界噪声满足《工业企业厂界环境噪声排放标准》（GB12348-2008）中的相应标准，项目拟采取以下噪声与振动治理措施：</w:t>
            </w:r>
          </w:p>
          <w:p w14:paraId="33B5E21D">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①合理布局：尽量将高噪声设备布置在厂房中间，尽可能地选择远离厂界的位置。</w:t>
            </w:r>
          </w:p>
          <w:p w14:paraId="68F8CDC6">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②落实设备基础减振以及厂房隔声：</w:t>
            </w:r>
          </w:p>
          <w:p w14:paraId="6F29C00C">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A、在设备选型方面，在满足工艺生产的前提下，选用精度高、装配质量好、噪声低的设备；对设备基础进行减振；</w:t>
            </w:r>
          </w:p>
          <w:p w14:paraId="2F1571FA">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B、重视厂房的使用状况，不设门窗或设隔声玻璃门窗。</w:t>
            </w:r>
          </w:p>
          <w:p w14:paraId="3020797E">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③加强内部管理：建立设备定期维护、保养的管理制度，以防止设备故障形成的非生产噪声，同时确保环保措施发挥最有效的功能；加强职工环保意识教育，提倡文明生产，防止人为噪声。</w:t>
            </w:r>
          </w:p>
          <w:p w14:paraId="42D3EA80">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④合理安排生产时间：尽可能地安排在昼间进行生产，若夜间必须生产应控制夜间生产时间，特别夜间应停止高噪声设备，减少机械的噪声影响。</w:t>
            </w:r>
          </w:p>
          <w:p w14:paraId="3BE87A79">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⑤针对冲床、折弯机，安装减振垫（橡胶/NBR材质）或弹簧减振器，橡胶减振垫能有效吸收高频振动，</w:t>
            </w:r>
            <w:r>
              <w:rPr>
                <w:rFonts w:hint="eastAsia" w:ascii="Times New Roman" w:hAnsi="Times New Roman" w:eastAsia="宋体" w:cs="Times New Roman"/>
                <w:color w:val="auto"/>
                <w:kern w:val="0"/>
                <w:sz w:val="24"/>
                <w:highlight w:val="none"/>
                <w:lang w:eastAsia="zh-CN"/>
              </w:rPr>
              <w:t>降低噪声</w:t>
            </w:r>
            <w:r>
              <w:rPr>
                <w:rFonts w:hint="default" w:ascii="Times New Roman" w:hAnsi="Times New Roman" w:eastAsia="宋体" w:cs="Times New Roman"/>
                <w:color w:val="auto"/>
                <w:kern w:val="0"/>
                <w:sz w:val="24"/>
                <w:highlight w:val="none"/>
              </w:rPr>
              <w:t>15~25dB，且安装简便，无需地脚螺栓固定；弹簧减振器则适用于低频振动隔离，通过调整预紧力可适配不同吨位设备，安装时需确保减振器与设备底座紧密连接，并定期检查螺栓紧固状态。</w:t>
            </w:r>
          </w:p>
          <w:p w14:paraId="77C262B7">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⑥通风管道采用橡胶软管或金属波纹管。橡胶软管适用于常温常压环境，但耐高温高压性较差</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金属波纹管则能耐高温、高压和腐蚀，适合制冷剂管路等苛刻工况。</w:t>
            </w:r>
          </w:p>
          <w:p w14:paraId="6F37288F">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⑦生产设备定期进行润滑处理，定期维护轴承、齿轮，使用高粘度润滑油减少轴承、齿轮摩擦噪声，并优化轴承预紧力以减少振动源。</w:t>
            </w:r>
          </w:p>
          <w:p w14:paraId="5CAB03B8">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⑧对旋转部件（如砂轮、转子）定期进行校验，减少不平衡质量引发的振动。定期使用专业平衡机（如银箭数控设备）进行动/静平衡检测，通过添加配重块或去重调整质量分布，确保残余不平衡量符合标准。</w:t>
            </w:r>
          </w:p>
          <w:p w14:paraId="4599AE59">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⑨针对设备外壳振动明显的设备，可在设备外壳粘贴丁基橡胶阻尼片，抑制薄板振动。</w:t>
            </w:r>
          </w:p>
          <w:p w14:paraId="6283B010">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本项目周边50米范围内不存在声环境保护目标，经采取上述的降噪措施后，预计项目</w:t>
            </w:r>
            <w:r>
              <w:rPr>
                <w:rFonts w:hint="eastAsia" w:cs="Times New Roman"/>
                <w:color w:val="auto"/>
                <w:kern w:val="0"/>
                <w:sz w:val="24"/>
                <w:highlight w:val="none"/>
                <w:lang w:val="en-US" w:eastAsia="zh-CN"/>
              </w:rPr>
              <w:t>西、北</w:t>
            </w:r>
            <w:r>
              <w:rPr>
                <w:rFonts w:hint="default" w:ascii="Times New Roman" w:hAnsi="Times New Roman" w:eastAsia="宋体" w:cs="Times New Roman"/>
                <w:color w:val="auto"/>
                <w:kern w:val="0"/>
                <w:sz w:val="24"/>
                <w:highlight w:val="none"/>
              </w:rPr>
              <w:t>厂界噪声排放可达到《工业企业厂界环境噪声排放标准》（GB12348-2008）3类标准</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东、南厂界可满足4a类标准</w:t>
            </w:r>
            <w:r>
              <w:rPr>
                <w:rFonts w:hint="default" w:ascii="Times New Roman" w:hAnsi="Times New Roman" w:eastAsia="宋体" w:cs="Times New Roman"/>
                <w:color w:val="auto"/>
                <w:kern w:val="0"/>
                <w:sz w:val="24"/>
                <w:highlight w:val="none"/>
              </w:rPr>
              <w:t>，噪声对声环境影响不大。</w:t>
            </w:r>
          </w:p>
          <w:p w14:paraId="453B18D3">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3.3厂界达标情况分析</w:t>
            </w:r>
          </w:p>
          <w:p w14:paraId="360E4684">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根据《环境影响评价技术导则 声环境》（HJ2.4-2021）的要求，预测和评价建设项目在运营期厂界噪声贡献值，评价其超标和达标情况。随距离的衰减变化规律。预测模式采用“附录B.1 工业噪声预测计算模型”，来模拟预测项目主要声源排放噪声</w:t>
            </w:r>
          </w:p>
          <w:p w14:paraId="07B2619E">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）预测模式</w:t>
            </w:r>
          </w:p>
          <w:p w14:paraId="0AB385AB">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w:t>
            </w:r>
            <w:r>
              <w:rPr>
                <w:rFonts w:hint="eastAsia" w:cs="Times New Roman"/>
                <w:color w:val="auto"/>
                <w:sz w:val="24"/>
                <w:szCs w:val="24"/>
                <w:highlight w:val="none"/>
                <w:lang w:eastAsia="zh-CN"/>
              </w:rPr>
              <w:t>环境影响评价技术导则 声环境</w:t>
            </w:r>
            <w:r>
              <w:rPr>
                <w:rFonts w:hint="default" w:ascii="Times New Roman" w:hAnsi="Times New Roman" w:eastAsia="宋体" w:cs="Times New Roman"/>
                <w:color w:val="auto"/>
                <w:sz w:val="24"/>
                <w:szCs w:val="24"/>
                <w:highlight w:val="none"/>
              </w:rPr>
              <w:t>》（HJ2.4-2021）要求，本评价选择点声源预测模式，模拟声源排放噪声随距离的衰减变化规律。噪声的衰减主要与声传播距离、空气吸收、阻挡物的反射与屏障等因素有关。从安全角度出发，本预测从各点源包络线开始，只考虑声传播距离这一主要因素，各噪声源可近似作为点声源处理</w:t>
            </w:r>
            <w:r>
              <w:rPr>
                <w:rFonts w:hint="default" w:ascii="Times New Roman" w:hAnsi="Times New Roman" w:eastAsia="宋体" w:cs="Times New Roman"/>
                <w:color w:val="auto"/>
                <w:sz w:val="24"/>
                <w:szCs w:val="24"/>
                <w:highlight w:val="none"/>
                <w:lang w:eastAsia="zh-CN"/>
              </w:rPr>
              <w:t>。</w:t>
            </w:r>
          </w:p>
          <w:p w14:paraId="5305326A">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①室内声源等效室外声源声功率级计算</w:t>
            </w:r>
          </w:p>
          <w:p w14:paraId="6D6DE20B">
            <w:pPr>
              <w:spacing w:line="360" w:lineRule="auto"/>
              <w:ind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color w:val="auto"/>
                <w:sz w:val="24"/>
                <w:szCs w:val="24"/>
                <w:highlight w:val="none"/>
                <w:lang w:val="en-US" w:eastAsia="zh-CN"/>
              </w:rPr>
              <w:t>如图4-</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所示，声源位于室内，</w:t>
            </w:r>
            <w:r>
              <w:rPr>
                <w:rFonts w:hint="default" w:ascii="Times New Roman" w:hAnsi="Times New Roman" w:eastAsia="宋体" w:cs="Times New Roman"/>
                <w:color w:val="auto"/>
                <w:sz w:val="24"/>
                <w:szCs w:val="24"/>
                <w:highlight w:val="none"/>
              </w:rPr>
              <w:t>室内声源可采用等效室外声源声功率级法进行计算。设靠近开口处（或窗户）室内、室外某倍频带的</w:t>
            </w:r>
            <w:r>
              <w:rPr>
                <w:rFonts w:hint="default" w:ascii="Times New Roman" w:hAnsi="Times New Roman" w:eastAsia="宋体" w:cs="Times New Roman"/>
                <w:color w:val="auto"/>
                <w:sz w:val="24"/>
                <w:szCs w:val="24"/>
                <w:highlight w:val="none"/>
                <w:lang w:val="en-US" w:eastAsia="zh-CN"/>
              </w:rPr>
              <w:t>声</w:t>
            </w:r>
            <w:r>
              <w:rPr>
                <w:rFonts w:hint="default" w:ascii="Times New Roman" w:hAnsi="Times New Roman" w:eastAsia="宋体" w:cs="Times New Roman"/>
                <w:color w:val="auto"/>
                <w:sz w:val="24"/>
                <w:szCs w:val="24"/>
                <w:highlight w:val="none"/>
              </w:rPr>
              <w:t>压级分为L</w:t>
            </w:r>
            <w:r>
              <w:rPr>
                <w:rFonts w:hint="default" w:ascii="Times New Roman" w:hAnsi="Times New Roman" w:eastAsia="宋体" w:cs="Times New Roman"/>
                <w:color w:val="auto"/>
                <w:sz w:val="24"/>
                <w:szCs w:val="24"/>
                <w:highlight w:val="none"/>
                <w:vertAlign w:val="subscript"/>
                <w:lang w:val="en-US" w:eastAsia="zh-CN"/>
              </w:rPr>
              <w:t>p</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和L</w:t>
            </w:r>
            <w:r>
              <w:rPr>
                <w:rFonts w:hint="default" w:ascii="Times New Roman" w:hAnsi="Times New Roman" w:eastAsia="宋体" w:cs="Times New Roman"/>
                <w:color w:val="auto"/>
                <w:sz w:val="24"/>
                <w:szCs w:val="24"/>
                <w:highlight w:val="none"/>
                <w:vertAlign w:val="subscript"/>
                <w:lang w:val="en-US" w:eastAsia="zh-CN"/>
              </w:rPr>
              <w:t>p</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。若声源所在室内声场为近似扩散声场，则室外的倍频带声压级可按（公式1）近似求出：</w:t>
            </w:r>
          </w:p>
          <w:p w14:paraId="37BBA7EF">
            <w:pPr>
              <w:spacing w:line="360" w:lineRule="auto"/>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position w:val="-14"/>
                <w:sz w:val="24"/>
                <w:szCs w:val="24"/>
                <w:highlight w:val="none"/>
                <w:lang w:val="en-GB" w:eastAsia="zh-CN"/>
              </w:rPr>
              <w:object>
                <v:shape id="_x0000_i1030" o:spt="75" type="#_x0000_t75" style="height:19pt;width:96pt;" o:ole="t" filled="f" o:preferrelative="t" stroked="f" coordsize="21600,21600">
                  <v:path/>
                  <v:fill on="f" focussize="0,0"/>
                  <v:stroke on="f"/>
                  <v:imagedata r:id="rId33" o:title=""/>
                  <o:lock v:ext="edit" aspectratio="t"/>
                  <w10:wrap type="none"/>
                  <w10:anchorlock/>
                </v:shape>
                <o:OLEObject Type="Embed" ProgID="Equation.KSEE3" ShapeID="_x0000_i1030" DrawAspect="Content" ObjectID="_1468075730" r:id="rId32">
                  <o:LockedField>false</o:LockedField>
                </o:OLEObject>
              </w:objec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（公式1）</w:t>
            </w:r>
          </w:p>
          <w:p w14:paraId="5E1E9259">
            <w:pPr>
              <w:spacing w:line="360" w:lineRule="auto"/>
              <w:ind w:firstLine="480" w:firstLineChars="20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sz w:val="24"/>
                <w:szCs w:val="24"/>
                <w:highlight w:val="none"/>
                <w:lang w:eastAsia="zh-CN"/>
              </w:rPr>
              <w:t>式中：TL—隔墙（或窗户）倍频带的隔声量，dB(A)，</w:t>
            </w:r>
            <w:r>
              <w:rPr>
                <w:rFonts w:hint="default" w:ascii="Times New Roman" w:hAnsi="Times New Roman" w:eastAsia="宋体" w:cs="Times New Roman"/>
                <w:color w:val="auto"/>
                <w:sz w:val="24"/>
                <w:szCs w:val="24"/>
                <w:highlight w:val="none"/>
                <w:lang w:val="en-US" w:eastAsia="zh-CN"/>
              </w:rPr>
              <w:t>本评价</w:t>
            </w:r>
            <w:r>
              <w:rPr>
                <w:rFonts w:hint="eastAsia" w:cs="Times New Roman"/>
                <w:color w:val="auto"/>
                <w:sz w:val="24"/>
                <w:szCs w:val="24"/>
                <w:highlight w:val="none"/>
                <w:lang w:val="en-US" w:eastAsia="zh-CN"/>
              </w:rPr>
              <w:t>保守</w:t>
            </w:r>
            <w:r>
              <w:rPr>
                <w:rFonts w:hint="default" w:ascii="Times New Roman" w:hAnsi="Times New Roman" w:eastAsia="宋体" w:cs="Times New Roman"/>
                <w:color w:val="auto"/>
                <w:sz w:val="24"/>
                <w:szCs w:val="24"/>
                <w:highlight w:val="none"/>
                <w:lang w:val="en-US" w:eastAsia="zh-CN"/>
              </w:rPr>
              <w:t>取值20</w:t>
            </w:r>
            <w:r>
              <w:rPr>
                <w:rFonts w:hint="default" w:ascii="Times New Roman" w:hAnsi="Times New Roman" w:eastAsia="宋体" w:cs="Times New Roman"/>
                <w:color w:val="auto"/>
                <w:sz w:val="24"/>
                <w:szCs w:val="24"/>
                <w:highlight w:val="none"/>
                <w:lang w:eastAsia="zh-CN"/>
              </w:rPr>
              <w:t>dB(A)</w:t>
            </w:r>
            <w:r>
              <w:rPr>
                <w:rFonts w:hint="default" w:ascii="Times New Roman" w:hAnsi="Times New Roman" w:eastAsia="宋体" w:cs="Times New Roman"/>
                <w:color w:val="auto"/>
                <w:highlight w:val="none"/>
                <w:lang w:val="en-GB"/>
              </w:rPr>
              <w:t>；</w:t>
            </w:r>
          </w:p>
          <w:p w14:paraId="0C8B49F1">
            <w:pPr>
              <w:autoSpaceDE/>
              <w:autoSpaceDN/>
              <w:spacing w:before="0" w:after="0" w:line="360" w:lineRule="auto"/>
              <w:ind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drawing>
                <wp:inline distT="0" distB="0" distL="114300" distR="114300">
                  <wp:extent cx="3429000" cy="1461135"/>
                  <wp:effectExtent l="0" t="0" r="0" b="5715"/>
                  <wp:docPr id="103" name="图片 506" descr="2da37041a5be59b1e262ed073764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06" descr="2da37041a5be59b1e262ed0737642a9"/>
                          <pic:cNvPicPr>
                            <a:picLocks noChangeAspect="1"/>
                          </pic:cNvPicPr>
                        </pic:nvPicPr>
                        <pic:blipFill>
                          <a:blip r:embed="rId34"/>
                          <a:stretch>
                            <a:fillRect/>
                          </a:stretch>
                        </pic:blipFill>
                        <pic:spPr>
                          <a:xfrm>
                            <a:off x="0" y="0"/>
                            <a:ext cx="3429000" cy="1461135"/>
                          </a:xfrm>
                          <a:prstGeom prst="rect">
                            <a:avLst/>
                          </a:prstGeom>
                          <a:noFill/>
                          <a:ln>
                            <a:noFill/>
                          </a:ln>
                        </pic:spPr>
                      </pic:pic>
                    </a:graphicData>
                  </a:graphic>
                </wp:inline>
              </w:drawing>
            </w:r>
          </w:p>
          <w:p w14:paraId="4D7E2945">
            <w:pPr>
              <w:autoSpaceDE/>
              <w:autoSpaceDN/>
              <w:spacing w:before="0" w:after="0" w:line="360" w:lineRule="auto"/>
              <w:ind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图4-</w:t>
            </w:r>
            <w:r>
              <w:rPr>
                <w:rFonts w:hint="eastAsia"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室内声源等效为室外声源图例</w:t>
            </w:r>
          </w:p>
          <w:p w14:paraId="33EC0011">
            <w:pPr>
              <w:autoSpaceDE/>
              <w:autoSpaceDN/>
              <w:spacing w:before="0" w:after="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也可按（公式2）计算某一室内声源靠近转护结构处产生的倍频带声压级：</w:t>
            </w:r>
          </w:p>
          <w:p w14:paraId="7FCD8AA6">
            <w:pPr>
              <w:pStyle w:val="2"/>
              <w:numPr>
                <w:ilvl w:val="0"/>
                <w:numId w:val="0"/>
              </w:numPr>
              <w:spacing w:line="360" w:lineRule="auto"/>
              <w:ind w:left="1560" w:lef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867025" cy="542925"/>
                  <wp:effectExtent l="0" t="0" r="9525" b="9525"/>
                  <wp:docPr id="104" name="图片 507" descr="a283611caf2b045e9ca721db4b85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07" descr="a283611caf2b045e9ca721db4b85abe"/>
                          <pic:cNvPicPr>
                            <a:picLocks noChangeAspect="1"/>
                          </pic:cNvPicPr>
                        </pic:nvPicPr>
                        <pic:blipFill>
                          <a:blip r:embed="rId35"/>
                          <a:stretch>
                            <a:fillRect/>
                          </a:stretch>
                        </pic:blipFill>
                        <pic:spPr>
                          <a:xfrm>
                            <a:off x="0" y="0"/>
                            <a:ext cx="2867025" cy="542925"/>
                          </a:xfrm>
                          <a:prstGeom prst="rect">
                            <a:avLst/>
                          </a:prstGeom>
                          <a:noFill/>
                          <a:ln>
                            <a:noFill/>
                          </a:ln>
                        </pic:spPr>
                      </pic:pic>
                    </a:graphicData>
                  </a:graphic>
                </wp:inline>
              </w:drawing>
            </w:r>
          </w:p>
          <w:p w14:paraId="29DE648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Q—指向性因数；通常对无指向性声源，当声源放在房间中心时，Q=1；当入在一面墙的中心时，Q=2；当放在两面墙夹角处时，Q=4；当放在三面墙夹角处时，Q=8；R—房间常数；R=Sα/(1-α)，S为房间内表面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，取生产厂房</w:t>
            </w:r>
            <w:r>
              <w:rPr>
                <w:rFonts w:hint="default" w:ascii="Times New Roman" w:hAnsi="Times New Roman" w:eastAsia="宋体" w:cs="Times New Roman"/>
                <w:b w:val="0"/>
                <w:bCs w:val="0"/>
                <w:color w:val="auto"/>
                <w:sz w:val="24"/>
                <w:szCs w:val="24"/>
                <w:highlight w:val="none"/>
                <w:lang w:val="en-US" w:eastAsia="zh-CN"/>
              </w:rPr>
              <w:t>内表面面积</w:t>
            </w:r>
            <w:r>
              <w:rPr>
                <w:rFonts w:hint="default" w:ascii="Times New Roman" w:hAnsi="Times New Roman" w:eastAsia="宋体" w:cs="Times New Roman"/>
                <w:color w:val="auto"/>
                <w:sz w:val="24"/>
                <w:szCs w:val="24"/>
                <w:highlight w:val="none"/>
                <w:lang w:val="en-US" w:eastAsia="zh-CN"/>
              </w:rPr>
              <w:t>；α为平均吸声系数；r—声源到靠近围护结构某点处的距离，m。</w:t>
            </w:r>
          </w:p>
          <w:p w14:paraId="3DA13CC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然后按（公式3）计算出所有室内声源在围护结构处产生的i倍频带叠加声压级：</w:t>
            </w:r>
          </w:p>
          <w:p w14:paraId="10F539E2">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drawing>
                <wp:inline distT="0" distB="0" distL="114300" distR="114300">
                  <wp:extent cx="2907665" cy="539750"/>
                  <wp:effectExtent l="0" t="0" r="6985" b="12700"/>
                  <wp:docPr id="105" name="图片 508" descr="d314ef6d08cecde198e12dbd6563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08" descr="d314ef6d08cecde198e12dbd6563ab1"/>
                          <pic:cNvPicPr>
                            <a:picLocks noChangeAspect="1"/>
                          </pic:cNvPicPr>
                        </pic:nvPicPr>
                        <pic:blipFill>
                          <a:blip r:embed="rId36"/>
                          <a:stretch>
                            <a:fillRect/>
                          </a:stretch>
                        </pic:blipFill>
                        <pic:spPr>
                          <a:xfrm>
                            <a:off x="0" y="0"/>
                            <a:ext cx="2907665" cy="539750"/>
                          </a:xfrm>
                          <a:prstGeom prst="rect">
                            <a:avLst/>
                          </a:prstGeom>
                          <a:noFill/>
                          <a:ln>
                            <a:noFill/>
                          </a:ln>
                        </pic:spPr>
                      </pic:pic>
                    </a:graphicData>
                  </a:graphic>
                </wp:inline>
              </w:drawing>
            </w:r>
          </w:p>
          <w:p w14:paraId="749A542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p1i</w:t>
            </w:r>
            <w:r>
              <w:rPr>
                <w:rFonts w:hint="default" w:ascii="Times New Roman" w:hAnsi="Times New Roman" w:eastAsia="宋体" w:cs="Times New Roman"/>
                <w:color w:val="auto"/>
                <w:sz w:val="24"/>
                <w:szCs w:val="24"/>
                <w:highlight w:val="none"/>
                <w:lang w:val="en-US" w:eastAsia="zh-CN"/>
              </w:rPr>
              <w:t>（T）—靠近围护结构处室内N个声源i倍频带的叠加声压级，dB；L</w:t>
            </w:r>
            <w:r>
              <w:rPr>
                <w:rFonts w:hint="default" w:ascii="Times New Roman" w:hAnsi="Times New Roman" w:eastAsia="宋体" w:cs="Times New Roman"/>
                <w:color w:val="auto"/>
                <w:sz w:val="24"/>
                <w:szCs w:val="24"/>
                <w:highlight w:val="none"/>
                <w:vertAlign w:val="subscript"/>
                <w:lang w:val="en-US" w:eastAsia="zh-CN"/>
              </w:rPr>
              <w:t>p1ij</w:t>
            </w:r>
            <w:r>
              <w:rPr>
                <w:rFonts w:hint="default" w:ascii="Times New Roman" w:hAnsi="Times New Roman" w:eastAsia="宋体" w:cs="Times New Roman"/>
                <w:color w:val="auto"/>
                <w:sz w:val="24"/>
                <w:szCs w:val="24"/>
                <w:highlight w:val="none"/>
                <w:lang w:val="en-US" w:eastAsia="zh-CN"/>
              </w:rPr>
              <w:t>—室内j声源i倍频带的声压级，dB；N—室内声源总数。</w:t>
            </w:r>
          </w:p>
          <w:p w14:paraId="0CBD1AC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在室内近似为扩散声场时，按（公式4）计算出靠近室外围护结构处的声压级：</w:t>
            </w:r>
          </w:p>
          <w:p w14:paraId="5C4FE143">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1" o:spt="75" type="#_x0000_t75" style="height:19pt;width:135pt;" o:ole="t" filled="f" o:preferrelative="t" stroked="f" coordsize="21600,21600">
                  <v:path/>
                  <v:fill on="f" focussize="0,0"/>
                  <v:stroke on="f"/>
                  <v:imagedata r:id="rId38" o:title=""/>
                  <o:lock v:ext="edit" aspectratio="t"/>
                  <w10:wrap type="none"/>
                  <w10:anchorlock/>
                </v:shape>
                <o:OLEObject Type="Embed" ProgID="Equation.KSEE3" ShapeID="_x0000_i1031" DrawAspect="Content" ObjectID="_1468075731" r:id="rId37">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（公式4）</w:t>
            </w:r>
          </w:p>
          <w:p w14:paraId="5E17FB3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p2i</w:t>
            </w:r>
            <w:r>
              <w:rPr>
                <w:rFonts w:hint="default" w:ascii="Times New Roman" w:hAnsi="Times New Roman" w:eastAsia="宋体" w:cs="Times New Roman"/>
                <w:color w:val="auto"/>
                <w:sz w:val="24"/>
                <w:szCs w:val="24"/>
                <w:highlight w:val="none"/>
                <w:lang w:val="en-US" w:eastAsia="zh-CN"/>
              </w:rPr>
              <w:t>（T）—靠近围护结构处室外N个声源i倍频带的叠加声压级，dB； TL</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—围护结构i倍频带的隔声量，dB；</w:t>
            </w:r>
          </w:p>
          <w:p w14:paraId="23E9EE7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然后按（公式5）将室外声源的声压级和透过面积换算成等效的室外声源，计算出中心位置于透声面积（S）处的等效声源的倍频带声功率级：</w:t>
            </w:r>
          </w:p>
          <w:p w14:paraId="32B38CC7">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2" o:spt="75" type="#_x0000_t75" style="height:19pt;width:103.95pt;" o:ole="t" filled="f" o:preferrelative="t" stroked="f" coordsize="21600,21600">
                  <v:path/>
                  <v:fill on="f" focussize="0,0"/>
                  <v:stroke on="f"/>
                  <v:imagedata r:id="rId40" o:title=""/>
                  <o:lock v:ext="edit" aspectratio="t"/>
                  <w10:wrap type="none"/>
                  <w10:anchorlock/>
                </v:shape>
                <o:OLEObject Type="Embed" ProgID="Equation.KSEE3" ShapeID="_x0000_i1032" DrawAspect="Content" ObjectID="_1468075732" r:id="rId39">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（公式5）</w:t>
            </w:r>
          </w:p>
          <w:p w14:paraId="237CB1B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W</w:t>
            </w:r>
            <w:r>
              <w:rPr>
                <w:rFonts w:hint="default" w:ascii="Times New Roman" w:hAnsi="Times New Roman" w:eastAsia="宋体" w:cs="Times New Roman"/>
                <w:color w:val="auto"/>
                <w:sz w:val="24"/>
                <w:szCs w:val="24"/>
                <w:highlight w:val="none"/>
                <w:lang w:val="en-US" w:eastAsia="zh-CN"/>
              </w:rPr>
              <w:t>—中心位置位于透声面积（S）处的等效声源的倍频带声功率级，dB；L</w:t>
            </w:r>
            <w:r>
              <w:rPr>
                <w:rFonts w:hint="default" w:ascii="Times New Roman" w:hAnsi="Times New Roman" w:eastAsia="宋体" w:cs="Times New Roman"/>
                <w:color w:val="auto"/>
                <w:sz w:val="24"/>
                <w:szCs w:val="24"/>
                <w:highlight w:val="none"/>
                <w:vertAlign w:val="subscript"/>
                <w:lang w:val="en-US" w:eastAsia="zh-CN"/>
              </w:rPr>
              <w:t>p2</w:t>
            </w:r>
            <w:r>
              <w:rPr>
                <w:rFonts w:hint="default" w:ascii="Times New Roman" w:hAnsi="Times New Roman" w:eastAsia="宋体" w:cs="Times New Roman"/>
                <w:color w:val="auto"/>
                <w:sz w:val="24"/>
                <w:szCs w:val="24"/>
                <w:highlight w:val="none"/>
                <w:lang w:val="en-US" w:eastAsia="zh-CN"/>
              </w:rPr>
              <w:t>(T)—靠近围护结构处室外声源的声压级，dB；S—透声面积，m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p>
          <w:p w14:paraId="22B9D0E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然后按室外声源预测方法计出预测点处的A声级。</w:t>
            </w:r>
          </w:p>
          <w:p w14:paraId="4058FB6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②室外声源衰减模式</w:t>
            </w:r>
          </w:p>
          <w:p w14:paraId="7DCF1DB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预测点的声压级可按下式计算：</w:t>
            </w:r>
          </w:p>
          <w:p w14:paraId="4479B3A5">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3" o:spt="75" type="#_x0000_t75" style="height:19pt;width:253pt;" o:ole="t" filled="f" o:preferrelative="t" stroked="f" coordsize="21600,21600">
                  <v:path/>
                  <v:fill on="f" focussize="0,0"/>
                  <v:stroke on="f"/>
                  <v:imagedata r:id="rId42" o:title=""/>
                  <o:lock v:ext="edit" aspectratio="t"/>
                  <w10:wrap type="none"/>
                  <w10:anchorlock/>
                </v:shape>
                <o:OLEObject Type="Embed" ProgID="Equation.KSEE3" ShapeID="_x0000_i1033" DrawAspect="Content" ObjectID="_1468075733" r:id="rId41">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（公式6）</w:t>
            </w:r>
          </w:p>
          <w:p w14:paraId="313D011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式中：Lp(r)—预测点处声压级，dB；Lp(r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)—参考位置r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处的声压级，dB；D</w:t>
            </w:r>
            <w:r>
              <w:rPr>
                <w:rFonts w:hint="default" w:ascii="Times New Roman" w:hAnsi="Times New Roman" w:eastAsia="宋体" w:cs="Times New Roman"/>
                <w:color w:val="auto"/>
                <w:sz w:val="24"/>
                <w:szCs w:val="24"/>
                <w:highlight w:val="none"/>
                <w:vertAlign w:val="subscript"/>
                <w:lang w:val="en-US" w:eastAsia="zh-CN"/>
              </w:rPr>
              <w:t>C</w:t>
            </w:r>
            <w:r>
              <w:rPr>
                <w:rFonts w:hint="default" w:ascii="Times New Roman" w:hAnsi="Times New Roman" w:eastAsia="宋体" w:cs="Times New Roman"/>
                <w:color w:val="auto"/>
                <w:sz w:val="24"/>
                <w:szCs w:val="24"/>
                <w:highlight w:val="none"/>
                <w:lang w:val="en-US" w:eastAsia="zh-CN"/>
              </w:rPr>
              <w:t>—指向性校正，它描述点声源的等效连续声压级与产生声功率级L</w:t>
            </w:r>
            <w:r>
              <w:rPr>
                <w:rFonts w:hint="default" w:ascii="Times New Roman" w:hAnsi="Times New Roman" w:eastAsia="宋体" w:cs="Times New Roman"/>
                <w:color w:val="auto"/>
                <w:sz w:val="24"/>
                <w:szCs w:val="24"/>
                <w:highlight w:val="none"/>
                <w:vertAlign w:val="subscript"/>
                <w:lang w:val="en-US" w:eastAsia="zh-CN"/>
              </w:rPr>
              <w:t>w</w:t>
            </w:r>
            <w:r>
              <w:rPr>
                <w:rFonts w:hint="default" w:ascii="Times New Roman" w:hAnsi="Times New Roman" w:eastAsia="宋体" w:cs="Times New Roman"/>
                <w:color w:val="auto"/>
                <w:sz w:val="24"/>
                <w:szCs w:val="24"/>
                <w:highlight w:val="none"/>
                <w:lang w:val="en-US" w:eastAsia="zh-CN"/>
              </w:rPr>
              <w:t>的全向点声源在规定方向的声级的偏差程度，dB；A</w:t>
            </w:r>
            <w:r>
              <w:rPr>
                <w:rFonts w:hint="default" w:ascii="Times New Roman" w:hAnsi="Times New Roman" w:eastAsia="宋体" w:cs="Times New Roman"/>
                <w:color w:val="auto"/>
                <w:sz w:val="24"/>
                <w:szCs w:val="24"/>
                <w:highlight w:val="none"/>
                <w:vertAlign w:val="subscript"/>
                <w:lang w:val="en-US" w:eastAsia="zh-CN"/>
              </w:rPr>
              <w:t>div</w:t>
            </w:r>
            <w:r>
              <w:rPr>
                <w:rFonts w:hint="default" w:ascii="Times New Roman" w:hAnsi="Times New Roman" w:eastAsia="宋体" w:cs="Times New Roman"/>
                <w:color w:val="auto"/>
                <w:sz w:val="24"/>
                <w:szCs w:val="24"/>
                <w:highlight w:val="none"/>
                <w:lang w:val="en-US" w:eastAsia="zh-CN"/>
              </w:rPr>
              <w:t>—几何发散引起的衰减，dB；A</w:t>
            </w:r>
            <w:r>
              <w:rPr>
                <w:rFonts w:hint="default" w:ascii="Times New Roman" w:hAnsi="Times New Roman" w:eastAsia="宋体" w:cs="Times New Roman"/>
                <w:color w:val="auto"/>
                <w:sz w:val="24"/>
                <w:szCs w:val="24"/>
                <w:highlight w:val="none"/>
                <w:vertAlign w:val="subscript"/>
                <w:lang w:val="en-US" w:eastAsia="zh-CN"/>
              </w:rPr>
              <w:t>atm</w:t>
            </w:r>
            <w:r>
              <w:rPr>
                <w:rFonts w:hint="default" w:ascii="Times New Roman" w:hAnsi="Times New Roman" w:eastAsia="宋体" w:cs="Times New Roman"/>
                <w:color w:val="auto"/>
                <w:sz w:val="24"/>
                <w:szCs w:val="24"/>
                <w:highlight w:val="none"/>
                <w:lang w:val="en-US" w:eastAsia="zh-CN"/>
              </w:rPr>
              <w:t>—大气吸收引起的衰减，dB；A</w:t>
            </w:r>
            <w:r>
              <w:rPr>
                <w:rFonts w:hint="default" w:ascii="Times New Roman" w:hAnsi="Times New Roman" w:eastAsia="宋体" w:cs="Times New Roman"/>
                <w:color w:val="auto"/>
                <w:sz w:val="24"/>
                <w:szCs w:val="24"/>
                <w:highlight w:val="none"/>
                <w:vertAlign w:val="subscript"/>
                <w:lang w:val="en-US" w:eastAsia="zh-CN"/>
              </w:rPr>
              <w:t>gr</w:t>
            </w:r>
            <w:r>
              <w:rPr>
                <w:rFonts w:hint="default" w:ascii="Times New Roman" w:hAnsi="Times New Roman" w:eastAsia="宋体" w:cs="Times New Roman"/>
                <w:color w:val="auto"/>
                <w:sz w:val="24"/>
                <w:szCs w:val="24"/>
                <w:highlight w:val="none"/>
                <w:lang w:val="en-US" w:eastAsia="zh-CN"/>
              </w:rPr>
              <w:t>—地面效应引起的衰减，dB；A</w:t>
            </w:r>
            <w:r>
              <w:rPr>
                <w:rFonts w:hint="default" w:ascii="Times New Roman" w:hAnsi="Times New Roman" w:eastAsia="宋体" w:cs="Times New Roman"/>
                <w:color w:val="auto"/>
                <w:sz w:val="24"/>
                <w:szCs w:val="24"/>
                <w:highlight w:val="none"/>
                <w:vertAlign w:val="subscript"/>
                <w:lang w:val="en-US" w:eastAsia="zh-CN"/>
              </w:rPr>
              <w:t>bar</w:t>
            </w:r>
            <w:r>
              <w:rPr>
                <w:rFonts w:hint="default" w:ascii="Times New Roman" w:hAnsi="Times New Roman" w:eastAsia="宋体" w:cs="Times New Roman"/>
                <w:color w:val="auto"/>
                <w:sz w:val="24"/>
                <w:szCs w:val="24"/>
                <w:highlight w:val="none"/>
                <w:lang w:val="en-US" w:eastAsia="zh-CN"/>
              </w:rPr>
              <w:t>—障碍物屏蔽引起的衰减，dB；A</w:t>
            </w:r>
            <w:r>
              <w:rPr>
                <w:rFonts w:hint="default" w:ascii="Times New Roman" w:hAnsi="Times New Roman" w:eastAsia="宋体" w:cs="Times New Roman"/>
                <w:color w:val="auto"/>
                <w:sz w:val="24"/>
                <w:szCs w:val="24"/>
                <w:highlight w:val="none"/>
                <w:vertAlign w:val="subscript"/>
                <w:lang w:val="en-US" w:eastAsia="zh-CN"/>
              </w:rPr>
              <w:t>misc</w:t>
            </w:r>
            <w:r>
              <w:rPr>
                <w:rFonts w:hint="default" w:ascii="Times New Roman" w:hAnsi="Times New Roman" w:eastAsia="宋体" w:cs="Times New Roman"/>
                <w:color w:val="auto"/>
                <w:sz w:val="24"/>
                <w:szCs w:val="24"/>
                <w:highlight w:val="none"/>
                <w:lang w:val="en-US" w:eastAsia="zh-CN"/>
              </w:rPr>
              <w:t>—其他多方面效应引起的衰减，dB。在预测时，为留有较大余地，以噪声对环境最不利的情况为前提，只考虑几何发散引起的衰减，而其他因素的衰减，如大气吸收、地面效应等均作为预测计算的安全系数而不计，综上分析，公式6可简化为：</w:t>
            </w:r>
            <w:r>
              <w:rPr>
                <w:rFonts w:hint="default" w:ascii="Times New Roman" w:hAnsi="Times New Roman" w:eastAsia="宋体" w:cs="Times New Roman"/>
                <w:color w:val="auto"/>
                <w:position w:val="-14"/>
                <w:sz w:val="24"/>
                <w:szCs w:val="24"/>
                <w:highlight w:val="none"/>
                <w:lang w:val="en-US" w:eastAsia="zh-CN"/>
              </w:rPr>
              <w:object>
                <v:shape id="_x0000_i1034" o:spt="75" type="#_x0000_t75" style="height:19pt;width:132.95pt;" o:ole="t" filled="f" o:preferrelative="t" stroked="f" coordsize="21600,21600">
                  <v:path/>
                  <v:fill on="f" focussize="0,0"/>
                  <v:stroke on="f"/>
                  <v:imagedata r:id="rId44" o:title=""/>
                  <o:lock v:ext="edit" aspectratio="t"/>
                  <w10:wrap type="none"/>
                  <w10:anchorlock/>
                </v:shape>
                <o:OLEObject Type="Embed" ProgID="Equation.KSEE3" ShapeID="_x0000_i1034" DrawAspect="Content" ObjectID="_1468075734" r:id="rId43">
                  <o:LockedField>false</o:LockedField>
                </o:OLEObject>
              </w:object>
            </w:r>
            <w:r>
              <w:rPr>
                <w:rFonts w:hint="default" w:ascii="Times New Roman" w:hAnsi="Times New Roman" w:eastAsia="宋体" w:cs="Times New Roman"/>
                <w:color w:val="auto"/>
                <w:sz w:val="24"/>
                <w:szCs w:val="24"/>
                <w:highlight w:val="none"/>
                <w:lang w:val="en-US" w:eastAsia="zh-CN"/>
              </w:rPr>
              <w:t>。</w:t>
            </w:r>
          </w:p>
          <w:p w14:paraId="592678D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③工业企业噪声贡献值计算</w:t>
            </w:r>
          </w:p>
          <w:p w14:paraId="0746CC1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设第i个室外声源在预测点产生的A声级为L</w:t>
            </w:r>
            <w:r>
              <w:rPr>
                <w:rFonts w:hint="default" w:ascii="Times New Roman" w:hAnsi="Times New Roman" w:eastAsia="宋体" w:cs="Times New Roman"/>
                <w:color w:val="auto"/>
                <w:sz w:val="24"/>
                <w:szCs w:val="24"/>
                <w:highlight w:val="none"/>
                <w:vertAlign w:val="subscript"/>
                <w:lang w:val="en-US" w:eastAsia="zh-CN"/>
              </w:rPr>
              <w:t>Ai</w:t>
            </w:r>
            <w:r>
              <w:rPr>
                <w:rFonts w:hint="default" w:ascii="Times New Roman" w:hAnsi="Times New Roman" w:eastAsia="宋体" w:cs="Times New Roman"/>
                <w:color w:val="auto"/>
                <w:sz w:val="24"/>
                <w:szCs w:val="24"/>
                <w:highlight w:val="none"/>
                <w:lang w:val="en-US" w:eastAsia="zh-CN"/>
              </w:rPr>
              <w:t>，在T时间内该声源工作时间为t</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；第j个等效室外声源在预测点产生的A声级为L</w:t>
            </w:r>
            <w:r>
              <w:rPr>
                <w:rFonts w:hint="default" w:ascii="Times New Roman" w:hAnsi="Times New Roman" w:eastAsia="宋体" w:cs="Times New Roman"/>
                <w:color w:val="auto"/>
                <w:sz w:val="24"/>
                <w:szCs w:val="24"/>
                <w:highlight w:val="none"/>
                <w:vertAlign w:val="subscript"/>
                <w:lang w:val="en-US" w:eastAsia="zh-CN"/>
              </w:rPr>
              <w:t>Aj</w:t>
            </w:r>
            <w:r>
              <w:rPr>
                <w:rFonts w:hint="default" w:ascii="Times New Roman" w:hAnsi="Times New Roman" w:eastAsia="宋体" w:cs="Times New Roman"/>
                <w:color w:val="auto"/>
                <w:sz w:val="24"/>
                <w:szCs w:val="24"/>
                <w:highlight w:val="none"/>
                <w:lang w:val="en-US" w:eastAsia="zh-CN"/>
              </w:rPr>
              <w:t>，在T时间内该声源工作时间为t</w:t>
            </w:r>
            <w:r>
              <w:rPr>
                <w:rFonts w:hint="default" w:ascii="Times New Roman" w:hAnsi="Times New Roman" w:eastAsia="宋体" w:cs="Times New Roman"/>
                <w:color w:val="auto"/>
                <w:sz w:val="24"/>
                <w:szCs w:val="24"/>
                <w:highlight w:val="none"/>
                <w:vertAlign w:val="subscript"/>
                <w:lang w:val="en-US" w:eastAsia="zh-CN"/>
              </w:rPr>
              <w:t>j</w:t>
            </w:r>
            <w:r>
              <w:rPr>
                <w:rFonts w:hint="default" w:ascii="Times New Roman" w:hAnsi="Times New Roman" w:eastAsia="宋体" w:cs="Times New Roman"/>
                <w:color w:val="auto"/>
                <w:sz w:val="24"/>
                <w:szCs w:val="24"/>
                <w:highlight w:val="none"/>
                <w:lang w:val="en-US" w:eastAsia="zh-CN"/>
              </w:rPr>
              <w:t>，则拟建工程声源对预测点产生的贡献值（L</w:t>
            </w:r>
            <w:r>
              <w:rPr>
                <w:rFonts w:hint="default" w:ascii="Times New Roman" w:hAnsi="Times New Roman" w:eastAsia="宋体" w:cs="Times New Roman"/>
                <w:color w:val="auto"/>
                <w:sz w:val="24"/>
                <w:szCs w:val="24"/>
                <w:highlight w:val="none"/>
                <w:vertAlign w:val="subscript"/>
                <w:lang w:val="en-US" w:eastAsia="zh-CN"/>
              </w:rPr>
              <w:t>eqg</w:t>
            </w:r>
            <w:r>
              <w:rPr>
                <w:rFonts w:hint="default" w:ascii="Times New Roman" w:hAnsi="Times New Roman" w:eastAsia="宋体" w:cs="Times New Roman"/>
                <w:color w:val="auto"/>
                <w:sz w:val="24"/>
                <w:szCs w:val="24"/>
                <w:highlight w:val="none"/>
                <w:lang w:val="en-US" w:eastAsia="zh-CN"/>
              </w:rPr>
              <w:t>）为：</w:t>
            </w:r>
          </w:p>
          <w:p w14:paraId="70F4F2D9">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34"/>
                <w:sz w:val="24"/>
                <w:szCs w:val="24"/>
                <w:highlight w:val="none"/>
                <w:lang w:val="en-US" w:eastAsia="zh-CN"/>
              </w:rPr>
              <w:object>
                <v:shape id="_x0000_i1035" o:spt="75" type="#_x0000_t75" style="height:40pt;width:204.95pt;" o:ole="t" filled="f" o:preferrelative="t" stroked="f" coordsize="21600,21600">
                  <v:path/>
                  <v:fill on="f" focussize="0,0"/>
                  <v:stroke on="f"/>
                  <v:imagedata r:id="rId46" o:title=""/>
                  <o:lock v:ext="edit" aspectratio="t"/>
                  <w10:wrap type="none"/>
                  <w10:anchorlock/>
                </v:shape>
                <o:OLEObject Type="Embed" ProgID="Equation.KSEE3" ShapeID="_x0000_i1035" DrawAspect="Content" ObjectID="_1468075735" r:id="rId45">
                  <o:LockedField>false</o:LockedField>
                </o:OLEObject>
              </w:object>
            </w:r>
          </w:p>
          <w:p w14:paraId="09A7251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eqg</w:t>
            </w:r>
            <w:r>
              <w:rPr>
                <w:rFonts w:hint="default" w:ascii="Times New Roman" w:hAnsi="Times New Roman" w:eastAsia="宋体" w:cs="Times New Roman"/>
                <w:color w:val="auto"/>
                <w:sz w:val="24"/>
                <w:szCs w:val="24"/>
                <w:highlight w:val="none"/>
                <w:lang w:val="en-US" w:eastAsia="zh-CN"/>
              </w:rPr>
              <w:t>——建设项目声源在预测点产生的噪声贡献值，dB；T——用于计算等效声级的时间，s；N——室外声源个数；t</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——在T时间内i声源工作时间，s；M——等效室外声源个数；t</w:t>
            </w:r>
            <w:r>
              <w:rPr>
                <w:rFonts w:hint="default" w:ascii="Times New Roman" w:hAnsi="Times New Roman" w:eastAsia="宋体" w:cs="Times New Roman"/>
                <w:color w:val="auto"/>
                <w:sz w:val="24"/>
                <w:szCs w:val="24"/>
                <w:highlight w:val="none"/>
                <w:vertAlign w:val="subscript"/>
                <w:lang w:val="en-US" w:eastAsia="zh-CN"/>
              </w:rPr>
              <w:t>j</w:t>
            </w:r>
            <w:r>
              <w:rPr>
                <w:rFonts w:hint="default" w:ascii="Times New Roman" w:hAnsi="Times New Roman" w:eastAsia="宋体" w:cs="Times New Roman"/>
                <w:color w:val="auto"/>
                <w:sz w:val="24"/>
                <w:szCs w:val="24"/>
                <w:highlight w:val="none"/>
                <w:lang w:val="en-US" w:eastAsia="zh-CN"/>
              </w:rPr>
              <w:t>——在T时间内j声源工作时间，s。</w:t>
            </w:r>
          </w:p>
          <w:p w14:paraId="7A291D73">
            <w:pPr>
              <w:spacing w:line="360" w:lineRule="auto"/>
              <w:ind w:firstLine="482" w:firstLineChars="200"/>
              <w:rPr>
                <w:rFonts w:hint="default" w:ascii="Times New Roman" w:hAnsi="Times New Roman" w:eastAsia="宋体" w:cs="Times New Roman"/>
                <w:b/>
                <w:bCs/>
                <w:color w:val="auto"/>
                <w:sz w:val="24"/>
                <w:szCs w:val="24"/>
                <w:highlight w:val="none"/>
                <w:lang w:val="en-GB"/>
              </w:rPr>
            </w:pPr>
            <w:r>
              <w:rPr>
                <w:rFonts w:hint="default" w:ascii="Times New Roman" w:hAnsi="Times New Roman" w:eastAsia="宋体" w:cs="Times New Roman"/>
                <w:b/>
                <w:bCs/>
                <w:color w:val="auto"/>
                <w:sz w:val="24"/>
                <w:szCs w:val="24"/>
                <w:highlight w:val="none"/>
                <w:lang w:val="en-GB"/>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GB"/>
              </w:rPr>
              <w:t>）预测结果分析</w:t>
            </w:r>
          </w:p>
          <w:p w14:paraId="4A500B1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根据上述噪声源强调查清单及预测公式，项目噪声贡献值见下表。</w:t>
            </w:r>
          </w:p>
          <w:p w14:paraId="164102F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5</w:t>
            </w:r>
            <w:r>
              <w:rPr>
                <w:rFonts w:hint="default" w:ascii="Times New Roman" w:hAnsi="Times New Roman" w:eastAsia="宋体" w:cs="Times New Roman"/>
                <w:b/>
                <w:bCs/>
                <w:color w:val="auto"/>
                <w:sz w:val="21"/>
                <w:szCs w:val="21"/>
                <w:highlight w:val="none"/>
                <w:lang w:val="en-US" w:eastAsia="zh-CN"/>
              </w:rPr>
              <w:t>厂界预测结果与达标分析表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9"/>
              <w:gridCol w:w="1243"/>
              <w:gridCol w:w="1153"/>
              <w:gridCol w:w="1342"/>
              <w:gridCol w:w="1347"/>
              <w:gridCol w:w="883"/>
              <w:gridCol w:w="887"/>
            </w:tblGrid>
            <w:tr w14:paraId="39AEE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restart"/>
                  <w:tcBorders>
                    <w:tl2br w:val="nil"/>
                    <w:tr2bl w:val="nil"/>
                  </w:tcBorders>
                  <w:noWrap w:val="0"/>
                  <w:vAlign w:val="center"/>
                </w:tcPr>
                <w:p w14:paraId="7EF45CA3">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预测点</w:t>
                  </w:r>
                </w:p>
              </w:tc>
              <w:tc>
                <w:tcPr>
                  <w:tcW w:w="1440" w:type="pct"/>
                  <w:gridSpan w:val="2"/>
                  <w:tcBorders>
                    <w:tl2br w:val="nil"/>
                    <w:tr2bl w:val="nil"/>
                  </w:tcBorders>
                  <w:noWrap w:val="0"/>
                  <w:vAlign w:val="center"/>
                </w:tcPr>
                <w:p w14:paraId="5958C65C">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贡献值dB（A）</w:t>
                  </w:r>
                </w:p>
              </w:tc>
              <w:tc>
                <w:tcPr>
                  <w:tcW w:w="1617" w:type="pct"/>
                  <w:gridSpan w:val="2"/>
                  <w:tcBorders>
                    <w:tl2br w:val="nil"/>
                    <w:tr2bl w:val="nil"/>
                  </w:tcBorders>
                  <w:noWrap w:val="0"/>
                  <w:vAlign w:val="center"/>
                </w:tcPr>
                <w:p w14:paraId="1593DBDC">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噪声标准</w:t>
                  </w:r>
                  <w:r>
                    <w:rPr>
                      <w:rFonts w:hint="default" w:ascii="Times New Roman" w:hAnsi="Times New Roman" w:eastAsia="宋体" w:cs="Times New Roman"/>
                      <w:b/>
                      <w:bCs/>
                      <w:color w:val="auto"/>
                      <w:sz w:val="21"/>
                      <w:szCs w:val="21"/>
                      <w:highlight w:val="none"/>
                    </w:rPr>
                    <w:t>dB（A）</w:t>
                  </w:r>
                </w:p>
              </w:tc>
              <w:tc>
                <w:tcPr>
                  <w:tcW w:w="1064" w:type="pct"/>
                  <w:gridSpan w:val="2"/>
                  <w:tcBorders>
                    <w:tl2br w:val="nil"/>
                    <w:tr2bl w:val="nil"/>
                  </w:tcBorders>
                  <w:noWrap w:val="0"/>
                  <w:vAlign w:val="center"/>
                </w:tcPr>
                <w:p w14:paraId="4A13BCE1">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达标情况</w:t>
                  </w:r>
                </w:p>
              </w:tc>
            </w:tr>
            <w:tr w14:paraId="200FB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continue"/>
                  <w:tcBorders>
                    <w:tl2br w:val="nil"/>
                    <w:tr2bl w:val="nil"/>
                  </w:tcBorders>
                  <w:noWrap w:val="0"/>
                  <w:vAlign w:val="center"/>
                </w:tcPr>
                <w:p w14:paraId="0D1D8452">
                  <w:pPr>
                    <w:adjustRightInd w:val="0"/>
                    <w:snapToGrid w:val="0"/>
                    <w:spacing w:line="240" w:lineRule="auto"/>
                    <w:jc w:val="center"/>
                    <w:rPr>
                      <w:rFonts w:hint="default" w:ascii="Times New Roman" w:hAnsi="Times New Roman" w:eastAsia="宋体" w:cs="Times New Roman"/>
                      <w:b/>
                      <w:bCs/>
                      <w:color w:val="auto"/>
                      <w:sz w:val="21"/>
                      <w:szCs w:val="21"/>
                      <w:highlight w:val="none"/>
                    </w:rPr>
                  </w:pPr>
                </w:p>
              </w:tc>
              <w:tc>
                <w:tcPr>
                  <w:tcW w:w="747" w:type="pct"/>
                  <w:tcBorders>
                    <w:tl2br w:val="nil"/>
                    <w:tr2bl w:val="nil"/>
                  </w:tcBorders>
                  <w:noWrap w:val="0"/>
                  <w:vAlign w:val="center"/>
                </w:tcPr>
                <w:p w14:paraId="6A2DFA59">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692" w:type="pct"/>
                  <w:tcBorders>
                    <w:tl2br w:val="nil"/>
                    <w:tr2bl w:val="nil"/>
                  </w:tcBorders>
                  <w:noWrap w:val="0"/>
                  <w:vAlign w:val="center"/>
                </w:tcPr>
                <w:p w14:paraId="72503828">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c>
                <w:tcPr>
                  <w:tcW w:w="807" w:type="pct"/>
                  <w:tcBorders>
                    <w:tl2br w:val="nil"/>
                    <w:tr2bl w:val="nil"/>
                  </w:tcBorders>
                  <w:noWrap w:val="0"/>
                  <w:vAlign w:val="center"/>
                </w:tcPr>
                <w:p w14:paraId="1FA95347">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809" w:type="pct"/>
                  <w:tcBorders>
                    <w:tl2br w:val="nil"/>
                    <w:tr2bl w:val="nil"/>
                  </w:tcBorders>
                  <w:noWrap w:val="0"/>
                  <w:vAlign w:val="center"/>
                </w:tcPr>
                <w:p w14:paraId="1556CD6E">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c>
                <w:tcPr>
                  <w:tcW w:w="531" w:type="pct"/>
                  <w:tcBorders>
                    <w:tl2br w:val="nil"/>
                    <w:tr2bl w:val="nil"/>
                  </w:tcBorders>
                  <w:noWrap w:val="0"/>
                  <w:vAlign w:val="center"/>
                </w:tcPr>
                <w:p w14:paraId="114221E0">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昼间</w:t>
                  </w:r>
                </w:p>
              </w:tc>
              <w:tc>
                <w:tcPr>
                  <w:tcW w:w="533" w:type="pct"/>
                  <w:tcBorders>
                    <w:tl2br w:val="nil"/>
                    <w:tr2bl w:val="nil"/>
                  </w:tcBorders>
                  <w:noWrap w:val="0"/>
                  <w:vAlign w:val="center"/>
                </w:tcPr>
                <w:p w14:paraId="0D58552B">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夜间</w:t>
                  </w:r>
                </w:p>
              </w:tc>
            </w:tr>
            <w:tr w14:paraId="3E818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11452258">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东侧边界</w:t>
                  </w:r>
                </w:p>
              </w:tc>
              <w:tc>
                <w:tcPr>
                  <w:tcW w:w="747" w:type="pct"/>
                  <w:tcBorders>
                    <w:tl2br w:val="nil"/>
                    <w:tr2bl w:val="nil"/>
                  </w:tcBorders>
                  <w:noWrap w:val="0"/>
                  <w:vAlign w:val="center"/>
                </w:tcPr>
                <w:p w14:paraId="33F1A76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25.59</w:t>
                  </w:r>
                </w:p>
              </w:tc>
              <w:tc>
                <w:tcPr>
                  <w:tcW w:w="692" w:type="pct"/>
                  <w:tcBorders>
                    <w:tl2br w:val="nil"/>
                    <w:tr2bl w:val="nil"/>
                  </w:tcBorders>
                  <w:noWrap w:val="0"/>
                  <w:vAlign w:val="center"/>
                </w:tcPr>
                <w:p w14:paraId="7587B5F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52149ABD">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olor w:val="auto"/>
                      <w:lang w:val="en-US" w:eastAsia="zh-CN"/>
                    </w:rPr>
                    <w:t>70</w:t>
                  </w:r>
                </w:p>
              </w:tc>
              <w:tc>
                <w:tcPr>
                  <w:tcW w:w="809" w:type="pct"/>
                  <w:tcBorders>
                    <w:tl2br w:val="nil"/>
                    <w:tr2bl w:val="nil"/>
                  </w:tcBorders>
                  <w:noWrap w:val="0"/>
                  <w:vAlign w:val="center"/>
                </w:tcPr>
                <w:p w14:paraId="6803E65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5F187C0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15CC25A0">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w:t>
                  </w:r>
                </w:p>
              </w:tc>
            </w:tr>
            <w:tr w14:paraId="57215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1" w:hRule="atLeast"/>
                <w:jc w:val="center"/>
              </w:trPr>
              <w:tc>
                <w:tcPr>
                  <w:tcW w:w="877" w:type="pct"/>
                  <w:tcBorders>
                    <w:tl2br w:val="nil"/>
                    <w:tr2bl w:val="nil"/>
                  </w:tcBorders>
                  <w:noWrap w:val="0"/>
                  <w:vAlign w:val="center"/>
                </w:tcPr>
                <w:p w14:paraId="5077A84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南侧边界</w:t>
                  </w:r>
                </w:p>
              </w:tc>
              <w:tc>
                <w:tcPr>
                  <w:tcW w:w="747" w:type="pct"/>
                  <w:tcBorders>
                    <w:tl2br w:val="nil"/>
                    <w:tr2bl w:val="nil"/>
                  </w:tcBorders>
                  <w:noWrap w:val="0"/>
                  <w:vAlign w:val="center"/>
                </w:tcPr>
                <w:p w14:paraId="16B1088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38.13</w:t>
                  </w:r>
                </w:p>
              </w:tc>
              <w:tc>
                <w:tcPr>
                  <w:tcW w:w="692" w:type="pct"/>
                  <w:tcBorders>
                    <w:tl2br w:val="nil"/>
                    <w:tr2bl w:val="nil"/>
                  </w:tcBorders>
                  <w:noWrap w:val="0"/>
                  <w:vAlign w:val="center"/>
                </w:tcPr>
                <w:p w14:paraId="668B1CC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5FF4D7B1">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70</w:t>
                  </w:r>
                </w:p>
              </w:tc>
              <w:tc>
                <w:tcPr>
                  <w:tcW w:w="809" w:type="pct"/>
                  <w:tcBorders>
                    <w:tl2br w:val="nil"/>
                    <w:tr2bl w:val="nil"/>
                  </w:tcBorders>
                  <w:noWrap w:val="0"/>
                  <w:vAlign w:val="center"/>
                </w:tcPr>
                <w:p w14:paraId="054A229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2E657FE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660CA95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r>
            <w:tr w14:paraId="7E7F7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2D3D221A">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西侧边界</w:t>
                  </w:r>
                </w:p>
              </w:tc>
              <w:tc>
                <w:tcPr>
                  <w:tcW w:w="747" w:type="pct"/>
                  <w:tcBorders>
                    <w:tl2br w:val="nil"/>
                    <w:tr2bl w:val="nil"/>
                  </w:tcBorders>
                  <w:noWrap w:val="0"/>
                  <w:vAlign w:val="center"/>
                </w:tcPr>
                <w:p w14:paraId="6E9FB49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32.91</w:t>
                  </w:r>
                </w:p>
              </w:tc>
              <w:tc>
                <w:tcPr>
                  <w:tcW w:w="692" w:type="pct"/>
                  <w:tcBorders>
                    <w:tl2br w:val="nil"/>
                    <w:tr2bl w:val="nil"/>
                  </w:tcBorders>
                  <w:noWrap w:val="0"/>
                  <w:vAlign w:val="center"/>
                </w:tcPr>
                <w:p w14:paraId="12C94D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32DCC251">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809" w:type="pct"/>
                  <w:tcBorders>
                    <w:tl2br w:val="nil"/>
                    <w:tr2bl w:val="nil"/>
                  </w:tcBorders>
                  <w:noWrap w:val="0"/>
                  <w:vAlign w:val="center"/>
                </w:tcPr>
                <w:p w14:paraId="2CC1EADB">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5D5F303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4C8C6AA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w:t>
                  </w:r>
                </w:p>
              </w:tc>
            </w:tr>
            <w:tr w14:paraId="54BB1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877" w:type="pct"/>
                  <w:tcBorders>
                    <w:tl2br w:val="nil"/>
                    <w:tr2bl w:val="nil"/>
                  </w:tcBorders>
                  <w:noWrap w:val="0"/>
                  <w:vAlign w:val="center"/>
                </w:tcPr>
                <w:p w14:paraId="63DA0E63">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北侧边界</w:t>
                  </w:r>
                </w:p>
              </w:tc>
              <w:tc>
                <w:tcPr>
                  <w:tcW w:w="747" w:type="pct"/>
                  <w:tcBorders>
                    <w:tl2br w:val="nil"/>
                    <w:tr2bl w:val="nil"/>
                  </w:tcBorders>
                  <w:noWrap w:val="0"/>
                  <w:vAlign w:val="center"/>
                </w:tcPr>
                <w:p w14:paraId="12E038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28.74</w:t>
                  </w:r>
                </w:p>
              </w:tc>
              <w:tc>
                <w:tcPr>
                  <w:tcW w:w="692" w:type="pct"/>
                  <w:tcBorders>
                    <w:tl2br w:val="nil"/>
                    <w:tr2bl w:val="nil"/>
                  </w:tcBorders>
                  <w:noWrap w:val="0"/>
                  <w:vAlign w:val="center"/>
                </w:tcPr>
                <w:p w14:paraId="739A77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16ECF10A">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809" w:type="pct"/>
                  <w:tcBorders>
                    <w:tl2br w:val="nil"/>
                    <w:tr2bl w:val="nil"/>
                  </w:tcBorders>
                  <w:noWrap w:val="0"/>
                  <w:vAlign w:val="center"/>
                </w:tcPr>
                <w:p w14:paraId="2BC8BCF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7D0A4526">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37CF7407">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r>
          </w:tbl>
          <w:p w14:paraId="3DBB9F9E">
            <w:pPr>
              <w:pStyle w:val="43"/>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default" w:ascii="Times New Roman" w:hAnsi="Times New Roman" w:eastAsia="宋体" w:cs="Times New Roman"/>
                <w:b/>
                <w:bCs/>
                <w:color w:val="auto"/>
                <w:kern w:val="0"/>
                <w:sz w:val="24"/>
                <w:highlight w:val="none"/>
                <w:lang w:eastAsia="zh-CN"/>
              </w:rPr>
            </w:pPr>
          </w:p>
          <w:p w14:paraId="61940CB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根据预测结果，项目</w:t>
            </w:r>
            <w:r>
              <w:rPr>
                <w:rFonts w:hint="default" w:ascii="Times New Roman" w:hAnsi="Times New Roman" w:eastAsia="宋体" w:cs="Times New Roman"/>
                <w:color w:val="auto"/>
                <w:sz w:val="24"/>
                <w:highlight w:val="none"/>
              </w:rPr>
              <w:t>经</w:t>
            </w:r>
            <w:r>
              <w:rPr>
                <w:rFonts w:hint="default" w:ascii="Times New Roman" w:hAnsi="Times New Roman" w:eastAsia="宋体" w:cs="Times New Roman"/>
                <w:color w:val="auto"/>
                <w:sz w:val="24"/>
                <w:highlight w:val="none"/>
                <w:lang w:val="en-US" w:eastAsia="zh-CN"/>
              </w:rPr>
              <w:t>采取厂房隔声、基础减震、</w:t>
            </w:r>
            <w:r>
              <w:rPr>
                <w:rFonts w:hint="default" w:ascii="Times New Roman" w:hAnsi="Times New Roman" w:eastAsia="宋体" w:cs="Times New Roman"/>
                <w:color w:val="auto"/>
                <w:kern w:val="0"/>
                <w:sz w:val="24"/>
                <w:highlight w:val="none"/>
              </w:rPr>
              <w:t>合理布置生产设备</w:t>
            </w:r>
            <w:r>
              <w:rPr>
                <w:rFonts w:hint="default" w:ascii="Times New Roman" w:hAnsi="Times New Roman" w:eastAsia="宋体" w:cs="Times New Roman"/>
                <w:color w:val="auto"/>
                <w:kern w:val="0"/>
                <w:sz w:val="24"/>
                <w:highlight w:val="none"/>
                <w:lang w:val="en-US" w:eastAsia="zh-CN"/>
              </w:rPr>
              <w:t>等降噪措施和</w:t>
            </w:r>
            <w:r>
              <w:rPr>
                <w:rFonts w:hint="default" w:ascii="Times New Roman" w:hAnsi="Times New Roman" w:eastAsia="宋体" w:cs="Times New Roman"/>
                <w:color w:val="auto"/>
                <w:sz w:val="24"/>
                <w:highlight w:val="none"/>
              </w:rPr>
              <w:t>距离衰减后</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项目</w:t>
            </w:r>
            <w:r>
              <w:rPr>
                <w:rFonts w:hint="eastAsia" w:cs="Times New Roman"/>
                <w:color w:val="auto"/>
                <w:sz w:val="24"/>
                <w:highlight w:val="none"/>
                <w:lang w:val="en-US" w:eastAsia="zh-CN"/>
              </w:rPr>
              <w:t>东、南</w:t>
            </w:r>
            <w:r>
              <w:rPr>
                <w:rFonts w:hint="default" w:ascii="Times New Roman" w:hAnsi="Times New Roman" w:eastAsia="宋体" w:cs="Times New Roman"/>
                <w:color w:val="auto"/>
                <w:sz w:val="24"/>
                <w:highlight w:val="none"/>
                <w:lang w:val="en-US" w:eastAsia="zh-CN"/>
              </w:rPr>
              <w:t>面</w:t>
            </w:r>
            <w:r>
              <w:rPr>
                <w:rFonts w:hint="default" w:ascii="Times New Roman" w:hAnsi="Times New Roman" w:eastAsia="宋体" w:cs="Times New Roman"/>
                <w:color w:val="auto"/>
                <w:sz w:val="24"/>
                <w:highlight w:val="none"/>
              </w:rPr>
              <w:t>厂界噪声可达到《工业企业厂界环境噪声排放标准》（GB12348-2008）</w:t>
            </w:r>
            <w:r>
              <w:rPr>
                <w:rFonts w:hint="default" w:ascii="Times New Roman" w:hAnsi="Times New Roman" w:eastAsia="宋体" w:cs="Times New Roman"/>
                <w:color w:val="auto"/>
                <w:sz w:val="24"/>
                <w:highlight w:val="none"/>
                <w:lang w:val="en-US" w:eastAsia="zh-CN"/>
              </w:rPr>
              <w:t>4</w:t>
            </w:r>
            <w:r>
              <w:rPr>
                <w:rFonts w:hint="eastAsia" w:cs="Times New Roman"/>
                <w:color w:val="auto"/>
                <w:sz w:val="24"/>
                <w:highlight w:val="none"/>
                <w:lang w:val="en-US" w:eastAsia="zh-CN"/>
              </w:rPr>
              <w:t>a</w:t>
            </w:r>
            <w:r>
              <w:rPr>
                <w:rFonts w:hint="default" w:ascii="Times New Roman" w:hAnsi="Times New Roman" w:eastAsia="宋体" w:cs="Times New Roman"/>
                <w:color w:val="auto"/>
                <w:sz w:val="24"/>
                <w:highlight w:val="none"/>
              </w:rPr>
              <w:t>类标准（昼间≤</w:t>
            </w:r>
            <w:r>
              <w:rPr>
                <w:rFonts w:hint="default" w:ascii="Times New Roman" w:hAnsi="Times New Roman" w:eastAsia="宋体" w:cs="Times New Roman"/>
                <w:color w:val="auto"/>
                <w:sz w:val="24"/>
                <w:highlight w:val="none"/>
                <w:lang w:val="en-US" w:eastAsia="zh-CN"/>
              </w:rPr>
              <w:t>70</w:t>
            </w:r>
            <w:r>
              <w:rPr>
                <w:rFonts w:hint="default" w:ascii="Times New Roman" w:hAnsi="Times New Roman" w:eastAsia="宋体" w:cs="Times New Roman"/>
                <w:color w:val="auto"/>
                <w:sz w:val="24"/>
                <w:highlight w:val="none"/>
              </w:rPr>
              <w:t>dB(A)）的要求</w:t>
            </w: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其余</w:t>
            </w:r>
            <w:r>
              <w:rPr>
                <w:rFonts w:hint="default" w:ascii="Times New Roman" w:hAnsi="Times New Roman" w:eastAsia="宋体" w:cs="Times New Roman"/>
                <w:color w:val="auto"/>
                <w:sz w:val="24"/>
                <w:highlight w:val="none"/>
              </w:rPr>
              <w:t>厂界噪声</w:t>
            </w:r>
            <w:r>
              <w:rPr>
                <w:rFonts w:hint="default" w:ascii="Times New Roman" w:hAnsi="Times New Roman" w:eastAsia="宋体" w:cs="Times New Roman"/>
                <w:color w:val="auto"/>
                <w:sz w:val="24"/>
                <w:highlight w:val="none"/>
                <w:lang w:val="en-US" w:eastAsia="zh-CN"/>
              </w:rPr>
              <w:t>均</w:t>
            </w:r>
            <w:r>
              <w:rPr>
                <w:rFonts w:hint="default" w:ascii="Times New Roman" w:hAnsi="Times New Roman" w:eastAsia="宋体" w:cs="Times New Roman"/>
                <w:color w:val="auto"/>
                <w:sz w:val="24"/>
                <w:highlight w:val="none"/>
              </w:rPr>
              <w:t>可达到《工业企业厂界环境噪声排放标准》（GB12348-2008）</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类标准（昼间≤6</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dB(A)）的要求。</w:t>
            </w:r>
          </w:p>
          <w:p w14:paraId="3AC1FA23">
            <w:pPr>
              <w:tabs>
                <w:tab w:val="left" w:pos="3615"/>
              </w:tabs>
              <w:spacing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3.4噪声监测计划</w:t>
            </w:r>
          </w:p>
          <w:p w14:paraId="2FEEF8C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Cs/>
                <w:snapToGrid/>
                <w:color w:val="auto"/>
                <w:kern w:val="0"/>
                <w:sz w:val="24"/>
                <w:szCs w:val="24"/>
                <w:highlight w:val="none"/>
                <w:lang w:val="en-US" w:eastAsia="zh-CN" w:bidi="ar-SA"/>
              </w:rPr>
              <w:t>根据《排污许可证申请与核发技术规范 工业噪声》</w:t>
            </w:r>
            <w:r>
              <w:rPr>
                <w:rFonts w:hint="default" w:ascii="Times New Roman" w:hAnsi="Times New Roman" w:eastAsia="宋体" w:cs="Times New Roman"/>
                <w:bCs/>
                <w:snapToGrid/>
                <w:color w:val="auto"/>
                <w:kern w:val="0"/>
                <w:sz w:val="24"/>
                <w:szCs w:val="24"/>
                <w:highlight w:val="none"/>
                <w:lang w:val="en-US" w:eastAsia="zh-CN" w:bidi="ar-SA"/>
              </w:rPr>
              <w:fldChar w:fldCharType="begin"/>
            </w:r>
            <w:r>
              <w:rPr>
                <w:rFonts w:hint="default" w:ascii="Times New Roman" w:hAnsi="Times New Roman" w:eastAsia="宋体" w:cs="Times New Roman"/>
                <w:bCs/>
                <w:snapToGrid/>
                <w:color w:val="auto"/>
                <w:kern w:val="0"/>
                <w:sz w:val="24"/>
                <w:szCs w:val="24"/>
                <w:highlight w:val="none"/>
                <w:lang w:val="en-US" w:eastAsia="zh-CN" w:bidi="ar-SA"/>
              </w:rPr>
              <w:instrText xml:space="preserve"> HYPERLINK "https://www.mee.gov.cn/ywgz/fgbz/bz/bzwb/pwxk/202308/W020230919349861394526.pdf" </w:instrText>
            </w:r>
            <w:r>
              <w:rPr>
                <w:rFonts w:hint="default" w:ascii="Times New Roman" w:hAnsi="Times New Roman" w:eastAsia="宋体" w:cs="Times New Roman"/>
                <w:bCs/>
                <w:snapToGrid/>
                <w:color w:val="auto"/>
                <w:kern w:val="0"/>
                <w:sz w:val="24"/>
                <w:szCs w:val="24"/>
                <w:highlight w:val="none"/>
                <w:lang w:val="en-US" w:eastAsia="zh-CN" w:bidi="ar-SA"/>
              </w:rPr>
              <w:fldChar w:fldCharType="separate"/>
            </w:r>
            <w:r>
              <w:rPr>
                <w:rFonts w:hint="default" w:ascii="Times New Roman" w:hAnsi="Times New Roman" w:eastAsia="宋体" w:cs="Times New Roman"/>
                <w:bCs/>
                <w:snapToGrid/>
                <w:color w:val="auto"/>
                <w:kern w:val="0"/>
                <w:sz w:val="24"/>
                <w:szCs w:val="24"/>
                <w:highlight w:val="none"/>
                <w:lang w:val="en-US" w:eastAsia="zh-CN" w:bidi="ar-SA"/>
              </w:rPr>
              <w:t>（HJ 1301—2023）</w:t>
            </w:r>
            <w:r>
              <w:rPr>
                <w:rFonts w:hint="default" w:ascii="Times New Roman" w:hAnsi="Times New Roman" w:eastAsia="宋体" w:cs="Times New Roman"/>
                <w:bCs/>
                <w:snapToGrid/>
                <w:color w:val="auto"/>
                <w:kern w:val="0"/>
                <w:sz w:val="24"/>
                <w:szCs w:val="24"/>
                <w:highlight w:val="none"/>
                <w:lang w:val="en-US" w:eastAsia="zh-CN" w:bidi="ar-SA"/>
              </w:rPr>
              <w:fldChar w:fldCharType="end"/>
            </w:r>
            <w:r>
              <w:rPr>
                <w:rFonts w:hint="default" w:ascii="Times New Roman" w:hAnsi="Times New Roman" w:eastAsia="宋体" w:cs="Times New Roman"/>
                <w:color w:val="auto"/>
                <w:sz w:val="24"/>
                <w:highlight w:val="none"/>
              </w:rPr>
              <w:t>，噪声监测要求详见</w:t>
            </w:r>
            <w:r>
              <w:rPr>
                <w:rFonts w:hint="default" w:ascii="Times New Roman" w:hAnsi="Times New Roman" w:eastAsia="宋体" w:cs="Times New Roman"/>
                <w:color w:val="auto"/>
                <w:sz w:val="24"/>
                <w:highlight w:val="none"/>
                <w:lang w:val="en-US" w:eastAsia="zh-CN"/>
              </w:rPr>
              <w:t>下表</w:t>
            </w:r>
            <w:r>
              <w:rPr>
                <w:rFonts w:hint="default" w:ascii="Times New Roman" w:hAnsi="Times New Roman" w:eastAsia="宋体" w:cs="Times New Roman"/>
                <w:color w:val="auto"/>
                <w:sz w:val="24"/>
                <w:highlight w:val="none"/>
              </w:rPr>
              <w:t>。</w:t>
            </w:r>
          </w:p>
          <w:p w14:paraId="5A88318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6</w:t>
            </w:r>
            <w:r>
              <w:rPr>
                <w:rFonts w:hint="default" w:ascii="Times New Roman" w:hAnsi="Times New Roman" w:eastAsia="宋体" w:cs="Times New Roman"/>
                <w:b/>
                <w:bCs/>
                <w:color w:val="auto"/>
                <w:sz w:val="21"/>
                <w:szCs w:val="21"/>
                <w:highlight w:val="none"/>
              </w:rPr>
              <w:t>噪声监测计划一览表</w:t>
            </w:r>
          </w:p>
          <w:tbl>
            <w:tblPr>
              <w:tblStyle w:val="48"/>
              <w:tblW w:w="4998" w:type="pct"/>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fixed"/>
              <w:tblCellMar>
                <w:top w:w="0" w:type="dxa"/>
                <w:left w:w="0" w:type="dxa"/>
                <w:bottom w:w="0" w:type="dxa"/>
                <w:right w:w="0" w:type="dxa"/>
              </w:tblCellMar>
            </w:tblPr>
            <w:tblGrid>
              <w:gridCol w:w="1328"/>
              <w:gridCol w:w="1251"/>
              <w:gridCol w:w="1221"/>
              <w:gridCol w:w="1231"/>
              <w:gridCol w:w="3283"/>
            </w:tblGrid>
            <w:tr w14:paraId="2BEB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PrEx>
              <w:trPr>
                <w:trHeight w:val="369" w:hRule="atLeast"/>
              </w:trPr>
              <w:tc>
                <w:tcPr>
                  <w:tcW w:w="799" w:type="pct"/>
                  <w:tcBorders>
                    <w:tl2br w:val="nil"/>
                    <w:tr2bl w:val="nil"/>
                  </w:tcBorders>
                  <w:noWrap w:val="0"/>
                  <w:vAlign w:val="center"/>
                </w:tcPr>
                <w:p w14:paraId="5E5FB3BB">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监测点位</w:t>
                  </w:r>
                </w:p>
              </w:tc>
              <w:tc>
                <w:tcPr>
                  <w:tcW w:w="752" w:type="pct"/>
                  <w:tcBorders>
                    <w:tl2br w:val="nil"/>
                    <w:tr2bl w:val="nil"/>
                  </w:tcBorders>
                  <w:noWrap w:val="0"/>
                  <w:vAlign w:val="center"/>
                </w:tcPr>
                <w:p w14:paraId="1BEDC50B">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监测指标</w:t>
                  </w:r>
                </w:p>
              </w:tc>
              <w:tc>
                <w:tcPr>
                  <w:tcW w:w="734" w:type="pct"/>
                  <w:tcBorders>
                    <w:tl2br w:val="nil"/>
                    <w:tr2bl w:val="nil"/>
                  </w:tcBorders>
                  <w:noWrap w:val="0"/>
                  <w:vAlign w:val="center"/>
                </w:tcPr>
                <w:p w14:paraId="64587E77">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监测时段</w:t>
                  </w:r>
                </w:p>
              </w:tc>
              <w:tc>
                <w:tcPr>
                  <w:tcW w:w="740" w:type="pct"/>
                  <w:tcBorders>
                    <w:tl2br w:val="nil"/>
                    <w:tr2bl w:val="nil"/>
                  </w:tcBorders>
                  <w:noWrap w:val="0"/>
                  <w:vAlign w:val="center"/>
                </w:tcPr>
                <w:p w14:paraId="76F2BD55">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监测频次</w:t>
                  </w:r>
                </w:p>
              </w:tc>
              <w:tc>
                <w:tcPr>
                  <w:tcW w:w="1974" w:type="pct"/>
                  <w:tcBorders>
                    <w:tl2br w:val="nil"/>
                    <w:tr2bl w:val="nil"/>
                  </w:tcBorders>
                  <w:noWrap w:val="0"/>
                  <w:vAlign w:val="center"/>
                </w:tcPr>
                <w:p w14:paraId="5F0B7B49">
                  <w:pPr>
                    <w:widowControl/>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default" w:ascii="Times New Roman" w:hAnsi="Times New Roman" w:cs="Times New Roman"/>
                      <w:b/>
                      <w:bCs/>
                      <w:color w:val="auto"/>
                      <w:kern w:val="0"/>
                      <w:szCs w:val="21"/>
                      <w:highlight w:val="none"/>
                      <w:lang w:val="en-US" w:eastAsia="zh-CN" w:bidi="ar"/>
                    </w:rPr>
                    <w:t>依据</w:t>
                  </w:r>
                </w:p>
              </w:tc>
            </w:tr>
            <w:tr w14:paraId="0B812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69" w:hRule="atLeast"/>
              </w:trPr>
              <w:tc>
                <w:tcPr>
                  <w:tcW w:w="799" w:type="pct"/>
                  <w:tcBorders>
                    <w:tl2br w:val="nil"/>
                    <w:tr2bl w:val="nil"/>
                  </w:tcBorders>
                  <w:noWrap w:val="0"/>
                  <w:vAlign w:val="center"/>
                </w:tcPr>
                <w:p w14:paraId="57B4B323">
                  <w:pPr>
                    <w:widowControl/>
                    <w:jc w:val="center"/>
                    <w:textAlignment w:val="center"/>
                    <w:rPr>
                      <w:rFonts w:hint="default" w:ascii="Times New Roman" w:hAnsi="Times New Roman" w:eastAsia="宋体" w:cs="Times New Roman"/>
                      <w:color w:val="auto"/>
                      <w:kern w:val="0"/>
                      <w:szCs w:val="21"/>
                      <w:highlight w:val="none"/>
                      <w:lang w:val="en-US" w:bidi="ar"/>
                    </w:rPr>
                  </w:pPr>
                  <w:r>
                    <w:rPr>
                      <w:rFonts w:hint="default" w:ascii="Times New Roman" w:hAnsi="Times New Roman" w:cs="Times New Roman"/>
                      <w:color w:val="auto"/>
                      <w:kern w:val="0"/>
                      <w:szCs w:val="21"/>
                      <w:highlight w:val="none"/>
                      <w:lang w:val="en-US" w:eastAsia="zh-CN" w:bidi="ar"/>
                    </w:rPr>
                    <w:t>厂区 各边界外1米</w:t>
                  </w:r>
                </w:p>
              </w:tc>
              <w:tc>
                <w:tcPr>
                  <w:tcW w:w="752" w:type="pct"/>
                  <w:tcBorders>
                    <w:tl2br w:val="nil"/>
                    <w:tr2bl w:val="nil"/>
                  </w:tcBorders>
                  <w:noWrap w:val="0"/>
                  <w:vAlign w:val="center"/>
                </w:tcPr>
                <w:p w14:paraId="02E9AB4C">
                  <w:pPr>
                    <w:widowControl/>
                    <w:jc w:val="center"/>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等效连续A声级</w:t>
                  </w:r>
                </w:p>
              </w:tc>
              <w:tc>
                <w:tcPr>
                  <w:tcW w:w="734" w:type="pct"/>
                  <w:tcBorders>
                    <w:tl2br w:val="nil"/>
                    <w:tr2bl w:val="nil"/>
                  </w:tcBorders>
                  <w:noWrap w:val="0"/>
                  <w:vAlign w:val="center"/>
                </w:tcPr>
                <w:p w14:paraId="32B82984">
                  <w:pPr>
                    <w:widowControl/>
                    <w:jc w:val="center"/>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昼间</w:t>
                  </w:r>
                </w:p>
              </w:tc>
              <w:tc>
                <w:tcPr>
                  <w:tcW w:w="1247" w:type="dxa"/>
                  <w:tcBorders>
                    <w:tl2br w:val="nil"/>
                    <w:tr2bl w:val="nil"/>
                  </w:tcBorders>
                  <w:noWrap w:val="0"/>
                  <w:vAlign w:val="center"/>
                </w:tcPr>
                <w:p w14:paraId="73B5278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spacing w:val="-2"/>
                      <w:sz w:val="21"/>
                      <w:szCs w:val="21"/>
                      <w:highlight w:val="none"/>
                    </w:rPr>
                    <w:t>1次/季度</w:t>
                  </w:r>
                </w:p>
              </w:tc>
              <w:tc>
                <w:tcPr>
                  <w:tcW w:w="3326" w:type="dxa"/>
                  <w:tcBorders>
                    <w:tl2br w:val="nil"/>
                    <w:tr2bl w:val="nil"/>
                  </w:tcBorders>
                  <w:noWrap w:val="0"/>
                  <w:vAlign w:val="center"/>
                </w:tcPr>
                <w:p w14:paraId="270D14F4">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spacing w:val="-2"/>
                      <w:sz w:val="21"/>
                      <w:szCs w:val="21"/>
                      <w:highlight w:val="none"/>
                    </w:rPr>
                    <w:t>《排污单位自行监测技术指南 涂装》（HJ1086-2020）表4</w:t>
                  </w:r>
                </w:p>
              </w:tc>
            </w:tr>
          </w:tbl>
          <w:p w14:paraId="6AB77A0E">
            <w:pPr>
              <w:pStyle w:val="43"/>
              <w:spacing w:after="0" w:line="120" w:lineRule="auto"/>
              <w:ind w:firstLine="482"/>
              <w:rPr>
                <w:rFonts w:hint="default" w:ascii="Times New Roman" w:hAnsi="Times New Roman" w:eastAsia="宋体" w:cs="Times New Roman"/>
                <w:b/>
                <w:color w:val="auto"/>
                <w:szCs w:val="21"/>
                <w:highlight w:val="none"/>
              </w:rPr>
            </w:pPr>
          </w:p>
          <w:p w14:paraId="5BE33848">
            <w:pPr>
              <w:pStyle w:val="43"/>
              <w:spacing w:after="0" w:line="360" w:lineRule="auto"/>
              <w:ind w:firstLine="480"/>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4、固体废物</w:t>
            </w:r>
          </w:p>
          <w:p w14:paraId="73ADA6F4">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4.1、固体废物产排情况</w:t>
            </w:r>
          </w:p>
          <w:p w14:paraId="33154EF6">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本项目营运期产生的固体废物主要为生活垃圾</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含废油脂</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一般工业固废（边角料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包装废料、</w:t>
            </w:r>
            <w:r>
              <w:rPr>
                <w:rFonts w:hint="default" w:ascii="Times New Roman" w:hAnsi="Times New Roman" w:cs="Times New Roman"/>
                <w:color w:val="auto"/>
                <w:sz w:val="24"/>
                <w:szCs w:val="24"/>
                <w:highlight w:val="none"/>
                <w:lang w:val="en-US" w:eastAsia="zh-CN"/>
              </w:rPr>
              <w:t>沉降金属粉尘</w:t>
            </w:r>
            <w:r>
              <w:rPr>
                <w:rFonts w:hint="eastAsia" w:cs="Times New Roman"/>
                <w:color w:val="auto"/>
                <w:sz w:val="24"/>
                <w:szCs w:val="24"/>
                <w:highlight w:val="none"/>
                <w:lang w:val="en-US" w:eastAsia="zh-CN"/>
              </w:rPr>
              <w:t>、废催化剂、废滤芯</w:t>
            </w:r>
            <w:r>
              <w:rPr>
                <w:rFonts w:hint="default" w:ascii="Times New Roman" w:hAnsi="Times New Roman" w:cs="Times New Roman"/>
                <w:color w:val="auto"/>
                <w:sz w:val="24"/>
                <w:szCs w:val="24"/>
                <w:highlight w:val="none"/>
              </w:rPr>
              <w:t>）、危险废物（废表面处理剂包装桶</w:t>
            </w:r>
            <w:r>
              <w:rPr>
                <w:rFonts w:hint="eastAsia"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预处理池泥渣及管道循环装置废物</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无铬钝化池废槽液</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废水处理站污泥</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废pH调整剂包装桶</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废机油桶</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废机油</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废含油抹布手套</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废液压油桶</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废液压油</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喷淋废液及沉渣</w:t>
            </w:r>
            <w:r>
              <w:rPr>
                <w:rFonts w:hint="eastAsia" w:cs="Times New Roman"/>
                <w:color w:val="auto"/>
                <w:sz w:val="24"/>
                <w:szCs w:val="24"/>
                <w:highlight w:val="none"/>
                <w:lang w:eastAsia="zh-CN"/>
              </w:rPr>
              <w:t>、喷枪清洗废液、废原料桶、废静电喷粉滤芯、废过滤棉、废活性炭、废粉末涂料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p>
          <w:p w14:paraId="0C5BE35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7</w:t>
            </w:r>
            <w:r>
              <w:rPr>
                <w:rFonts w:hint="default" w:ascii="Times New Roman" w:hAnsi="Times New Roman" w:eastAsia="宋体" w:cs="Times New Roman"/>
                <w:b/>
                <w:bCs/>
                <w:color w:val="auto"/>
                <w:sz w:val="21"/>
                <w:szCs w:val="21"/>
                <w:highlight w:val="none"/>
                <w:lang w:val="en-US" w:eastAsia="zh-CN"/>
              </w:rPr>
              <w:t>固废产排污节点、污染物及污染治理设施信息表</w:t>
            </w:r>
          </w:p>
          <w:tbl>
            <w:tblPr>
              <w:tblStyle w:val="48"/>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35"/>
              <w:gridCol w:w="848"/>
              <w:gridCol w:w="358"/>
              <w:gridCol w:w="1404"/>
              <w:gridCol w:w="742"/>
              <w:gridCol w:w="512"/>
              <w:gridCol w:w="566"/>
              <w:gridCol w:w="805"/>
              <w:gridCol w:w="705"/>
              <w:gridCol w:w="918"/>
              <w:gridCol w:w="816"/>
            </w:tblGrid>
            <w:tr w14:paraId="3BA61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7307E8C3">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产生环节</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2393252">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C19F4C">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属性</w:t>
                  </w: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73ABF064">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废物分类代码</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013C941">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主要有毒有害物质</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81F7754">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物理性状</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044AE37">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环境危险特性</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1798AC1">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年度产生量（t/a）</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0222FF7A">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贮存方式</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716EF6C5">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利用处置方式和去向</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70037C23">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利用或处置量（t/a）</w:t>
                  </w:r>
                </w:p>
              </w:tc>
            </w:tr>
            <w:tr w14:paraId="168D9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ECFE17E">
                  <w:pPr>
                    <w:widowControl/>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员工生活办公</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0A7F46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215" w:type="pct"/>
                  <w:vMerge w:val="restart"/>
                  <w:tcBorders>
                    <w:top w:val="single" w:color="000000" w:sz="4" w:space="0"/>
                    <w:left w:val="single" w:color="000000" w:sz="4" w:space="0"/>
                    <w:right w:val="single" w:color="000000" w:sz="4" w:space="0"/>
                  </w:tcBorders>
                  <w:noWrap w:val="0"/>
                  <w:vAlign w:val="center"/>
                </w:tcPr>
                <w:p w14:paraId="0D5CA0F7">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50205E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u w:val="none"/>
                      <w:lang w:eastAsia="zh-CN"/>
                    </w:rPr>
                    <w:t>900-099-S64</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13F070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54975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A91E28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331033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36.15</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1156537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73568124">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环卫部门清运</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2889D6A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36.15</w:t>
                  </w:r>
                </w:p>
              </w:tc>
            </w:tr>
            <w:tr w14:paraId="0C3E1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4AEE5F7E">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299DE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废油脂</w:t>
                  </w:r>
                </w:p>
              </w:tc>
              <w:tc>
                <w:tcPr>
                  <w:tcW w:w="215" w:type="pct"/>
                  <w:vMerge w:val="continue"/>
                  <w:tcBorders>
                    <w:left w:val="single" w:color="000000" w:sz="4" w:space="0"/>
                    <w:bottom w:val="single" w:color="auto" w:sz="4" w:space="0"/>
                    <w:right w:val="single" w:color="000000" w:sz="4" w:space="0"/>
                  </w:tcBorders>
                  <w:noWrap w:val="0"/>
                  <w:vAlign w:val="center"/>
                </w:tcPr>
                <w:p w14:paraId="6E525D3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4C7FDD54">
                  <w:pPr>
                    <w:widowControl/>
                    <w:spacing w:line="240" w:lineRule="auto"/>
                    <w:jc w:val="center"/>
                    <w:rPr>
                      <w:rFonts w:hint="default" w:ascii="Times New Roman" w:hAnsi="Times New Roman" w:eastAsia="宋体" w:cs="Times New Roman"/>
                      <w:i w:val="0"/>
                      <w:iCs w:val="0"/>
                      <w:color w:val="auto"/>
                      <w:sz w:val="21"/>
                      <w:szCs w:val="21"/>
                      <w:highlight w:val="none"/>
                      <w:u w:val="none"/>
                      <w:lang w:eastAsia="zh-CN"/>
                    </w:rPr>
                  </w:pPr>
                  <w:r>
                    <w:rPr>
                      <w:rFonts w:hint="default" w:ascii="Times New Roman" w:hAnsi="Times New Roman" w:cs="Times New Roman"/>
                      <w:color w:val="auto"/>
                      <w:sz w:val="21"/>
                      <w:szCs w:val="21"/>
                      <w:highlight w:val="none"/>
                      <w:lang w:val="en-US" w:eastAsia="zh-CN"/>
                    </w:rPr>
                    <w:t>900-002-S61</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7060FD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0EFF12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4BB68A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706AEE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0.166 </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55573DD8">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13676C5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专业单位进行回收处置</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38399B7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0.166 </w:t>
                  </w:r>
                </w:p>
              </w:tc>
            </w:tr>
            <w:tr w14:paraId="3641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5F05D0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钣金加工</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7F1ECF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p>
              </w:tc>
              <w:tc>
                <w:tcPr>
                  <w:tcW w:w="215" w:type="pct"/>
                  <w:vMerge w:val="restart"/>
                  <w:tcBorders>
                    <w:top w:val="single" w:color="auto" w:sz="4" w:space="0"/>
                    <w:left w:val="single" w:color="000000" w:sz="4" w:space="0"/>
                    <w:right w:val="single" w:color="000000" w:sz="4" w:space="0"/>
                  </w:tcBorders>
                  <w:noWrap w:val="0"/>
                  <w:vAlign w:val="center"/>
                </w:tcPr>
                <w:p w14:paraId="6B36FE18">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27A73B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rPr>
                    <w:t>900-002-S17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26A52B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CDF21B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EACB5D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C8957B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45.478</w:t>
                  </w:r>
                </w:p>
              </w:tc>
              <w:tc>
                <w:tcPr>
                  <w:tcW w:w="424" w:type="pct"/>
                  <w:vMerge w:val="restart"/>
                  <w:tcBorders>
                    <w:top w:val="single" w:color="auto" w:sz="4" w:space="0"/>
                    <w:left w:val="single" w:color="000000" w:sz="4" w:space="0"/>
                    <w:right w:val="single" w:color="000000" w:sz="4" w:space="0"/>
                  </w:tcBorders>
                  <w:noWrap w:val="0"/>
                  <w:vAlign w:val="center"/>
                </w:tcPr>
                <w:p w14:paraId="316498B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固废间暂存</w:t>
                  </w:r>
                </w:p>
              </w:tc>
              <w:tc>
                <w:tcPr>
                  <w:tcW w:w="552" w:type="pct"/>
                  <w:vMerge w:val="restart"/>
                  <w:tcBorders>
                    <w:top w:val="single" w:color="auto" w:sz="4" w:space="0"/>
                    <w:left w:val="single" w:color="000000" w:sz="4" w:space="0"/>
                    <w:right w:val="single" w:color="000000" w:sz="4" w:space="0"/>
                  </w:tcBorders>
                  <w:noWrap w:val="0"/>
                  <w:vAlign w:val="center"/>
                </w:tcPr>
                <w:p w14:paraId="6C76BCF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交由资源回收利用单位</w:t>
                  </w: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7D5FE3A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45.478</w:t>
                  </w:r>
                </w:p>
              </w:tc>
            </w:tr>
            <w:tr w14:paraId="3875F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0E8412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辅料拆包</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9F98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p>
              </w:tc>
              <w:tc>
                <w:tcPr>
                  <w:tcW w:w="215" w:type="pct"/>
                  <w:vMerge w:val="continue"/>
                  <w:tcBorders>
                    <w:left w:val="single" w:color="000000" w:sz="4" w:space="0"/>
                    <w:right w:val="single" w:color="000000" w:sz="4" w:space="0"/>
                  </w:tcBorders>
                  <w:noWrap w:val="0"/>
                  <w:vAlign w:val="center"/>
                </w:tcPr>
                <w:p w14:paraId="60E834B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0ECC1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eastAsia="zh-CN"/>
                    </w:rPr>
                    <w:t>900-003-S17、</w:t>
                  </w:r>
                  <w:r>
                    <w:rPr>
                      <w:rFonts w:hint="default" w:ascii="Times New Roman" w:hAnsi="Times New Roman" w:eastAsia="宋体" w:cs="Times New Roman"/>
                      <w:i w:val="0"/>
                      <w:iCs w:val="0"/>
                      <w:color w:val="auto"/>
                      <w:sz w:val="21"/>
                      <w:szCs w:val="21"/>
                      <w:highlight w:val="none"/>
                      <w:u w:val="none"/>
                      <w:lang w:val="en-US" w:eastAsia="zh-CN"/>
                    </w:rPr>
                    <w:t>900-005-S17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67292D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637398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880CD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938B30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424" w:type="pct"/>
                  <w:vMerge w:val="continue"/>
                  <w:tcBorders>
                    <w:left w:val="single" w:color="000000" w:sz="4" w:space="0"/>
                    <w:right w:val="single" w:color="000000" w:sz="4" w:space="0"/>
                  </w:tcBorders>
                  <w:noWrap w:val="0"/>
                  <w:vAlign w:val="center"/>
                </w:tcPr>
                <w:p w14:paraId="63F2FD5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AD2245B">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6722DBC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w:t>
                  </w:r>
                </w:p>
              </w:tc>
            </w:tr>
            <w:tr w14:paraId="35FF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right w:val="single" w:color="000000" w:sz="4" w:space="0"/>
                  </w:tcBorders>
                  <w:noWrap w:val="0"/>
                  <w:vAlign w:val="center"/>
                </w:tcPr>
                <w:p w14:paraId="6675E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3B88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val="en-US" w:eastAsia="zh-CN"/>
                    </w:rPr>
                    <w:t>沉降金属粉尘</w:t>
                  </w:r>
                </w:p>
              </w:tc>
              <w:tc>
                <w:tcPr>
                  <w:tcW w:w="215" w:type="pct"/>
                  <w:vMerge w:val="continue"/>
                  <w:tcBorders>
                    <w:left w:val="single" w:color="000000" w:sz="4" w:space="0"/>
                    <w:right w:val="single" w:color="000000" w:sz="4" w:space="0"/>
                  </w:tcBorders>
                  <w:noWrap w:val="0"/>
                  <w:vAlign w:val="center"/>
                </w:tcPr>
                <w:p w14:paraId="2B56FB5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CA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rPr>
                    <w:t>900-002-S17</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6FB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BDF4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D8D5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A5A6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7221AE5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552" w:type="pct"/>
                  <w:vMerge w:val="continue"/>
                  <w:tcBorders>
                    <w:left w:val="single" w:color="000000" w:sz="4" w:space="0"/>
                    <w:right w:val="single" w:color="000000" w:sz="4" w:space="0"/>
                  </w:tcBorders>
                  <w:noWrap w:val="0"/>
                  <w:vAlign w:val="center"/>
                </w:tcPr>
                <w:p w14:paraId="6E8F439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254AC31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p>
              </w:tc>
            </w:tr>
            <w:tr w14:paraId="59A67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25C85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废气处理</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5FC8B2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废滤芯</w:t>
                  </w:r>
                </w:p>
              </w:tc>
              <w:tc>
                <w:tcPr>
                  <w:tcW w:w="215" w:type="pct"/>
                  <w:vMerge w:val="continue"/>
                  <w:tcBorders>
                    <w:left w:val="single" w:color="000000" w:sz="4" w:space="0"/>
                    <w:right w:val="single" w:color="000000" w:sz="4" w:space="0"/>
                  </w:tcBorders>
                  <w:noWrap w:val="0"/>
                  <w:vAlign w:val="center"/>
                </w:tcPr>
                <w:p w14:paraId="55A42A6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0FEB2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color w:val="auto"/>
                    </w:rPr>
                    <w:t>900-099-S59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1DCBD6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AC9C3A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33F4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auto" w:sz="4" w:space="0"/>
                    <w:right w:val="single" w:color="000000" w:sz="4" w:space="0"/>
                  </w:tcBorders>
                  <w:noWrap w:val="0"/>
                  <w:vAlign w:val="center"/>
                </w:tcPr>
                <w:p w14:paraId="44B1F43D">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424" w:type="pct"/>
                  <w:vMerge w:val="continue"/>
                  <w:tcBorders>
                    <w:left w:val="single" w:color="000000" w:sz="4" w:space="0"/>
                    <w:right w:val="single" w:color="000000" w:sz="4" w:space="0"/>
                  </w:tcBorders>
                  <w:noWrap w:val="0"/>
                  <w:vAlign w:val="center"/>
                </w:tcPr>
                <w:p w14:paraId="0363F80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6EF937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0261738">
                  <w:pPr>
                    <w:keepNext w:val="0"/>
                    <w:keepLines w:val="0"/>
                    <w:widowControl/>
                    <w:suppressLineNumbers w:val="0"/>
                    <w:jc w:val="center"/>
                    <w:textAlignment w:val="center"/>
                    <w:rPr>
                      <w:rFonts w:hint="eastAsia"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r>
            <w:tr w14:paraId="409B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7660F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脱脂、水洗、无铬钝化</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FE3C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215" w:type="pct"/>
                  <w:vMerge w:val="restart"/>
                  <w:tcBorders>
                    <w:top w:val="single" w:color="auto" w:sz="4" w:space="0"/>
                    <w:left w:val="single" w:color="000000" w:sz="4" w:space="0"/>
                    <w:right w:val="single" w:color="000000" w:sz="4" w:space="0"/>
                  </w:tcBorders>
                  <w:noWrap w:val="0"/>
                  <w:vAlign w:val="center"/>
                </w:tcPr>
                <w:p w14:paraId="38BF89A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126AF0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FC4C8D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无机酸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645D33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FA8ACB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auto" w:sz="4" w:space="0"/>
                    <w:left w:val="single" w:color="000000" w:sz="4" w:space="0"/>
                    <w:bottom w:val="single" w:color="000000" w:sz="4" w:space="0"/>
                    <w:right w:val="single" w:color="000000" w:sz="4" w:space="0"/>
                  </w:tcBorders>
                  <w:noWrap w:val="0"/>
                  <w:vAlign w:val="center"/>
                </w:tcPr>
                <w:p w14:paraId="4F80DA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0.63</w:t>
                  </w:r>
                </w:p>
              </w:tc>
              <w:tc>
                <w:tcPr>
                  <w:tcW w:w="424" w:type="pct"/>
                  <w:vMerge w:val="restart"/>
                  <w:tcBorders>
                    <w:top w:val="single" w:color="auto" w:sz="4" w:space="0"/>
                    <w:left w:val="single" w:color="000000" w:sz="4" w:space="0"/>
                    <w:right w:val="single" w:color="000000" w:sz="4" w:space="0"/>
                  </w:tcBorders>
                  <w:noWrap w:val="0"/>
                  <w:vAlign w:val="center"/>
                </w:tcPr>
                <w:p w14:paraId="41E06E1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危废间暂存</w:t>
                  </w:r>
                </w:p>
              </w:tc>
              <w:tc>
                <w:tcPr>
                  <w:tcW w:w="552" w:type="pct"/>
                  <w:vMerge w:val="restart"/>
                  <w:tcBorders>
                    <w:top w:val="single" w:color="auto" w:sz="4" w:space="0"/>
                    <w:left w:val="single" w:color="000000" w:sz="4" w:space="0"/>
                    <w:right w:val="single" w:color="000000" w:sz="4" w:space="0"/>
                  </w:tcBorders>
                  <w:noWrap w:val="0"/>
                  <w:vAlign w:val="center"/>
                </w:tcPr>
                <w:p w14:paraId="79CB2ED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委托有资质的单位进行回收处理</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964F15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0.63</w:t>
                  </w:r>
                </w:p>
              </w:tc>
            </w:tr>
            <w:tr w14:paraId="6B004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A28D3E">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1E10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215" w:type="pct"/>
                  <w:vMerge w:val="continue"/>
                  <w:tcBorders>
                    <w:left w:val="single" w:color="000000" w:sz="4" w:space="0"/>
                    <w:right w:val="single" w:color="000000" w:sz="4" w:space="0"/>
                  </w:tcBorders>
                  <w:noWrap w:val="0"/>
                  <w:vAlign w:val="center"/>
                </w:tcPr>
                <w:p w14:paraId="506D6DF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39ABA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48B5BD0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rPr>
                    <w:t>泥渣</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49DEAC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A3163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0FE718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w:t>
                  </w:r>
                </w:p>
              </w:tc>
              <w:tc>
                <w:tcPr>
                  <w:tcW w:w="424" w:type="pct"/>
                  <w:vMerge w:val="continue"/>
                  <w:tcBorders>
                    <w:left w:val="single" w:color="000000" w:sz="4" w:space="0"/>
                    <w:right w:val="single" w:color="000000" w:sz="4" w:space="0"/>
                  </w:tcBorders>
                  <w:noWrap w:val="0"/>
                  <w:vAlign w:val="center"/>
                </w:tcPr>
                <w:p w14:paraId="11C7D82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2DCE4B0">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78A2FF1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w:t>
                  </w:r>
                </w:p>
              </w:tc>
            </w:tr>
            <w:tr w14:paraId="1F60E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auto" w:sz="4" w:space="0"/>
                    <w:right w:val="single" w:color="000000" w:sz="4" w:space="0"/>
                  </w:tcBorders>
                  <w:noWrap w:val="0"/>
                  <w:vAlign w:val="center"/>
                </w:tcPr>
                <w:p w14:paraId="50FCB9A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13F9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215" w:type="pct"/>
                  <w:vMerge w:val="continue"/>
                  <w:tcBorders>
                    <w:left w:val="single" w:color="000000" w:sz="4" w:space="0"/>
                    <w:right w:val="single" w:color="000000" w:sz="4" w:space="0"/>
                  </w:tcBorders>
                  <w:noWrap w:val="0"/>
                  <w:vAlign w:val="center"/>
                </w:tcPr>
                <w:p w14:paraId="0304FF2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3D5B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77C7A9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EE5C40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CAD474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1ECB98F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424" w:type="pct"/>
                  <w:vMerge w:val="continue"/>
                  <w:tcBorders>
                    <w:left w:val="single" w:color="000000" w:sz="4" w:space="0"/>
                    <w:right w:val="single" w:color="000000" w:sz="4" w:space="0"/>
                  </w:tcBorders>
                  <w:noWrap w:val="0"/>
                  <w:vAlign w:val="center"/>
                </w:tcPr>
                <w:p w14:paraId="1F4543D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FEA774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5507EC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44.8</w:t>
                  </w:r>
                </w:p>
              </w:tc>
            </w:tr>
            <w:tr w14:paraId="74BD4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auto" w:sz="4" w:space="0"/>
                    <w:left w:val="single" w:color="000000" w:sz="4" w:space="0"/>
                    <w:right w:val="single" w:color="000000" w:sz="4" w:space="0"/>
                  </w:tcBorders>
                  <w:noWrap w:val="0"/>
                  <w:vAlign w:val="center"/>
                </w:tcPr>
                <w:p w14:paraId="0358A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废水处理设施</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F9DF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215" w:type="pct"/>
                  <w:vMerge w:val="continue"/>
                  <w:tcBorders>
                    <w:left w:val="single" w:color="000000" w:sz="4" w:space="0"/>
                    <w:right w:val="single" w:color="000000" w:sz="4" w:space="0"/>
                  </w:tcBorders>
                  <w:noWrap w:val="0"/>
                  <w:vAlign w:val="center"/>
                </w:tcPr>
                <w:p w14:paraId="6A650AD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66596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35B3C7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污泥</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B27CEE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481E3B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4697162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197FEE1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1CA5401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ACAFB6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6C02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7A9DBB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3941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215" w:type="pct"/>
                  <w:vMerge w:val="continue"/>
                  <w:tcBorders>
                    <w:left w:val="single" w:color="000000" w:sz="4" w:space="0"/>
                    <w:right w:val="single" w:color="000000" w:sz="4" w:space="0"/>
                  </w:tcBorders>
                  <w:noWrap w:val="0"/>
                  <w:vAlign w:val="center"/>
                </w:tcPr>
                <w:p w14:paraId="6C3BA61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A0DE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54833E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A524A3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8BD8BF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31383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424" w:type="pct"/>
                  <w:vMerge w:val="continue"/>
                  <w:tcBorders>
                    <w:left w:val="single" w:color="000000" w:sz="4" w:space="0"/>
                    <w:right w:val="single" w:color="000000" w:sz="4" w:space="0"/>
                  </w:tcBorders>
                  <w:noWrap w:val="0"/>
                  <w:vAlign w:val="center"/>
                </w:tcPr>
                <w:p w14:paraId="7B2435E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0EF60CA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B27327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0.008</w:t>
                  </w:r>
                </w:p>
              </w:tc>
            </w:tr>
            <w:tr w14:paraId="6A0B7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93F0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设备维护保养</w:t>
                  </w:r>
                  <w:r>
                    <w:rPr>
                      <w:rFonts w:hint="default" w:ascii="Times New Roman" w:hAnsi="Times New Roman" w:eastAsia="宋体" w:cs="Times New Roman"/>
                      <w:i w:val="0"/>
                      <w:iCs w:val="0"/>
                      <w:color w:val="auto"/>
                      <w:kern w:val="0"/>
                      <w:sz w:val="21"/>
                      <w:szCs w:val="21"/>
                      <w:highlight w:val="none"/>
                      <w:u w:val="none"/>
                      <w:lang w:val="en-US" w:eastAsia="zh-CN" w:bidi="ar"/>
                    </w:rPr>
                    <w:t>设备保养</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061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215" w:type="pct"/>
                  <w:vMerge w:val="continue"/>
                  <w:tcBorders>
                    <w:left w:val="single" w:color="000000" w:sz="4" w:space="0"/>
                    <w:right w:val="single" w:color="000000" w:sz="4" w:space="0"/>
                  </w:tcBorders>
                  <w:noWrap w:val="0"/>
                  <w:vAlign w:val="center"/>
                </w:tcPr>
                <w:p w14:paraId="0CAA7F4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66C4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A2EC20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1656B1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9A6C5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D5EFEC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424" w:type="pct"/>
                  <w:vMerge w:val="continue"/>
                  <w:tcBorders>
                    <w:left w:val="single" w:color="000000" w:sz="4" w:space="0"/>
                    <w:right w:val="single" w:color="000000" w:sz="4" w:space="0"/>
                  </w:tcBorders>
                  <w:noWrap w:val="0"/>
                  <w:vAlign w:val="center"/>
                </w:tcPr>
                <w:p w14:paraId="02E4933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1FDF44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FC4861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450C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D4E5D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FCFE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215" w:type="pct"/>
                  <w:vMerge w:val="continue"/>
                  <w:tcBorders>
                    <w:left w:val="single" w:color="000000" w:sz="4" w:space="0"/>
                    <w:right w:val="single" w:color="000000" w:sz="4" w:space="0"/>
                  </w:tcBorders>
                  <w:noWrap w:val="0"/>
                  <w:vAlign w:val="center"/>
                </w:tcPr>
                <w:p w14:paraId="544EF84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87D0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BE241A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AE5B72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6C48AC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F715B6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0.8</w:t>
                  </w:r>
                </w:p>
              </w:tc>
              <w:tc>
                <w:tcPr>
                  <w:tcW w:w="424" w:type="pct"/>
                  <w:vMerge w:val="continue"/>
                  <w:tcBorders>
                    <w:left w:val="single" w:color="000000" w:sz="4" w:space="0"/>
                    <w:right w:val="single" w:color="000000" w:sz="4" w:space="0"/>
                  </w:tcBorders>
                  <w:noWrap w:val="0"/>
                  <w:vAlign w:val="center"/>
                </w:tcPr>
                <w:p w14:paraId="5CE8860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679819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774EC3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0.8</w:t>
                  </w:r>
                </w:p>
              </w:tc>
            </w:tr>
            <w:tr w14:paraId="3187C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55AA06D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0EEB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215" w:type="pct"/>
                  <w:vMerge w:val="continue"/>
                  <w:tcBorders>
                    <w:left w:val="single" w:color="000000" w:sz="4" w:space="0"/>
                    <w:right w:val="single" w:color="000000" w:sz="4" w:space="0"/>
                  </w:tcBorders>
                  <w:noWrap w:val="0"/>
                  <w:vAlign w:val="center"/>
                </w:tcPr>
                <w:p w14:paraId="39779CA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56435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DCFB69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3D931E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3C7AFB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377C8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424" w:type="pct"/>
                  <w:vMerge w:val="continue"/>
                  <w:tcBorders>
                    <w:left w:val="single" w:color="000000" w:sz="4" w:space="0"/>
                    <w:right w:val="single" w:color="000000" w:sz="4" w:space="0"/>
                  </w:tcBorders>
                  <w:noWrap w:val="0"/>
                  <w:vAlign w:val="center"/>
                </w:tcPr>
                <w:p w14:paraId="51A4D61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3366269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A77E39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5809D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1078D0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4BC7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215" w:type="pct"/>
                  <w:vMerge w:val="continue"/>
                  <w:tcBorders>
                    <w:left w:val="single" w:color="000000" w:sz="4" w:space="0"/>
                    <w:right w:val="single" w:color="000000" w:sz="4" w:space="0"/>
                  </w:tcBorders>
                  <w:noWrap w:val="0"/>
                  <w:vAlign w:val="center"/>
                </w:tcPr>
                <w:p w14:paraId="38F50BD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21F5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C9DC96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7CE894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6D1FD6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C689FD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424" w:type="pct"/>
                  <w:vMerge w:val="continue"/>
                  <w:tcBorders>
                    <w:left w:val="single" w:color="000000" w:sz="4" w:space="0"/>
                    <w:right w:val="single" w:color="000000" w:sz="4" w:space="0"/>
                  </w:tcBorders>
                  <w:noWrap w:val="0"/>
                  <w:vAlign w:val="center"/>
                </w:tcPr>
                <w:p w14:paraId="4C04711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C2AD4D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8BA804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0.015</w:t>
                  </w:r>
                </w:p>
              </w:tc>
            </w:tr>
            <w:tr w14:paraId="2CC29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611DC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9899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215" w:type="pct"/>
                  <w:vMerge w:val="continue"/>
                  <w:tcBorders>
                    <w:left w:val="single" w:color="000000" w:sz="4" w:space="0"/>
                    <w:right w:val="single" w:color="000000" w:sz="4" w:space="0"/>
                  </w:tcBorders>
                  <w:noWrap w:val="0"/>
                  <w:vAlign w:val="center"/>
                </w:tcPr>
                <w:p w14:paraId="0C0A41B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CB3D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DA473E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5EF07D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A90EE8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98F16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0.6</w:t>
                  </w:r>
                </w:p>
              </w:tc>
              <w:tc>
                <w:tcPr>
                  <w:tcW w:w="424" w:type="pct"/>
                  <w:vMerge w:val="continue"/>
                  <w:tcBorders>
                    <w:left w:val="single" w:color="000000" w:sz="4" w:space="0"/>
                    <w:right w:val="single" w:color="000000" w:sz="4" w:space="0"/>
                  </w:tcBorders>
                  <w:noWrap w:val="0"/>
                  <w:vAlign w:val="center"/>
                </w:tcPr>
                <w:p w14:paraId="5AF3147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1D0EAA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A5BD95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w:t>
                  </w:r>
                </w:p>
              </w:tc>
            </w:tr>
            <w:tr w14:paraId="594E9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114BD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生产过程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E77DE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215" w:type="pct"/>
                  <w:vMerge w:val="continue"/>
                  <w:tcBorders>
                    <w:left w:val="single" w:color="000000" w:sz="4" w:space="0"/>
                    <w:right w:val="single" w:color="000000" w:sz="4" w:space="0"/>
                  </w:tcBorders>
                  <w:noWrap w:val="0"/>
                  <w:vAlign w:val="center"/>
                </w:tcPr>
                <w:p w14:paraId="0BA0E8E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09FAB3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04841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A06513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D9018A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E0EA9B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0.199</w:t>
                  </w:r>
                </w:p>
              </w:tc>
              <w:tc>
                <w:tcPr>
                  <w:tcW w:w="424" w:type="pct"/>
                  <w:vMerge w:val="continue"/>
                  <w:tcBorders>
                    <w:left w:val="single" w:color="000000" w:sz="4" w:space="0"/>
                    <w:right w:val="single" w:color="000000" w:sz="4" w:space="0"/>
                  </w:tcBorders>
                  <w:noWrap w:val="0"/>
                  <w:vAlign w:val="center"/>
                </w:tcPr>
                <w:p w14:paraId="64B1455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3D7918D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0334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0.199</w:t>
                  </w:r>
                </w:p>
              </w:tc>
            </w:tr>
            <w:tr w14:paraId="61C5A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75384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219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喷枪清洗液</w:t>
                  </w:r>
                </w:p>
              </w:tc>
              <w:tc>
                <w:tcPr>
                  <w:tcW w:w="215" w:type="pct"/>
                  <w:vMerge w:val="continue"/>
                  <w:tcBorders>
                    <w:left w:val="single" w:color="000000" w:sz="4" w:space="0"/>
                    <w:right w:val="single" w:color="000000" w:sz="4" w:space="0"/>
                  </w:tcBorders>
                  <w:shd w:val="clear" w:color="auto" w:fill="auto"/>
                  <w:noWrap w:val="0"/>
                  <w:vAlign w:val="center"/>
                </w:tcPr>
                <w:p w14:paraId="734C6A4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B237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900-402-06</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930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清洗剂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49B0">
                  <w:pPr>
                    <w:widowControl/>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4822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T、I</w:t>
                  </w:r>
                  <w:r>
                    <w:rPr>
                      <w:rFonts w:hint="eastAsia"/>
                      <w:color w:val="auto"/>
                      <w:szCs w:val="21"/>
                      <w:lang w:eastAsia="zh-CN"/>
                    </w:rPr>
                    <w:t>、</w:t>
                  </w:r>
                  <w:r>
                    <w:rPr>
                      <w:rFonts w:hint="eastAsia"/>
                      <w:color w:val="auto"/>
                      <w:szCs w:val="21"/>
                      <w:lang w:val="en-US" w:eastAsia="zh-CN"/>
                    </w:rPr>
                    <w:t>R</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2B32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shd w:val="clear" w:color="auto" w:fill="auto"/>
                  <w:noWrap w:val="0"/>
                  <w:vAlign w:val="center"/>
                </w:tcPr>
                <w:p w14:paraId="1B4F2CF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552" w:type="pct"/>
                  <w:vMerge w:val="continue"/>
                  <w:tcBorders>
                    <w:left w:val="single" w:color="000000" w:sz="4" w:space="0"/>
                    <w:right w:val="single" w:color="000000" w:sz="4" w:space="0"/>
                  </w:tcBorders>
                  <w:shd w:val="clear" w:color="auto" w:fill="auto"/>
                  <w:noWrap w:val="0"/>
                  <w:vAlign w:val="center"/>
                </w:tcPr>
                <w:p w14:paraId="1B02C12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EF29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977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9DF39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喷粉工序</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585161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lang w:val="en-US" w:eastAsia="zh-CN"/>
                    </w:rPr>
                    <w:t>废静电喷粉滤芯</w:t>
                  </w:r>
                </w:p>
              </w:tc>
              <w:tc>
                <w:tcPr>
                  <w:tcW w:w="215" w:type="pct"/>
                  <w:vMerge w:val="continue"/>
                  <w:tcBorders>
                    <w:left w:val="single" w:color="000000" w:sz="4" w:space="0"/>
                    <w:right w:val="single" w:color="000000" w:sz="4" w:space="0"/>
                  </w:tcBorders>
                  <w:noWrap w:val="0"/>
                  <w:vAlign w:val="center"/>
                </w:tcPr>
                <w:p w14:paraId="3F35D94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69A06D9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93C028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有机树脂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E6BA3F2">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86153B4">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r>
                    <w:rPr>
                      <w:rFonts w:hint="eastAsia"/>
                      <w:color w:val="auto"/>
                      <w:szCs w:val="21"/>
                      <w:lang w:val="en-US" w:eastAsia="zh-CN"/>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887E7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0.096</w:t>
                  </w:r>
                </w:p>
              </w:tc>
              <w:tc>
                <w:tcPr>
                  <w:tcW w:w="424" w:type="pct"/>
                  <w:vMerge w:val="continue"/>
                  <w:tcBorders>
                    <w:left w:val="single" w:color="000000" w:sz="4" w:space="0"/>
                    <w:right w:val="single" w:color="000000" w:sz="4" w:space="0"/>
                  </w:tcBorders>
                  <w:noWrap w:val="0"/>
                  <w:vAlign w:val="center"/>
                </w:tcPr>
                <w:p w14:paraId="3F06129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1999CB5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6528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0.096</w:t>
                  </w:r>
                </w:p>
              </w:tc>
            </w:tr>
            <w:tr w14:paraId="6729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49EE4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6C2515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废过滤棉</w:t>
                  </w:r>
                </w:p>
              </w:tc>
              <w:tc>
                <w:tcPr>
                  <w:tcW w:w="215" w:type="pct"/>
                  <w:vMerge w:val="continue"/>
                  <w:tcBorders>
                    <w:left w:val="single" w:color="000000" w:sz="4" w:space="0"/>
                    <w:right w:val="single" w:color="000000" w:sz="4" w:space="0"/>
                  </w:tcBorders>
                  <w:noWrap w:val="0"/>
                  <w:vAlign w:val="center"/>
                </w:tcPr>
                <w:p w14:paraId="25F113C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5D93A70">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B4C342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019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77FE0D2">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r>
                    <w:rPr>
                      <w:rFonts w:hint="eastAsia"/>
                      <w:color w:val="auto"/>
                      <w:szCs w:val="21"/>
                      <w:lang w:val="en-US" w:eastAsia="zh-CN"/>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AE829A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424" w:type="pct"/>
                  <w:vMerge w:val="continue"/>
                  <w:tcBorders>
                    <w:left w:val="single" w:color="000000" w:sz="4" w:space="0"/>
                    <w:right w:val="single" w:color="000000" w:sz="4" w:space="0"/>
                  </w:tcBorders>
                  <w:noWrap w:val="0"/>
                  <w:vAlign w:val="center"/>
                </w:tcPr>
                <w:p w14:paraId="1C8F95F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24D707F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1E8E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w:t>
                  </w:r>
                </w:p>
              </w:tc>
            </w:tr>
            <w:tr w14:paraId="06492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0475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2A142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废活性炭</w:t>
                  </w:r>
                </w:p>
              </w:tc>
              <w:tc>
                <w:tcPr>
                  <w:tcW w:w="215" w:type="pct"/>
                  <w:vMerge w:val="continue"/>
                  <w:tcBorders>
                    <w:left w:val="single" w:color="000000" w:sz="4" w:space="0"/>
                    <w:right w:val="single" w:color="000000" w:sz="4" w:space="0"/>
                  </w:tcBorders>
                  <w:noWrap w:val="0"/>
                  <w:vAlign w:val="center"/>
                </w:tcPr>
                <w:p w14:paraId="1BB4D3D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0FC160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Cs/>
                      <w:color w:val="auto"/>
                      <w:szCs w:val="21"/>
                    </w:rPr>
                    <w:t>900-039-49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000CDBA">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活性炭</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413B31B">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909C6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294FB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29.028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2EA4CF10">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8349A9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BFA3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29.028</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0356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shd w:val="clear" w:color="auto" w:fill="auto"/>
                  <w:noWrap w:val="0"/>
                  <w:vAlign w:val="center"/>
                </w:tcPr>
                <w:p w14:paraId="33BD52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喷粉工序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3E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废粉末涂料</w:t>
                  </w:r>
                </w:p>
              </w:tc>
              <w:tc>
                <w:tcPr>
                  <w:tcW w:w="215" w:type="pct"/>
                  <w:vMerge w:val="continue"/>
                  <w:tcBorders>
                    <w:left w:val="single" w:color="000000" w:sz="4" w:space="0"/>
                    <w:right w:val="single" w:color="000000" w:sz="4" w:space="0"/>
                  </w:tcBorders>
                  <w:noWrap w:val="0"/>
                  <w:vAlign w:val="center"/>
                </w:tcPr>
                <w:p w14:paraId="1B52644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53F4C">
                  <w:pPr>
                    <w:pStyle w:val="109"/>
                    <w:pageBreakBefore w:val="0"/>
                    <w:tabs>
                      <w:tab w:val="left" w:pos="-2848"/>
                    </w:tabs>
                    <w:wordWrap w:val="0"/>
                    <w:topLinePunct/>
                    <w:bidi w:val="0"/>
                    <w:spacing w:beforeAutospacing="0" w:afterAutospacing="0"/>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待鉴定</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7258F">
                  <w:pPr>
                    <w:widowControl/>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8527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FC2D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4AC8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3010872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087609A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49FB6">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1C493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03E1AC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9BB4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废催化剂</w:t>
                  </w:r>
                </w:p>
              </w:tc>
              <w:tc>
                <w:tcPr>
                  <w:tcW w:w="215" w:type="pct"/>
                  <w:vMerge w:val="continue"/>
                  <w:tcBorders>
                    <w:left w:val="single" w:color="000000" w:sz="4" w:space="0"/>
                    <w:right w:val="single" w:color="000000" w:sz="4" w:space="0"/>
                  </w:tcBorders>
                  <w:noWrap w:val="0"/>
                  <w:vAlign w:val="center"/>
                </w:tcPr>
                <w:p w14:paraId="293F2E0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57A58B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900-049-50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51E99C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791150A">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1BB037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B9469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0.16</w:t>
                  </w:r>
                </w:p>
              </w:tc>
              <w:tc>
                <w:tcPr>
                  <w:tcW w:w="424" w:type="pct"/>
                  <w:vMerge w:val="continue"/>
                  <w:tcBorders>
                    <w:left w:val="single" w:color="000000" w:sz="4" w:space="0"/>
                    <w:right w:val="single" w:color="000000" w:sz="4" w:space="0"/>
                  </w:tcBorders>
                  <w:noWrap w:val="0"/>
                  <w:vAlign w:val="center"/>
                </w:tcPr>
                <w:p w14:paraId="637DA29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228C6E2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EAF5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0.16</w:t>
                  </w:r>
                </w:p>
              </w:tc>
            </w:tr>
            <w:tr w14:paraId="31FA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7111FB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796823A">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喷淋废液及沉渣</w:t>
                  </w:r>
                </w:p>
              </w:tc>
              <w:tc>
                <w:tcPr>
                  <w:tcW w:w="215" w:type="pct"/>
                  <w:vMerge w:val="continue"/>
                  <w:tcBorders>
                    <w:left w:val="single" w:color="000000" w:sz="4" w:space="0"/>
                    <w:right w:val="single" w:color="000000" w:sz="4" w:space="0"/>
                  </w:tcBorders>
                  <w:noWrap w:val="0"/>
                  <w:vAlign w:val="center"/>
                </w:tcPr>
                <w:p w14:paraId="206707F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5B5D2D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900-252-12</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AA1DDB9">
                  <w:pPr>
                    <w:widowControl/>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721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0DCF5CE">
                  <w:pPr>
                    <w:widowControl/>
                    <w:spacing w:line="240" w:lineRule="auto"/>
                    <w:jc w:val="center"/>
                    <w:rPr>
                      <w:color w:val="auto"/>
                      <w:szCs w:val="21"/>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B5481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586974B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C45501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656D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r>
                    <w:rPr>
                      <w:rFonts w:hint="default" w:ascii="Times New Roman" w:hAnsi="Times New Roman" w:eastAsia="宋体" w:cs="Times New Roman"/>
                      <w:i w:val="0"/>
                      <w:iCs w:val="0"/>
                      <w:color w:val="auto"/>
                      <w:kern w:val="0"/>
                      <w:sz w:val="21"/>
                      <w:szCs w:val="21"/>
                      <w:u w:val="none"/>
                      <w:lang w:val="en-US" w:eastAsia="zh-CN" w:bidi="ar"/>
                    </w:rPr>
                    <w:t xml:space="preserve"> </w:t>
                  </w:r>
                </w:p>
              </w:tc>
            </w:tr>
          </w:tbl>
          <w:p w14:paraId="77941C0C">
            <w:pPr>
              <w:pStyle w:val="43"/>
              <w:spacing w:after="0" w:line="120" w:lineRule="auto"/>
              <w:ind w:firstLine="482"/>
              <w:rPr>
                <w:rFonts w:hint="default" w:ascii="Times New Roman" w:hAnsi="Times New Roman" w:eastAsia="宋体" w:cs="Times New Roman"/>
                <w:b/>
                <w:color w:val="auto"/>
                <w:szCs w:val="21"/>
                <w:highlight w:val="none"/>
              </w:rPr>
            </w:pPr>
          </w:p>
          <w:p w14:paraId="248A02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 xml:space="preserve">8 </w:t>
            </w:r>
            <w:r>
              <w:rPr>
                <w:rFonts w:hint="default" w:ascii="Times New Roman" w:hAnsi="Times New Roman" w:eastAsia="宋体" w:cs="Times New Roman"/>
                <w:b/>
                <w:bCs/>
                <w:color w:val="auto"/>
                <w:sz w:val="21"/>
                <w:szCs w:val="21"/>
                <w:highlight w:val="none"/>
                <w:lang w:val="en-US" w:eastAsia="zh-CN"/>
              </w:rPr>
              <w:t>危险废物汇总表</w:t>
            </w:r>
          </w:p>
          <w:tbl>
            <w:tblPr>
              <w:tblStyle w:val="4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848"/>
              <w:gridCol w:w="902"/>
              <w:gridCol w:w="710"/>
              <w:gridCol w:w="735"/>
              <w:gridCol w:w="660"/>
              <w:gridCol w:w="770"/>
              <w:gridCol w:w="637"/>
              <w:gridCol w:w="558"/>
              <w:gridCol w:w="616"/>
              <w:gridCol w:w="653"/>
            </w:tblGrid>
            <w:tr w14:paraId="41BE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38EBB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危险废物名称</w:t>
                  </w:r>
                </w:p>
              </w:tc>
              <w:tc>
                <w:tcPr>
                  <w:tcW w:w="510" w:type="pct"/>
                  <w:noWrap w:val="0"/>
                  <w:vAlign w:val="center"/>
                </w:tcPr>
                <w:p w14:paraId="5F6AC92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危险废物类别</w:t>
                  </w:r>
                </w:p>
              </w:tc>
              <w:tc>
                <w:tcPr>
                  <w:tcW w:w="542" w:type="pct"/>
                  <w:noWrap w:val="0"/>
                  <w:vAlign w:val="center"/>
                </w:tcPr>
                <w:p w14:paraId="4AEC846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危险废物代码</w:t>
                  </w:r>
                </w:p>
              </w:tc>
              <w:tc>
                <w:tcPr>
                  <w:tcW w:w="427" w:type="pct"/>
                  <w:noWrap w:val="0"/>
                  <w:vAlign w:val="center"/>
                </w:tcPr>
                <w:p w14:paraId="01728D0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产生量t/a</w:t>
                  </w:r>
                </w:p>
              </w:tc>
              <w:tc>
                <w:tcPr>
                  <w:tcW w:w="442" w:type="pct"/>
                  <w:noWrap w:val="0"/>
                  <w:vAlign w:val="center"/>
                </w:tcPr>
                <w:p w14:paraId="6254471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产生工序及装置</w:t>
                  </w:r>
                </w:p>
              </w:tc>
              <w:tc>
                <w:tcPr>
                  <w:tcW w:w="397" w:type="pct"/>
                  <w:noWrap w:val="0"/>
                  <w:vAlign w:val="center"/>
                </w:tcPr>
                <w:p w14:paraId="1AD1E58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形态</w:t>
                  </w:r>
                </w:p>
              </w:tc>
              <w:tc>
                <w:tcPr>
                  <w:tcW w:w="463" w:type="pct"/>
                  <w:noWrap w:val="0"/>
                  <w:vAlign w:val="center"/>
                </w:tcPr>
                <w:p w14:paraId="7F4774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主要成分</w:t>
                  </w:r>
                </w:p>
              </w:tc>
              <w:tc>
                <w:tcPr>
                  <w:tcW w:w="383" w:type="pct"/>
                  <w:noWrap w:val="0"/>
                  <w:vAlign w:val="center"/>
                </w:tcPr>
                <w:p w14:paraId="4ABFB74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有害成分</w:t>
                  </w:r>
                </w:p>
              </w:tc>
              <w:tc>
                <w:tcPr>
                  <w:tcW w:w="335" w:type="pct"/>
                  <w:noWrap w:val="0"/>
                  <w:vAlign w:val="center"/>
                </w:tcPr>
                <w:p w14:paraId="72EBDA5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产废周期</w:t>
                  </w:r>
                </w:p>
              </w:tc>
              <w:tc>
                <w:tcPr>
                  <w:tcW w:w="370" w:type="pct"/>
                  <w:noWrap w:val="0"/>
                  <w:vAlign w:val="center"/>
                </w:tcPr>
                <w:p w14:paraId="6A31725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危险特性</w:t>
                  </w:r>
                </w:p>
              </w:tc>
              <w:tc>
                <w:tcPr>
                  <w:tcW w:w="392" w:type="pct"/>
                  <w:noWrap w:val="0"/>
                  <w:vAlign w:val="center"/>
                </w:tcPr>
                <w:p w14:paraId="37CE12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污染防治措施</w:t>
                  </w:r>
                </w:p>
              </w:tc>
            </w:tr>
            <w:tr w14:paraId="484B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096E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510" w:type="pct"/>
                  <w:noWrap w:val="0"/>
                  <w:vAlign w:val="center"/>
                </w:tcPr>
                <w:p w14:paraId="3966D6C4">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4226946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bCs/>
                      <w:color w:val="auto"/>
                      <w:kern w:val="2"/>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5340661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0.63</w:t>
                  </w:r>
                </w:p>
              </w:tc>
              <w:tc>
                <w:tcPr>
                  <w:tcW w:w="442" w:type="pct"/>
                  <w:noWrap w:val="0"/>
                  <w:vAlign w:val="center"/>
                </w:tcPr>
                <w:p w14:paraId="6F2A4B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前处理</w:t>
                  </w:r>
                </w:p>
              </w:tc>
              <w:tc>
                <w:tcPr>
                  <w:tcW w:w="397" w:type="pct"/>
                  <w:noWrap w:val="0"/>
                  <w:vAlign w:val="center"/>
                </w:tcPr>
                <w:p w14:paraId="4FE2A92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25E11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无机酸</w:t>
                  </w:r>
                </w:p>
              </w:tc>
              <w:tc>
                <w:tcPr>
                  <w:tcW w:w="383" w:type="pct"/>
                  <w:noWrap w:val="0"/>
                  <w:vAlign w:val="center"/>
                </w:tcPr>
                <w:p w14:paraId="52DE7A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无机酸</w:t>
                  </w:r>
                </w:p>
              </w:tc>
              <w:tc>
                <w:tcPr>
                  <w:tcW w:w="335" w:type="pct"/>
                  <w:noWrap w:val="0"/>
                  <w:vAlign w:val="center"/>
                </w:tcPr>
                <w:p w14:paraId="37011F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每周</w:t>
                  </w:r>
                </w:p>
              </w:tc>
              <w:tc>
                <w:tcPr>
                  <w:tcW w:w="370" w:type="pct"/>
                  <w:noWrap w:val="0"/>
                  <w:vAlign w:val="center"/>
                </w:tcPr>
                <w:p w14:paraId="07B3CB3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restart"/>
                  <w:noWrap w:val="0"/>
                  <w:vAlign w:val="center"/>
                </w:tcPr>
                <w:p w14:paraId="11C2C2C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暂存在</w:t>
                  </w:r>
                  <w:r>
                    <w:rPr>
                      <w:rFonts w:hint="eastAsia" w:ascii="Times New Roman" w:hAnsi="Times New Roman" w:cs="Times New Roman"/>
                      <w:color w:val="auto"/>
                      <w:kern w:val="2"/>
                      <w:sz w:val="21"/>
                      <w:szCs w:val="21"/>
                      <w:highlight w:val="none"/>
                      <w:lang w:eastAsia="zh-CN"/>
                    </w:rPr>
                    <w:t>危险废物贮存间</w:t>
                  </w:r>
                  <w:r>
                    <w:rPr>
                      <w:rFonts w:hint="default" w:ascii="Times New Roman" w:hAnsi="Times New Roman" w:cs="Times New Roman"/>
                      <w:color w:val="auto"/>
                      <w:kern w:val="2"/>
                      <w:sz w:val="21"/>
                      <w:szCs w:val="21"/>
                      <w:highlight w:val="none"/>
                    </w:rPr>
                    <w:t>，定期由危废资质单位处理。</w:t>
                  </w:r>
                </w:p>
              </w:tc>
            </w:tr>
            <w:tr w14:paraId="5EDF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67E8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510" w:type="pct"/>
                  <w:noWrap w:val="0"/>
                  <w:vAlign w:val="center"/>
                </w:tcPr>
                <w:p w14:paraId="498E8C4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0970DE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00A9295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w:t>
                  </w:r>
                </w:p>
              </w:tc>
              <w:tc>
                <w:tcPr>
                  <w:tcW w:w="442" w:type="pct"/>
                  <w:noWrap w:val="0"/>
                  <w:vAlign w:val="center"/>
                </w:tcPr>
                <w:p w14:paraId="00CA5D9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前处理</w:t>
                  </w:r>
                </w:p>
              </w:tc>
              <w:tc>
                <w:tcPr>
                  <w:tcW w:w="397" w:type="pct"/>
                  <w:noWrap w:val="0"/>
                  <w:vAlign w:val="center"/>
                </w:tcPr>
                <w:p w14:paraId="23CAA02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26E068B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position w:val="0"/>
                      <w:sz w:val="21"/>
                      <w:szCs w:val="21"/>
                      <w:highlight w:val="none"/>
                      <w:lang w:val="en-US" w:eastAsia="zh-CN"/>
                    </w:rPr>
                  </w:pPr>
                  <w:r>
                    <w:rPr>
                      <w:rFonts w:hint="default" w:ascii="Times New Roman" w:hAnsi="Times New Roman" w:cs="Times New Roman"/>
                      <w:color w:val="auto"/>
                      <w:kern w:val="2"/>
                      <w:sz w:val="21"/>
                      <w:szCs w:val="21"/>
                      <w:highlight w:val="none"/>
                    </w:rPr>
                    <w:t>泥渣</w:t>
                  </w:r>
                </w:p>
              </w:tc>
              <w:tc>
                <w:tcPr>
                  <w:tcW w:w="383" w:type="pct"/>
                  <w:noWrap w:val="0"/>
                  <w:vAlign w:val="center"/>
                </w:tcPr>
                <w:p w14:paraId="7327EC7B">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sz w:val="21"/>
                      <w:szCs w:val="21"/>
                      <w:highlight w:val="none"/>
                    </w:rPr>
                    <w:t>泥渣</w:t>
                  </w:r>
                </w:p>
              </w:tc>
              <w:tc>
                <w:tcPr>
                  <w:tcW w:w="335" w:type="pct"/>
                  <w:noWrap w:val="0"/>
                  <w:vAlign w:val="center"/>
                </w:tcPr>
                <w:p w14:paraId="6747785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590960A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76F8DF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537C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CB9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510" w:type="pct"/>
                  <w:noWrap w:val="0"/>
                  <w:vAlign w:val="center"/>
                </w:tcPr>
                <w:p w14:paraId="2A61761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E9D70C0">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30502F6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44.8</w:t>
                  </w:r>
                </w:p>
              </w:tc>
              <w:tc>
                <w:tcPr>
                  <w:tcW w:w="442" w:type="pct"/>
                  <w:noWrap w:val="0"/>
                  <w:vAlign w:val="center"/>
                </w:tcPr>
                <w:p w14:paraId="63B3189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无铬钝化</w:t>
                  </w:r>
                </w:p>
              </w:tc>
              <w:tc>
                <w:tcPr>
                  <w:tcW w:w="397" w:type="pct"/>
                  <w:noWrap w:val="0"/>
                  <w:vAlign w:val="center"/>
                </w:tcPr>
                <w:p w14:paraId="6253B94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463" w:type="pct"/>
                  <w:noWrap w:val="0"/>
                  <w:vAlign w:val="center"/>
                </w:tcPr>
                <w:p w14:paraId="6735B77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83" w:type="pct"/>
                  <w:noWrap w:val="0"/>
                  <w:vAlign w:val="center"/>
                </w:tcPr>
                <w:p w14:paraId="4A6A9FD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35" w:type="pct"/>
                  <w:noWrap w:val="0"/>
                  <w:vAlign w:val="center"/>
                </w:tcPr>
                <w:p w14:paraId="0A17DA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3个月</w:t>
                  </w:r>
                </w:p>
              </w:tc>
              <w:tc>
                <w:tcPr>
                  <w:tcW w:w="370" w:type="pct"/>
                  <w:noWrap w:val="0"/>
                  <w:vAlign w:val="center"/>
                </w:tcPr>
                <w:p w14:paraId="183B3545">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48FEB1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C10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3" w:hRule="atLeast"/>
                <w:jc w:val="center"/>
              </w:trPr>
              <w:tc>
                <w:tcPr>
                  <w:tcW w:w="734" w:type="pct"/>
                  <w:noWrap w:val="0"/>
                  <w:vAlign w:val="center"/>
                </w:tcPr>
                <w:p w14:paraId="2C68C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510" w:type="pct"/>
                  <w:noWrap w:val="0"/>
                  <w:vAlign w:val="center"/>
                </w:tcPr>
                <w:p w14:paraId="02475E3A">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D50A5AC">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41F2178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noWrap w:val="0"/>
                  <w:vAlign w:val="center"/>
                </w:tcPr>
                <w:p w14:paraId="6AA6F55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废</w:t>
                  </w:r>
                  <w:r>
                    <w:rPr>
                      <w:rFonts w:hint="default" w:ascii="Times New Roman" w:hAnsi="Times New Roman" w:cs="Times New Roman"/>
                      <w:color w:val="auto"/>
                      <w:kern w:val="2"/>
                      <w:position w:val="0"/>
                      <w:sz w:val="21"/>
                      <w:szCs w:val="21"/>
                      <w:highlight w:val="none"/>
                      <w:lang w:eastAsia="zh-CN"/>
                    </w:rPr>
                    <w:t>水</w:t>
                  </w:r>
                  <w:r>
                    <w:rPr>
                      <w:rFonts w:hint="default" w:ascii="Times New Roman" w:hAnsi="Times New Roman" w:cs="Times New Roman"/>
                      <w:color w:val="auto"/>
                      <w:kern w:val="2"/>
                      <w:position w:val="0"/>
                      <w:sz w:val="21"/>
                      <w:szCs w:val="21"/>
                      <w:highlight w:val="none"/>
                    </w:rPr>
                    <w:t>处理</w:t>
                  </w:r>
                </w:p>
              </w:tc>
              <w:tc>
                <w:tcPr>
                  <w:tcW w:w="397" w:type="pct"/>
                  <w:noWrap w:val="0"/>
                  <w:vAlign w:val="center"/>
                </w:tcPr>
                <w:p w14:paraId="73E6ED26">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6D773FC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污泥</w:t>
                  </w:r>
                </w:p>
              </w:tc>
              <w:tc>
                <w:tcPr>
                  <w:tcW w:w="383" w:type="pct"/>
                  <w:noWrap w:val="0"/>
                  <w:vAlign w:val="center"/>
                </w:tcPr>
                <w:p w14:paraId="5368F2B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污泥</w:t>
                  </w:r>
                </w:p>
              </w:tc>
              <w:tc>
                <w:tcPr>
                  <w:tcW w:w="335" w:type="pct"/>
                  <w:noWrap w:val="0"/>
                  <w:vAlign w:val="center"/>
                </w:tcPr>
                <w:p w14:paraId="3C36FE26">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502D56B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143B53B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0F1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34" w:type="pct"/>
                  <w:noWrap w:val="0"/>
                  <w:vAlign w:val="center"/>
                </w:tcPr>
                <w:p w14:paraId="3156D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510" w:type="pct"/>
                  <w:noWrap w:val="0"/>
                  <w:vAlign w:val="center"/>
                </w:tcPr>
                <w:p w14:paraId="1FA7A99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14BDE49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274A6F8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442" w:type="pct"/>
                  <w:noWrap w:val="0"/>
                  <w:vAlign w:val="center"/>
                </w:tcPr>
                <w:p w14:paraId="6B7E0B5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废</w:t>
                  </w:r>
                  <w:r>
                    <w:rPr>
                      <w:rFonts w:hint="default" w:ascii="Times New Roman" w:hAnsi="Times New Roman" w:cs="Times New Roman"/>
                      <w:color w:val="auto"/>
                      <w:kern w:val="2"/>
                      <w:position w:val="0"/>
                      <w:sz w:val="21"/>
                      <w:szCs w:val="21"/>
                      <w:highlight w:val="none"/>
                      <w:lang w:eastAsia="zh-CN"/>
                    </w:rPr>
                    <w:t>水</w:t>
                  </w:r>
                  <w:r>
                    <w:rPr>
                      <w:rFonts w:hint="default" w:ascii="Times New Roman" w:hAnsi="Times New Roman" w:cs="Times New Roman"/>
                      <w:color w:val="auto"/>
                      <w:kern w:val="2"/>
                      <w:position w:val="0"/>
                      <w:sz w:val="21"/>
                      <w:szCs w:val="21"/>
                      <w:highlight w:val="none"/>
                    </w:rPr>
                    <w:t>处理</w:t>
                  </w:r>
                </w:p>
              </w:tc>
              <w:tc>
                <w:tcPr>
                  <w:tcW w:w="397" w:type="pct"/>
                  <w:noWrap w:val="0"/>
                  <w:vAlign w:val="center"/>
                </w:tcPr>
                <w:p w14:paraId="74DF4D0D">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3440D7D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eastAsia="zh-CN"/>
                    </w:rPr>
                    <w:t>硫酸</w:t>
                  </w:r>
                </w:p>
              </w:tc>
              <w:tc>
                <w:tcPr>
                  <w:tcW w:w="383" w:type="pct"/>
                  <w:noWrap w:val="0"/>
                  <w:vAlign w:val="center"/>
                </w:tcPr>
                <w:p w14:paraId="150F901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eastAsia="zh-CN"/>
                    </w:rPr>
                    <w:t>硫酸</w:t>
                  </w:r>
                </w:p>
              </w:tc>
              <w:tc>
                <w:tcPr>
                  <w:tcW w:w="335" w:type="pct"/>
                  <w:noWrap w:val="0"/>
                  <w:vAlign w:val="center"/>
                </w:tcPr>
                <w:p w14:paraId="1726BC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2E71F55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385684A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p>
              </w:tc>
            </w:tr>
            <w:tr w14:paraId="75E9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F3E25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510" w:type="pct"/>
                  <w:noWrap w:val="0"/>
                  <w:vAlign w:val="center"/>
                </w:tcPr>
                <w:p w14:paraId="3EFD3DE1">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166488E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7F7AEE4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442" w:type="pct"/>
                  <w:noWrap w:val="0"/>
                  <w:vAlign w:val="center"/>
                </w:tcPr>
                <w:p w14:paraId="3330C1A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6ACE271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107C454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69CB0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position w:val="0"/>
                      <w:sz w:val="21"/>
                      <w:szCs w:val="21"/>
                      <w:highlight w:val="none"/>
                      <w:lang w:eastAsia="zh-CN"/>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02D5CDB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3F017CF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I</w:t>
                  </w:r>
                </w:p>
              </w:tc>
              <w:tc>
                <w:tcPr>
                  <w:tcW w:w="392" w:type="pct"/>
                  <w:vMerge w:val="continue"/>
                  <w:noWrap w:val="0"/>
                  <w:vAlign w:val="center"/>
                </w:tcPr>
                <w:p w14:paraId="2A9236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CC9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4A472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510" w:type="pct"/>
                  <w:noWrap w:val="0"/>
                  <w:vAlign w:val="center"/>
                </w:tcPr>
                <w:p w14:paraId="6315AB0F">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01BD6D15">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0C13B42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0.8</w:t>
                  </w:r>
                </w:p>
              </w:tc>
              <w:tc>
                <w:tcPr>
                  <w:tcW w:w="442" w:type="pct"/>
                  <w:noWrap w:val="0"/>
                  <w:vAlign w:val="center"/>
                </w:tcPr>
                <w:p w14:paraId="015FD70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1C13AC0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液态</w:t>
                  </w:r>
                </w:p>
              </w:tc>
              <w:tc>
                <w:tcPr>
                  <w:tcW w:w="463" w:type="pct"/>
                  <w:noWrap w:val="0"/>
                  <w:vAlign w:val="center"/>
                </w:tcPr>
                <w:p w14:paraId="74D180E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45E984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FCDC4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51FAC08D">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22F6B8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4C61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EC93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510" w:type="pct"/>
                  <w:noWrap w:val="0"/>
                  <w:vAlign w:val="center"/>
                </w:tcPr>
                <w:p w14:paraId="3DD11139">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23A5EF4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006B5FA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442" w:type="pct"/>
                  <w:noWrap w:val="0"/>
                  <w:vAlign w:val="center"/>
                </w:tcPr>
                <w:p w14:paraId="7595B6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280BC0B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7E29163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78DF0C9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1DAE46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5CDAA9A3">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2E0697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2FD3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67CE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510" w:type="pct"/>
                  <w:noWrap w:val="0"/>
                  <w:vAlign w:val="center"/>
                </w:tcPr>
                <w:p w14:paraId="7FFBB67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200ECF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05074D0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442" w:type="pct"/>
                  <w:noWrap w:val="0"/>
                  <w:vAlign w:val="center"/>
                </w:tcPr>
                <w:p w14:paraId="24F7E8F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2"/>
                      <w:position w:val="0"/>
                      <w:sz w:val="21"/>
                      <w:szCs w:val="21"/>
                      <w:highlight w:val="none"/>
                      <w:lang w:eastAsia="zh-CN"/>
                    </w:rPr>
                  </w:pPr>
                  <w:r>
                    <w:rPr>
                      <w:rFonts w:hint="eastAsia" w:ascii="Times New Roman" w:hAnsi="Times New Roman" w:cs="Times New Roman"/>
                      <w:color w:val="auto"/>
                      <w:kern w:val="2"/>
                      <w:position w:val="0"/>
                      <w:sz w:val="21"/>
                      <w:szCs w:val="21"/>
                      <w:highlight w:val="none"/>
                      <w:lang w:val="en-US" w:eastAsia="zh-CN"/>
                    </w:rPr>
                    <w:t>钣金成型</w:t>
                  </w:r>
                </w:p>
              </w:tc>
              <w:tc>
                <w:tcPr>
                  <w:tcW w:w="397" w:type="pct"/>
                  <w:noWrap w:val="0"/>
                  <w:vAlign w:val="center"/>
                </w:tcPr>
                <w:p w14:paraId="1380E72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0681B9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48E68F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33243C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13E5B663">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4BBB4B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B30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B022C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510" w:type="pct"/>
                  <w:noWrap w:val="0"/>
                  <w:vAlign w:val="center"/>
                </w:tcPr>
                <w:p w14:paraId="0EBAA9A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2BCA154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27" w:type="pct"/>
                  <w:noWrap w:val="0"/>
                  <w:vAlign w:val="center"/>
                </w:tcPr>
                <w:p w14:paraId="40C3F7C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0.6</w:t>
                  </w:r>
                </w:p>
              </w:tc>
              <w:tc>
                <w:tcPr>
                  <w:tcW w:w="442" w:type="pct"/>
                  <w:noWrap w:val="0"/>
                  <w:vAlign w:val="center"/>
                </w:tcPr>
                <w:p w14:paraId="41215C1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eastAsia" w:ascii="Times New Roman" w:hAnsi="Times New Roman" w:cs="Times New Roman"/>
                      <w:color w:val="auto"/>
                      <w:kern w:val="2"/>
                      <w:position w:val="0"/>
                      <w:sz w:val="21"/>
                      <w:szCs w:val="21"/>
                      <w:highlight w:val="none"/>
                      <w:lang w:val="en-US" w:eastAsia="zh-CN"/>
                    </w:rPr>
                    <w:t>钣金成型</w:t>
                  </w:r>
                </w:p>
              </w:tc>
              <w:tc>
                <w:tcPr>
                  <w:tcW w:w="397" w:type="pct"/>
                  <w:noWrap w:val="0"/>
                  <w:vAlign w:val="center"/>
                </w:tcPr>
                <w:p w14:paraId="58DC92C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463" w:type="pct"/>
                  <w:noWrap w:val="0"/>
                  <w:vAlign w:val="center"/>
                </w:tcPr>
                <w:p w14:paraId="148CFD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1FF3323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741FC37C">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27CF871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31B035D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3DF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5430E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510" w:type="pct"/>
                  <w:noWrap w:val="0"/>
                  <w:vAlign w:val="center"/>
                </w:tcPr>
                <w:p w14:paraId="45B243F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3B1A2A3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Cs w:val="21"/>
                    </w:rPr>
                    <w:t>900-041-49</w:t>
                  </w:r>
                </w:p>
              </w:tc>
              <w:tc>
                <w:tcPr>
                  <w:tcW w:w="427" w:type="pct"/>
                  <w:shd w:val="clear" w:color="auto" w:fill="auto"/>
                  <w:noWrap w:val="0"/>
                  <w:vAlign w:val="center"/>
                </w:tcPr>
                <w:p w14:paraId="5D11FB5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0.199</w:t>
                  </w:r>
                </w:p>
              </w:tc>
              <w:tc>
                <w:tcPr>
                  <w:tcW w:w="442" w:type="pct"/>
                  <w:noWrap w:val="0"/>
                  <w:vAlign w:val="center"/>
                </w:tcPr>
                <w:p w14:paraId="0B7A6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喷漆工序</w:t>
                  </w:r>
                </w:p>
              </w:tc>
              <w:tc>
                <w:tcPr>
                  <w:tcW w:w="397" w:type="pct"/>
                  <w:noWrap w:val="0"/>
                  <w:vAlign w:val="center"/>
                </w:tcPr>
                <w:p w14:paraId="3DF54C46">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3001732F">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83" w:type="pct"/>
                  <w:noWrap w:val="0"/>
                  <w:vAlign w:val="center"/>
                </w:tcPr>
                <w:p w14:paraId="6D964DA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35" w:type="pct"/>
                  <w:noWrap w:val="0"/>
                  <w:vAlign w:val="center"/>
                </w:tcPr>
                <w:p w14:paraId="05653BDE">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每周</w:t>
                  </w:r>
                </w:p>
              </w:tc>
              <w:tc>
                <w:tcPr>
                  <w:tcW w:w="370" w:type="pct"/>
                  <w:shd w:val="clear" w:color="auto" w:fill="auto"/>
                  <w:noWrap w:val="0"/>
                  <w:vAlign w:val="center"/>
                </w:tcPr>
                <w:p w14:paraId="5A4FD04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76B171E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2040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7C5C366A">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喷枪清洗液</w:t>
                  </w:r>
                </w:p>
              </w:tc>
              <w:tc>
                <w:tcPr>
                  <w:tcW w:w="510" w:type="pct"/>
                  <w:noWrap w:val="0"/>
                  <w:vAlign w:val="center"/>
                </w:tcPr>
                <w:p w14:paraId="53A2970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HW06</w:t>
                  </w:r>
                </w:p>
              </w:tc>
              <w:tc>
                <w:tcPr>
                  <w:tcW w:w="542" w:type="pct"/>
                  <w:noWrap w:val="0"/>
                  <w:vAlign w:val="center"/>
                </w:tcPr>
                <w:p w14:paraId="48EA27A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900-402-06</w:t>
                  </w:r>
                </w:p>
              </w:tc>
              <w:tc>
                <w:tcPr>
                  <w:tcW w:w="427" w:type="pct"/>
                  <w:shd w:val="clear" w:color="auto" w:fill="auto"/>
                  <w:noWrap w:val="0"/>
                  <w:vAlign w:val="center"/>
                </w:tcPr>
                <w:p w14:paraId="0129189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noWrap w:val="0"/>
                  <w:vAlign w:val="center"/>
                </w:tcPr>
                <w:p w14:paraId="0441E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喷漆工序</w:t>
                  </w:r>
                </w:p>
              </w:tc>
              <w:tc>
                <w:tcPr>
                  <w:tcW w:w="397" w:type="pct"/>
                  <w:noWrap w:val="0"/>
                  <w:vAlign w:val="center"/>
                </w:tcPr>
                <w:p w14:paraId="3BCAD1F1">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49103A98">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清洗剂</w:t>
                  </w:r>
                </w:p>
              </w:tc>
              <w:tc>
                <w:tcPr>
                  <w:tcW w:w="383" w:type="pct"/>
                  <w:noWrap w:val="0"/>
                  <w:vAlign w:val="center"/>
                </w:tcPr>
                <w:p w14:paraId="12651C64">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清洗剂</w:t>
                  </w:r>
                </w:p>
              </w:tc>
              <w:tc>
                <w:tcPr>
                  <w:tcW w:w="335" w:type="pct"/>
                  <w:noWrap w:val="0"/>
                  <w:vAlign w:val="center"/>
                </w:tcPr>
                <w:p w14:paraId="1E41331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24539E94">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T、I</w:t>
                  </w:r>
                  <w:r>
                    <w:rPr>
                      <w:rFonts w:hint="eastAsia"/>
                      <w:color w:val="auto"/>
                      <w:szCs w:val="21"/>
                      <w:lang w:eastAsia="zh-CN"/>
                    </w:rPr>
                    <w:t>、</w:t>
                  </w:r>
                  <w:r>
                    <w:rPr>
                      <w:rFonts w:hint="eastAsia"/>
                      <w:color w:val="auto"/>
                      <w:szCs w:val="21"/>
                      <w:lang w:val="en-US" w:eastAsia="zh-CN"/>
                    </w:rPr>
                    <w:t>R</w:t>
                  </w:r>
                </w:p>
              </w:tc>
              <w:tc>
                <w:tcPr>
                  <w:tcW w:w="392" w:type="pct"/>
                  <w:vMerge w:val="continue"/>
                  <w:noWrap w:val="0"/>
                  <w:vAlign w:val="center"/>
                </w:tcPr>
                <w:p w14:paraId="20CDC7E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321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4BC38C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lang w:val="en-US" w:eastAsia="zh-CN"/>
                    </w:rPr>
                    <w:t>废静电喷粉滤芯</w:t>
                  </w:r>
                </w:p>
              </w:tc>
              <w:tc>
                <w:tcPr>
                  <w:tcW w:w="510" w:type="pct"/>
                  <w:noWrap w:val="0"/>
                  <w:vAlign w:val="center"/>
                </w:tcPr>
                <w:p w14:paraId="234536A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4ED4DC4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27" w:type="pct"/>
                  <w:shd w:val="clear" w:color="auto" w:fill="auto"/>
                  <w:noWrap w:val="0"/>
                  <w:vAlign w:val="center"/>
                </w:tcPr>
                <w:p w14:paraId="74B459E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0.096</w:t>
                  </w:r>
                </w:p>
              </w:tc>
              <w:tc>
                <w:tcPr>
                  <w:tcW w:w="442" w:type="pct"/>
                  <w:noWrap w:val="0"/>
                  <w:vAlign w:val="center"/>
                </w:tcPr>
                <w:p w14:paraId="61D70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喷粉工序</w:t>
                  </w:r>
                </w:p>
              </w:tc>
              <w:tc>
                <w:tcPr>
                  <w:tcW w:w="397" w:type="pct"/>
                  <w:noWrap w:val="0"/>
                  <w:vAlign w:val="center"/>
                </w:tcPr>
                <w:p w14:paraId="3FF831B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D3E062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w:t>
                  </w:r>
                </w:p>
              </w:tc>
              <w:tc>
                <w:tcPr>
                  <w:tcW w:w="383" w:type="pct"/>
                  <w:noWrap w:val="0"/>
                  <w:vAlign w:val="center"/>
                </w:tcPr>
                <w:p w14:paraId="4CB913C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w:t>
                  </w:r>
                </w:p>
              </w:tc>
              <w:tc>
                <w:tcPr>
                  <w:tcW w:w="335" w:type="pct"/>
                  <w:noWrap w:val="0"/>
                  <w:vAlign w:val="center"/>
                </w:tcPr>
                <w:p w14:paraId="536A060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58D24FF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r>
                    <w:rPr>
                      <w:rFonts w:hint="eastAsia"/>
                      <w:color w:val="auto"/>
                      <w:szCs w:val="21"/>
                      <w:lang w:val="en-US" w:eastAsia="zh-CN"/>
                    </w:rPr>
                    <w:t>/In</w:t>
                  </w:r>
                </w:p>
              </w:tc>
              <w:tc>
                <w:tcPr>
                  <w:tcW w:w="392" w:type="pct"/>
                  <w:vMerge w:val="continue"/>
                  <w:noWrap w:val="0"/>
                  <w:vAlign w:val="center"/>
                </w:tcPr>
                <w:p w14:paraId="2CE5B3B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6FA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5EB05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废过滤棉</w:t>
                  </w:r>
                </w:p>
              </w:tc>
              <w:tc>
                <w:tcPr>
                  <w:tcW w:w="510" w:type="pct"/>
                  <w:noWrap w:val="0"/>
                  <w:vAlign w:val="center"/>
                </w:tcPr>
                <w:p w14:paraId="76A3308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2E4CDDD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27" w:type="pct"/>
                  <w:shd w:val="clear" w:color="auto" w:fill="auto"/>
                  <w:noWrap w:val="0"/>
                  <w:vAlign w:val="center"/>
                </w:tcPr>
                <w:p w14:paraId="3653861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442" w:type="pct"/>
                  <w:vMerge w:val="restart"/>
                  <w:noWrap w:val="0"/>
                  <w:vAlign w:val="center"/>
                </w:tcPr>
                <w:p w14:paraId="04BAB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废气处理</w:t>
                  </w:r>
                </w:p>
              </w:tc>
              <w:tc>
                <w:tcPr>
                  <w:tcW w:w="397" w:type="pct"/>
                  <w:noWrap w:val="0"/>
                  <w:vAlign w:val="center"/>
                </w:tcPr>
                <w:p w14:paraId="60FF032D">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D2F55A3">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有机物</w:t>
                  </w:r>
                </w:p>
              </w:tc>
              <w:tc>
                <w:tcPr>
                  <w:tcW w:w="383" w:type="pct"/>
                  <w:noWrap w:val="0"/>
                  <w:vAlign w:val="center"/>
                </w:tcPr>
                <w:p w14:paraId="402B385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有机物</w:t>
                  </w:r>
                </w:p>
              </w:tc>
              <w:tc>
                <w:tcPr>
                  <w:tcW w:w="335" w:type="pct"/>
                  <w:noWrap w:val="0"/>
                  <w:vAlign w:val="center"/>
                </w:tcPr>
                <w:p w14:paraId="33B2AAF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7E7F822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r>
                    <w:rPr>
                      <w:rFonts w:hint="eastAsia"/>
                      <w:color w:val="auto"/>
                      <w:szCs w:val="21"/>
                      <w:lang w:val="en-US" w:eastAsia="zh-CN"/>
                    </w:rPr>
                    <w:t>/In</w:t>
                  </w:r>
                </w:p>
              </w:tc>
              <w:tc>
                <w:tcPr>
                  <w:tcW w:w="392" w:type="pct"/>
                  <w:vMerge w:val="continue"/>
                  <w:noWrap w:val="0"/>
                  <w:vAlign w:val="center"/>
                </w:tcPr>
                <w:p w14:paraId="1828013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012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D522D6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废活性炭</w:t>
                  </w:r>
                </w:p>
              </w:tc>
              <w:tc>
                <w:tcPr>
                  <w:tcW w:w="510" w:type="pct"/>
                  <w:noWrap w:val="0"/>
                  <w:vAlign w:val="center"/>
                </w:tcPr>
                <w:p w14:paraId="0376D3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474B210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Cs/>
                      <w:color w:val="auto"/>
                      <w:szCs w:val="21"/>
                    </w:rPr>
                    <w:t>900-039-49</w:t>
                  </w:r>
                </w:p>
              </w:tc>
              <w:tc>
                <w:tcPr>
                  <w:tcW w:w="427" w:type="pct"/>
                  <w:shd w:val="clear" w:color="auto" w:fill="auto"/>
                  <w:noWrap w:val="0"/>
                  <w:vAlign w:val="center"/>
                </w:tcPr>
                <w:p w14:paraId="5D3F3A0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29.028</w:t>
                  </w:r>
                </w:p>
              </w:tc>
              <w:tc>
                <w:tcPr>
                  <w:tcW w:w="442" w:type="pct"/>
                  <w:vMerge w:val="continue"/>
                  <w:noWrap w:val="0"/>
                  <w:vAlign w:val="center"/>
                </w:tcPr>
                <w:p w14:paraId="08293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p>
              </w:tc>
              <w:tc>
                <w:tcPr>
                  <w:tcW w:w="397" w:type="pct"/>
                  <w:noWrap w:val="0"/>
                  <w:vAlign w:val="center"/>
                </w:tcPr>
                <w:p w14:paraId="78AAE520">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030FB811">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活性炭</w:t>
                  </w:r>
                </w:p>
              </w:tc>
              <w:tc>
                <w:tcPr>
                  <w:tcW w:w="383" w:type="pct"/>
                  <w:noWrap w:val="0"/>
                  <w:vAlign w:val="center"/>
                </w:tcPr>
                <w:p w14:paraId="33E875B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活性炭</w:t>
                  </w:r>
                </w:p>
              </w:tc>
              <w:tc>
                <w:tcPr>
                  <w:tcW w:w="335" w:type="pct"/>
                  <w:noWrap w:val="0"/>
                  <w:vAlign w:val="center"/>
                </w:tcPr>
                <w:p w14:paraId="0400487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每年</w:t>
                  </w:r>
                </w:p>
              </w:tc>
              <w:tc>
                <w:tcPr>
                  <w:tcW w:w="370" w:type="pct"/>
                  <w:shd w:val="clear" w:color="auto" w:fill="auto"/>
                  <w:noWrap w:val="0"/>
                  <w:vAlign w:val="center"/>
                </w:tcPr>
                <w:p w14:paraId="234FE68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392" w:type="pct"/>
                  <w:vMerge w:val="continue"/>
                  <w:noWrap w:val="0"/>
                  <w:vAlign w:val="center"/>
                </w:tcPr>
                <w:p w14:paraId="5E6A844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A16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shd w:val="clear" w:color="auto" w:fill="auto"/>
                  <w:noWrap w:val="0"/>
                  <w:vAlign w:val="center"/>
                </w:tcPr>
                <w:p w14:paraId="13FBACF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废粉末涂料</w:t>
                  </w:r>
                </w:p>
              </w:tc>
              <w:tc>
                <w:tcPr>
                  <w:tcW w:w="510" w:type="pct"/>
                  <w:shd w:val="clear" w:color="auto" w:fill="auto"/>
                  <w:noWrap w:val="0"/>
                  <w:vAlign w:val="center"/>
                </w:tcPr>
                <w:p w14:paraId="046F1EC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待鉴定</w:t>
                  </w:r>
                </w:p>
              </w:tc>
              <w:tc>
                <w:tcPr>
                  <w:tcW w:w="542" w:type="pct"/>
                  <w:shd w:val="clear" w:color="auto" w:fill="auto"/>
                  <w:noWrap w:val="0"/>
                  <w:vAlign w:val="center"/>
                </w:tcPr>
                <w:p w14:paraId="3562021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待鉴定</w:t>
                  </w:r>
                </w:p>
              </w:tc>
              <w:tc>
                <w:tcPr>
                  <w:tcW w:w="427" w:type="pct"/>
                  <w:shd w:val="clear" w:color="auto" w:fill="auto"/>
                  <w:noWrap w:val="0"/>
                  <w:vAlign w:val="center"/>
                </w:tcPr>
                <w:p w14:paraId="5B0A684D">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shd w:val="clear" w:color="auto" w:fill="auto"/>
                  <w:noWrap w:val="0"/>
                  <w:vAlign w:val="center"/>
                </w:tcPr>
                <w:p w14:paraId="40E8E0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喷粉工序</w:t>
                  </w:r>
                </w:p>
              </w:tc>
              <w:tc>
                <w:tcPr>
                  <w:tcW w:w="397" w:type="pct"/>
                  <w:shd w:val="clear" w:color="auto" w:fill="auto"/>
                  <w:noWrap w:val="0"/>
                  <w:vAlign w:val="center"/>
                </w:tcPr>
                <w:p w14:paraId="758A6BA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shd w:val="clear" w:color="auto" w:fill="auto"/>
                  <w:noWrap w:val="0"/>
                  <w:vAlign w:val="center"/>
                </w:tcPr>
                <w:p w14:paraId="1D7D2C37">
                  <w:pPr>
                    <w:widowControl/>
                    <w:spacing w:line="240" w:lineRule="auto"/>
                    <w:jc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83" w:type="pct"/>
                  <w:shd w:val="clear" w:color="auto" w:fill="auto"/>
                  <w:noWrap w:val="0"/>
                  <w:vAlign w:val="center"/>
                </w:tcPr>
                <w:p w14:paraId="2E2699CF">
                  <w:pPr>
                    <w:widowControl/>
                    <w:spacing w:line="240" w:lineRule="auto"/>
                    <w:jc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35" w:type="pct"/>
                  <w:shd w:val="clear" w:color="auto" w:fill="auto"/>
                  <w:noWrap w:val="0"/>
                  <w:vAlign w:val="center"/>
                </w:tcPr>
                <w:p w14:paraId="3F03C199">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026632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392" w:type="pct"/>
                  <w:vMerge w:val="continue"/>
                  <w:noWrap w:val="0"/>
                  <w:vAlign w:val="center"/>
                </w:tcPr>
                <w:p w14:paraId="5A26E25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C06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B53B6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废催化剂</w:t>
                  </w:r>
                </w:p>
              </w:tc>
              <w:tc>
                <w:tcPr>
                  <w:tcW w:w="510" w:type="pct"/>
                  <w:noWrap w:val="0"/>
                  <w:vAlign w:val="center"/>
                </w:tcPr>
                <w:p w14:paraId="4D6C2F2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HW50</w:t>
                  </w:r>
                </w:p>
              </w:tc>
              <w:tc>
                <w:tcPr>
                  <w:tcW w:w="542" w:type="pct"/>
                  <w:noWrap w:val="0"/>
                  <w:vAlign w:val="center"/>
                </w:tcPr>
                <w:p w14:paraId="5F22144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900-049-50</w:t>
                  </w:r>
                </w:p>
              </w:tc>
              <w:tc>
                <w:tcPr>
                  <w:tcW w:w="427" w:type="pct"/>
                  <w:shd w:val="clear" w:color="auto" w:fill="auto"/>
                  <w:noWrap w:val="0"/>
                  <w:vAlign w:val="center"/>
                </w:tcPr>
                <w:p w14:paraId="7C72666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0.16</w:t>
                  </w:r>
                </w:p>
              </w:tc>
              <w:tc>
                <w:tcPr>
                  <w:tcW w:w="442" w:type="pct"/>
                  <w:noWrap w:val="0"/>
                  <w:vAlign w:val="center"/>
                </w:tcPr>
                <w:p w14:paraId="6F207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废气处理</w:t>
                  </w:r>
                </w:p>
              </w:tc>
              <w:tc>
                <w:tcPr>
                  <w:tcW w:w="397" w:type="pct"/>
                  <w:noWrap w:val="0"/>
                  <w:vAlign w:val="center"/>
                </w:tcPr>
                <w:p w14:paraId="08929B1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固体</w:t>
                  </w:r>
                </w:p>
              </w:tc>
              <w:tc>
                <w:tcPr>
                  <w:tcW w:w="463" w:type="pct"/>
                  <w:noWrap w:val="0"/>
                  <w:vAlign w:val="center"/>
                </w:tcPr>
                <w:p w14:paraId="36028E85">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83" w:type="pct"/>
                  <w:noWrap w:val="0"/>
                  <w:vAlign w:val="center"/>
                </w:tcPr>
                <w:p w14:paraId="744261C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35" w:type="pct"/>
                  <w:noWrap w:val="0"/>
                  <w:vAlign w:val="center"/>
                </w:tcPr>
                <w:p w14:paraId="227D50E2">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每年</w:t>
                  </w:r>
                </w:p>
              </w:tc>
              <w:tc>
                <w:tcPr>
                  <w:tcW w:w="370" w:type="pct"/>
                  <w:shd w:val="clear" w:color="auto" w:fill="auto"/>
                  <w:noWrap w:val="0"/>
                  <w:vAlign w:val="center"/>
                </w:tcPr>
                <w:p w14:paraId="56D6F38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T</w:t>
                  </w:r>
                </w:p>
              </w:tc>
              <w:tc>
                <w:tcPr>
                  <w:tcW w:w="392" w:type="pct"/>
                  <w:vMerge w:val="continue"/>
                  <w:noWrap w:val="0"/>
                  <w:vAlign w:val="center"/>
                </w:tcPr>
                <w:p w14:paraId="35C6DF7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814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53E1E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喷淋废液及沉渣</w:t>
                  </w:r>
                </w:p>
              </w:tc>
              <w:tc>
                <w:tcPr>
                  <w:tcW w:w="510" w:type="pct"/>
                  <w:noWrap w:val="0"/>
                  <w:vAlign w:val="center"/>
                </w:tcPr>
                <w:p w14:paraId="1B5CFD1C">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HW12</w:t>
                  </w:r>
                </w:p>
              </w:tc>
              <w:tc>
                <w:tcPr>
                  <w:tcW w:w="542" w:type="pct"/>
                  <w:noWrap w:val="0"/>
                  <w:vAlign w:val="center"/>
                </w:tcPr>
                <w:p w14:paraId="0FFB74C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900-252-12</w:t>
                  </w:r>
                </w:p>
              </w:tc>
              <w:tc>
                <w:tcPr>
                  <w:tcW w:w="427" w:type="pct"/>
                  <w:shd w:val="clear" w:color="auto" w:fill="auto"/>
                  <w:noWrap w:val="0"/>
                  <w:vAlign w:val="center"/>
                </w:tcPr>
                <w:p w14:paraId="26ADD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p>
              </w:tc>
              <w:tc>
                <w:tcPr>
                  <w:tcW w:w="442" w:type="pct"/>
                  <w:noWrap w:val="0"/>
                  <w:vAlign w:val="center"/>
                </w:tcPr>
                <w:p w14:paraId="4D252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废气处理</w:t>
                  </w:r>
                </w:p>
              </w:tc>
              <w:tc>
                <w:tcPr>
                  <w:tcW w:w="397" w:type="pct"/>
                  <w:noWrap w:val="0"/>
                  <w:vAlign w:val="center"/>
                </w:tcPr>
                <w:p w14:paraId="1474E471">
                  <w:pPr>
                    <w:widowControl/>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固体</w:t>
                  </w:r>
                </w:p>
              </w:tc>
              <w:tc>
                <w:tcPr>
                  <w:tcW w:w="463" w:type="pct"/>
                  <w:noWrap w:val="0"/>
                  <w:vAlign w:val="center"/>
                </w:tcPr>
                <w:p w14:paraId="1D9C2C2C">
                  <w:pPr>
                    <w:widowControl/>
                    <w:spacing w:line="240" w:lineRule="auto"/>
                    <w:jc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83" w:type="pct"/>
                  <w:noWrap w:val="0"/>
                  <w:vAlign w:val="center"/>
                </w:tcPr>
                <w:p w14:paraId="300ED2A4">
                  <w:pPr>
                    <w:widowControl/>
                    <w:spacing w:line="240" w:lineRule="auto"/>
                    <w:jc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35" w:type="pct"/>
                  <w:noWrap w:val="0"/>
                  <w:vAlign w:val="center"/>
                </w:tcPr>
                <w:p w14:paraId="6F82A71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4F650726">
                  <w:pPr>
                    <w:widowControl/>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T</w:t>
                  </w:r>
                </w:p>
              </w:tc>
              <w:tc>
                <w:tcPr>
                  <w:tcW w:w="392" w:type="pct"/>
                  <w:vMerge w:val="continue"/>
                  <w:noWrap w:val="0"/>
                  <w:vAlign w:val="center"/>
                </w:tcPr>
                <w:p w14:paraId="7AE7AD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bl>
          <w:p w14:paraId="0C7E1541">
            <w:pPr>
              <w:pStyle w:val="43"/>
              <w:spacing w:after="0" w:line="120" w:lineRule="auto"/>
              <w:ind w:firstLine="482"/>
              <w:rPr>
                <w:rFonts w:hint="default" w:ascii="Times New Roman" w:hAnsi="Times New Roman" w:eastAsia="宋体" w:cs="Times New Roman"/>
                <w:b/>
                <w:color w:val="auto"/>
                <w:szCs w:val="21"/>
                <w:highlight w:val="none"/>
              </w:rPr>
            </w:pPr>
          </w:p>
          <w:p w14:paraId="255D5E53">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（1）生活垃圾</w:t>
            </w:r>
          </w:p>
          <w:p w14:paraId="072F153D">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①</w:t>
            </w:r>
            <w:r>
              <w:rPr>
                <w:rFonts w:hint="default" w:ascii="Times New Roman" w:hAnsi="Times New Roman" w:cs="Times New Roman"/>
                <w:color w:val="auto"/>
                <w:sz w:val="24"/>
                <w:szCs w:val="24"/>
                <w:highlight w:val="none"/>
              </w:rPr>
              <w:t>本项目劳动定员</w:t>
            </w:r>
            <w:r>
              <w:rPr>
                <w:rFonts w:hint="default" w:ascii="Times New Roman" w:hAnsi="Times New Roman" w:cs="Times New Roman"/>
                <w:color w:val="auto"/>
                <w:sz w:val="24"/>
                <w:szCs w:val="24"/>
                <w:highlight w:val="none"/>
                <w:lang w:val="en-US" w:eastAsia="zh-CN"/>
              </w:rPr>
              <w:t>160</w:t>
            </w:r>
            <w:r>
              <w:rPr>
                <w:rFonts w:hint="default" w:ascii="Times New Roman" w:hAnsi="Times New Roman" w:cs="Times New Roman"/>
                <w:color w:val="auto"/>
                <w:sz w:val="24"/>
                <w:szCs w:val="24"/>
                <w:highlight w:val="none"/>
              </w:rPr>
              <w:t>人，</w:t>
            </w:r>
            <w:r>
              <w:rPr>
                <w:rFonts w:hint="default" w:ascii="Times New Roman" w:hAnsi="Times New Roman" w:cs="Times New Roman"/>
                <w:color w:val="auto"/>
                <w:sz w:val="24"/>
                <w:szCs w:val="24"/>
                <w:highlight w:val="none"/>
                <w:lang w:val="en-US" w:eastAsia="zh-CN"/>
              </w:rPr>
              <w:t>其中140人</w:t>
            </w:r>
            <w:r>
              <w:rPr>
                <w:rFonts w:hint="default" w:ascii="Times New Roman" w:hAnsi="Times New Roman" w:cs="Times New Roman"/>
                <w:color w:val="auto"/>
                <w:sz w:val="24"/>
                <w:szCs w:val="24"/>
                <w:highlight w:val="none"/>
              </w:rPr>
              <w:t>在厂内</w:t>
            </w:r>
            <w:r>
              <w:rPr>
                <w:rFonts w:hint="default" w:ascii="Times New Roman" w:hAnsi="Times New Roman" w:cs="Times New Roman"/>
                <w:color w:val="auto"/>
                <w:sz w:val="24"/>
                <w:szCs w:val="24"/>
                <w:highlight w:val="none"/>
                <w:lang w:val="en-US" w:eastAsia="zh-CN"/>
              </w:rPr>
              <w:t>食宿</w:t>
            </w:r>
            <w:r>
              <w:rPr>
                <w:rFonts w:hint="default" w:ascii="Times New Roman" w:hAnsi="Times New Roman" w:cs="Times New Roman"/>
                <w:color w:val="auto"/>
                <w:sz w:val="24"/>
                <w:szCs w:val="24"/>
                <w:highlight w:val="none"/>
              </w:rPr>
              <w:t>，年工作</w:t>
            </w:r>
            <w:r>
              <w:rPr>
                <w:rFonts w:hint="default" w:ascii="Times New Roman" w:hAnsi="Times New Roman" w:cs="Times New Roman"/>
                <w:color w:val="auto"/>
                <w:sz w:val="24"/>
                <w:szCs w:val="24"/>
                <w:highlight w:val="none"/>
                <w:lang w:val="en-US" w:eastAsia="zh-CN"/>
              </w:rPr>
              <w:t>241</w:t>
            </w:r>
            <w:r>
              <w:rPr>
                <w:rFonts w:hint="default" w:ascii="Times New Roman" w:hAnsi="Times New Roman" w:cs="Times New Roman"/>
                <w:color w:val="auto"/>
                <w:sz w:val="24"/>
                <w:szCs w:val="24"/>
                <w:highlight w:val="none"/>
              </w:rPr>
              <w:t>天，</w:t>
            </w:r>
            <w:r>
              <w:rPr>
                <w:rFonts w:hint="default" w:ascii="Times New Roman" w:hAnsi="Times New Roman" w:cs="Times New Roman"/>
                <w:color w:val="auto"/>
                <w:sz w:val="24"/>
                <w:szCs w:val="24"/>
                <w:highlight w:val="none"/>
                <w:lang w:val="en-US" w:eastAsia="zh-CN"/>
              </w:rPr>
              <w:t>住宿</w:t>
            </w:r>
            <w:r>
              <w:rPr>
                <w:rFonts w:hint="default" w:ascii="Times New Roman" w:hAnsi="Times New Roman" w:cs="Times New Roman"/>
                <w:color w:val="auto"/>
                <w:sz w:val="24"/>
                <w:szCs w:val="24"/>
                <w:highlight w:val="none"/>
              </w:rPr>
              <w:t>按每人每天生活垃圾产生量为</w:t>
            </w: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kg，</w:t>
            </w:r>
            <w:r>
              <w:rPr>
                <w:rFonts w:hint="default" w:ascii="Times New Roman" w:hAnsi="Times New Roman" w:cs="Times New Roman"/>
                <w:color w:val="auto"/>
                <w:sz w:val="24"/>
                <w:szCs w:val="24"/>
                <w:highlight w:val="none"/>
                <w:lang w:val="en-US" w:eastAsia="zh-CN"/>
              </w:rPr>
              <w:t>不住宿</w:t>
            </w:r>
            <w:r>
              <w:rPr>
                <w:rFonts w:hint="default" w:ascii="Times New Roman" w:hAnsi="Times New Roman" w:cs="Times New Roman"/>
                <w:color w:val="auto"/>
                <w:sz w:val="24"/>
                <w:szCs w:val="24"/>
                <w:highlight w:val="none"/>
              </w:rPr>
              <w:t>按每人每天生活垃圾产生量为0.5kg，生活垃圾产生量为</w:t>
            </w:r>
            <w:r>
              <w:rPr>
                <w:rFonts w:hint="default" w:ascii="Times New Roman" w:hAnsi="Times New Roman" w:cs="Times New Roman"/>
                <w:color w:val="auto"/>
                <w:sz w:val="24"/>
                <w:szCs w:val="24"/>
                <w:highlight w:val="none"/>
                <w:lang w:val="en-US" w:eastAsia="zh-CN"/>
              </w:rPr>
              <w:t>36.15</w:t>
            </w:r>
            <w:r>
              <w:rPr>
                <w:rFonts w:hint="default" w:ascii="Times New Roman" w:hAnsi="Times New Roman" w:cs="Times New Roman"/>
                <w:color w:val="auto"/>
                <w:sz w:val="24"/>
                <w:szCs w:val="24"/>
                <w:highlight w:val="none"/>
              </w:rPr>
              <w:t>t/a。</w:t>
            </w:r>
          </w:p>
          <w:p w14:paraId="57BABF4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4"/>
                <w:sz w:val="24"/>
                <w:szCs w:val="24"/>
                <w:highlight w:val="none"/>
                <w:lang w:eastAsia="zh-CN"/>
              </w:rPr>
              <w:t>生活垃圾</w:t>
            </w:r>
            <w:r>
              <w:rPr>
                <w:rFonts w:hint="default" w:ascii="Times New Roman" w:hAnsi="Times New Roman" w:eastAsia="宋体" w:cs="Times New Roman"/>
                <w:color w:val="auto"/>
                <w:kern w:val="24"/>
                <w:sz w:val="24"/>
                <w:szCs w:val="24"/>
                <w:highlight w:val="none"/>
              </w:rPr>
              <w:t>属于《固体废物分类与代码</w:t>
            </w:r>
            <w:r>
              <w:rPr>
                <w:rFonts w:hint="eastAsia" w:cs="Times New Roman"/>
                <w:color w:val="auto"/>
                <w:kern w:val="24"/>
                <w:sz w:val="24"/>
                <w:szCs w:val="24"/>
                <w:highlight w:val="none"/>
                <w:lang w:val="en-US" w:eastAsia="zh-CN"/>
              </w:rPr>
              <w:t>目</w:t>
            </w:r>
            <w:r>
              <w:rPr>
                <w:rFonts w:hint="default" w:ascii="Times New Roman" w:hAnsi="Times New Roman" w:eastAsia="宋体" w:cs="Times New Roman"/>
                <w:color w:val="auto"/>
                <w:kern w:val="24"/>
                <w:sz w:val="24"/>
                <w:szCs w:val="24"/>
                <w:highlight w:val="none"/>
              </w:rPr>
              <w:t>录》（公告2024年第4号）</w:t>
            </w:r>
            <w:r>
              <w:rPr>
                <w:rFonts w:hint="default" w:ascii="Times New Roman" w:hAnsi="Times New Roman" w:eastAsia="宋体" w:cs="Times New Roman"/>
                <w:color w:val="auto"/>
                <w:kern w:val="24"/>
                <w:sz w:val="24"/>
                <w:szCs w:val="24"/>
                <w:highlight w:val="none"/>
                <w:lang w:eastAsia="zh-CN"/>
              </w:rPr>
              <w:t>中“SW64其他垃圾”，代码900-099-S64，</w:t>
            </w:r>
            <w:r>
              <w:rPr>
                <w:rFonts w:hint="default" w:ascii="Times New Roman" w:hAnsi="Times New Roman" w:eastAsia="宋体" w:cs="Times New Roman"/>
                <w:color w:val="auto"/>
                <w:kern w:val="24"/>
                <w:sz w:val="24"/>
                <w:szCs w:val="24"/>
                <w:highlight w:val="none"/>
              </w:rPr>
              <w:t>生活垃圾主要成分是废纸张、瓜果皮核、饮料包装瓶和塑料包装纸等，统一收集后交由环卫部门定期清运处理</w:t>
            </w:r>
            <w:r>
              <w:rPr>
                <w:rFonts w:hint="default" w:ascii="Times New Roman" w:hAnsi="Times New Roman" w:cs="Times New Roman"/>
                <w:color w:val="auto"/>
                <w:sz w:val="24"/>
                <w:szCs w:val="24"/>
                <w:highlight w:val="none"/>
                <w:lang w:val="en-US" w:eastAsia="zh-CN"/>
              </w:rPr>
              <w:t>。</w:t>
            </w:r>
          </w:p>
          <w:p w14:paraId="05DF21BC">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4"/>
                <w:sz w:val="24"/>
                <w:szCs w:val="24"/>
                <w:highlight w:val="none"/>
                <w:lang w:val="en-US" w:eastAsia="zh-CN"/>
              </w:rPr>
            </w:pPr>
            <w:r>
              <w:rPr>
                <w:rFonts w:hint="eastAsia" w:ascii="Times New Roman" w:hAnsi="Times New Roman" w:eastAsia="宋体" w:cs="Times New Roman"/>
                <w:color w:val="auto"/>
                <w:kern w:val="24"/>
                <w:sz w:val="24"/>
                <w:szCs w:val="24"/>
                <w:highlight w:val="none"/>
                <w:lang w:val="en-US" w:eastAsia="zh-CN"/>
              </w:rPr>
              <w:t>②废油脂</w:t>
            </w:r>
          </w:p>
          <w:p w14:paraId="423179A9">
            <w:pPr>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kern w:val="24"/>
                <w:sz w:val="24"/>
                <w:szCs w:val="24"/>
                <w:highlight w:val="none"/>
                <w:lang w:val="en-US" w:eastAsia="zh-CN"/>
              </w:rPr>
            </w:pPr>
            <w:r>
              <w:rPr>
                <w:rFonts w:hint="eastAsia" w:ascii="Times New Roman" w:hAnsi="Times New Roman" w:eastAsia="宋体" w:cs="Times New Roman"/>
                <w:color w:val="auto"/>
                <w:kern w:val="24"/>
                <w:sz w:val="24"/>
                <w:szCs w:val="24"/>
                <w:highlight w:val="none"/>
                <w:lang w:eastAsia="zh-CN"/>
              </w:rPr>
              <w:t>废油脂来源于隔油隔渣池和静电除油烟净化器，根据前文工程分析，隔油隔渣池废油脂产生量按动植物油削减量核算（</w:t>
            </w:r>
            <w:r>
              <w:rPr>
                <w:rFonts w:hint="eastAsia" w:ascii="Times New Roman" w:hAnsi="Times New Roman" w:eastAsia="宋体" w:cs="Times New Roman"/>
                <w:color w:val="auto"/>
                <w:kern w:val="24"/>
                <w:sz w:val="24"/>
                <w:szCs w:val="24"/>
                <w:highlight w:val="none"/>
                <w:lang w:val="en-US" w:eastAsia="zh-CN"/>
              </w:rPr>
              <w:t>0.166</w:t>
            </w:r>
            <w:r>
              <w:rPr>
                <w:rFonts w:hint="eastAsia" w:ascii="Times New Roman" w:hAnsi="Times New Roman" w:eastAsia="宋体" w:cs="Times New Roman"/>
                <w:color w:val="auto"/>
                <w:kern w:val="24"/>
                <w:sz w:val="24"/>
                <w:szCs w:val="24"/>
                <w:highlight w:val="none"/>
                <w:lang w:eastAsia="zh-CN"/>
              </w:rPr>
              <w:t>t/a），即本项目废油脂产生量约为</w:t>
            </w:r>
            <w:r>
              <w:rPr>
                <w:rFonts w:hint="eastAsia" w:ascii="Times New Roman" w:hAnsi="Times New Roman" w:eastAsia="宋体" w:cs="Times New Roman"/>
                <w:color w:val="auto"/>
                <w:kern w:val="24"/>
                <w:sz w:val="24"/>
                <w:szCs w:val="24"/>
                <w:highlight w:val="none"/>
                <w:lang w:val="en-US" w:eastAsia="zh-CN"/>
              </w:rPr>
              <w:t>0.166</w:t>
            </w:r>
            <w:r>
              <w:rPr>
                <w:rFonts w:hint="eastAsia" w:ascii="Times New Roman" w:hAnsi="Times New Roman" w:eastAsia="宋体" w:cs="Times New Roman"/>
                <w:color w:val="auto"/>
                <w:kern w:val="24"/>
                <w:sz w:val="24"/>
                <w:szCs w:val="24"/>
                <w:highlight w:val="none"/>
                <w:lang w:eastAsia="zh-CN"/>
              </w:rPr>
              <w:t>t/a。食堂餐厨垃圾及废油脂经收集后，交专业单位进行回收处置。</w:t>
            </w:r>
            <w:r>
              <w:rPr>
                <w:rFonts w:hint="default" w:ascii="Times New Roman" w:hAnsi="Times New Roman" w:eastAsia="宋体" w:cs="Times New Roman"/>
                <w:color w:val="auto"/>
                <w:kern w:val="24"/>
                <w:sz w:val="24"/>
                <w:szCs w:val="24"/>
                <w:highlight w:val="none"/>
                <w:lang w:val="en-US" w:eastAsia="zh-CN"/>
              </w:rPr>
              <w:t>根据《固体废物分类与代码目录》（生态环境部公告2024年第4号），其属于SW61厨余垃圾（900-002-S61餐厨垃圾）</w:t>
            </w:r>
            <w:r>
              <w:rPr>
                <w:rFonts w:hint="eastAsia" w:ascii="Times New Roman" w:hAnsi="Times New Roman" w:eastAsia="宋体" w:cs="Times New Roman"/>
                <w:color w:val="auto"/>
                <w:kern w:val="24"/>
                <w:sz w:val="24"/>
                <w:szCs w:val="24"/>
                <w:highlight w:val="none"/>
                <w:lang w:val="en-US" w:eastAsia="zh-CN"/>
              </w:rPr>
              <w:t>。</w:t>
            </w:r>
          </w:p>
          <w:p w14:paraId="177DCB8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（2）一般工业固体废物</w:t>
            </w:r>
          </w:p>
          <w:p w14:paraId="1127183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①边角料</w:t>
            </w:r>
          </w:p>
          <w:p w14:paraId="1BE75F2A">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本项目机加工过程会产生少量边角料，</w:t>
            </w:r>
            <w:r>
              <w:rPr>
                <w:rFonts w:hint="default" w:ascii="Times New Roman" w:hAnsi="Times New Roman" w:cs="Times New Roman"/>
                <w:color w:val="auto"/>
                <w:sz w:val="24"/>
                <w:szCs w:val="24"/>
                <w:highlight w:val="none"/>
                <w:lang w:val="en-US" w:eastAsia="zh-CN"/>
              </w:rPr>
              <w:t>边角料产生量约为铝卷使用量的0.5%，铝卷使用量为8</w:t>
            </w:r>
            <w:r>
              <w:rPr>
                <w:rFonts w:hint="eastAsia" w:ascii="Times New Roman" w:cs="Times New Roman"/>
                <w:color w:val="auto"/>
                <w:sz w:val="24"/>
                <w:szCs w:val="24"/>
                <w:highlight w:val="none"/>
                <w:lang w:val="en-US" w:eastAsia="zh-CN"/>
              </w:rPr>
              <w:t>91</w:t>
            </w:r>
            <w:r>
              <w:rPr>
                <w:rFonts w:hint="default" w:ascii="Times New Roman" w:hAnsi="Times New Roman" w:cs="Times New Roman"/>
                <w:color w:val="auto"/>
                <w:sz w:val="24"/>
                <w:szCs w:val="24"/>
                <w:highlight w:val="none"/>
                <w:lang w:val="en-US" w:eastAsia="zh-CN"/>
              </w:rPr>
              <w:t>0t/a，则边角料</w:t>
            </w:r>
            <w:r>
              <w:rPr>
                <w:rFonts w:hint="default" w:ascii="Times New Roman" w:hAnsi="Times New Roman" w:cs="Times New Roman"/>
                <w:color w:val="auto"/>
                <w:sz w:val="24"/>
                <w:szCs w:val="24"/>
                <w:highlight w:val="none"/>
              </w:rPr>
              <w:t>产生量为</w:t>
            </w:r>
            <w:r>
              <w:rPr>
                <w:rFonts w:hint="eastAsia" w:ascii="Times New Roman" w:cs="Times New Roman"/>
                <w:color w:val="auto"/>
                <w:sz w:val="24"/>
                <w:szCs w:val="24"/>
                <w:highlight w:val="none"/>
                <w:lang w:val="en-US" w:eastAsia="zh-CN"/>
              </w:rPr>
              <w:t>44.55</w:t>
            </w:r>
            <w:r>
              <w:rPr>
                <w:rFonts w:hint="default" w:ascii="Times New Roman" w:hAnsi="Times New Roman" w:cs="Times New Roman"/>
                <w:color w:val="auto"/>
                <w:sz w:val="24"/>
                <w:szCs w:val="24"/>
                <w:highlight w:val="none"/>
              </w:rPr>
              <w:t>t/a，属于一般工业固体废物，</w:t>
            </w:r>
            <w:r>
              <w:rPr>
                <w:rFonts w:hint="default" w:ascii="Times New Roman" w:hAnsi="Times New Roman" w:cs="Times New Roman"/>
                <w:color w:val="auto"/>
                <w:sz w:val="24"/>
                <w:szCs w:val="24"/>
                <w:highlight w:val="none"/>
                <w:lang w:val="en-US" w:eastAsia="zh-CN"/>
              </w:rPr>
              <w:t>为《固体废物分类与代码目录》（生态环境部公告2024年第4号）中的“SW17可再生类废物”</w:t>
            </w:r>
            <w:r>
              <w:rPr>
                <w:rFonts w:hint="default" w:ascii="Times New Roman" w:hAnsi="Times New Roman" w:cs="Times New Roman"/>
                <w:color w:val="auto"/>
                <w:sz w:val="24"/>
                <w:szCs w:val="24"/>
                <w:highlight w:val="none"/>
              </w:rPr>
              <w:t>，代码为900-0</w:t>
            </w:r>
            <w:r>
              <w:rPr>
                <w:rFonts w:hint="default" w:ascii="Times New Roman" w:hAnsi="Times New Roman" w:cs="Times New Roman"/>
                <w:color w:val="auto"/>
                <w:sz w:val="24"/>
                <w:szCs w:val="24"/>
                <w:highlight w:val="none"/>
                <w:lang w:val="en-US" w:eastAsia="zh-CN"/>
              </w:rPr>
              <w:t>02</w:t>
            </w:r>
            <w:r>
              <w:rPr>
                <w:rFonts w:hint="default" w:ascii="Times New Roman" w:hAnsi="Times New Roman" w:cs="Times New Roman"/>
                <w:color w:val="auto"/>
                <w:sz w:val="24"/>
                <w:szCs w:val="24"/>
                <w:highlight w:val="none"/>
              </w:rPr>
              <w:t>-S17</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lang w:val="en-US" w:eastAsia="zh-CN"/>
              </w:rPr>
              <w:t>有色金属</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highlight w:val="none"/>
                <w:lang w:val="en-US" w:eastAsia="zh-CN"/>
              </w:rPr>
              <w:t>考虑到焊接</w:t>
            </w:r>
            <w:r>
              <w:rPr>
                <w:rFonts w:hint="eastAsia" w:ascii="Times New Roman" w:hAnsi="Times New Roman" w:cs="Times New Roman"/>
                <w:color w:val="auto"/>
                <w:highlight w:val="none"/>
                <w:lang w:val="en-US" w:eastAsia="zh-CN"/>
              </w:rPr>
              <w:t>过程</w:t>
            </w:r>
            <w:r>
              <w:rPr>
                <w:rFonts w:hint="default" w:ascii="Times New Roman" w:hAnsi="Times New Roman" w:cs="Times New Roman"/>
                <w:color w:val="auto"/>
                <w:highlight w:val="none"/>
                <w:lang w:val="en-US" w:eastAsia="zh-CN"/>
              </w:rPr>
              <w:t>会产生焊渣，</w:t>
            </w:r>
            <w:r>
              <w:rPr>
                <w:rFonts w:hint="default" w:ascii="Times New Roman" w:hAnsi="Times New Roman" w:cs="Times New Roman"/>
                <w:color w:val="auto"/>
                <w:highlight w:val="none"/>
              </w:rPr>
              <w:t>焊渣约占焊材用量5%</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项目年用焊丝</w:t>
            </w:r>
            <w:r>
              <w:rPr>
                <w:rFonts w:hint="eastAsia" w:ascii="Times New Roman" w:cs="Times New Roman"/>
                <w:color w:val="auto"/>
                <w:highlight w:val="none"/>
                <w:lang w:val="en-US" w:eastAsia="zh-CN"/>
              </w:rPr>
              <w:t>18.563</w:t>
            </w:r>
            <w:r>
              <w:rPr>
                <w:rFonts w:hint="eastAsia" w:ascii="Times New Roman" w:hAnsi="Times New Roman" w:cs="Times New Roman"/>
                <w:color w:val="auto"/>
                <w:highlight w:val="none"/>
                <w:lang w:val="en-US" w:eastAsia="zh-CN"/>
              </w:rPr>
              <w:t>吨，</w:t>
            </w:r>
            <w:r>
              <w:rPr>
                <w:rFonts w:hint="default" w:ascii="Times New Roman" w:hAnsi="Times New Roman" w:cs="Times New Roman"/>
                <w:color w:val="auto"/>
                <w:highlight w:val="none"/>
                <w:lang w:val="en-US" w:eastAsia="zh-CN"/>
              </w:rPr>
              <w:t>计</w:t>
            </w:r>
            <w:r>
              <w:rPr>
                <w:rFonts w:hint="eastAsia" w:ascii="Times New Roman" w:hAnsi="Times New Roman" w:cs="Times New Roman"/>
                <w:color w:val="auto"/>
                <w:highlight w:val="none"/>
                <w:lang w:val="en-US" w:eastAsia="zh-CN"/>
              </w:rPr>
              <w:t>得</w:t>
            </w:r>
            <w:r>
              <w:rPr>
                <w:rFonts w:hint="default" w:ascii="Times New Roman" w:hAnsi="Times New Roman" w:cs="Times New Roman"/>
                <w:color w:val="auto"/>
                <w:highlight w:val="none"/>
                <w:lang w:val="en-US" w:eastAsia="zh-CN"/>
              </w:rPr>
              <w:t>焊渣产生量为0.</w:t>
            </w:r>
            <w:r>
              <w:rPr>
                <w:rFonts w:hint="eastAsia" w:ascii="Times New Roman" w:cs="Times New Roman"/>
                <w:color w:val="auto"/>
                <w:highlight w:val="none"/>
                <w:lang w:val="en-US" w:eastAsia="zh-CN"/>
              </w:rPr>
              <w:t>928</w:t>
            </w:r>
            <w:r>
              <w:rPr>
                <w:rFonts w:hint="default" w:ascii="Times New Roman" w:hAnsi="Times New Roman" w:cs="Times New Roman"/>
                <w:color w:val="auto"/>
                <w:highlight w:val="none"/>
                <w:lang w:val="en-US" w:eastAsia="zh-CN"/>
              </w:rPr>
              <w:t>t/a，本项目将焊渣按作</w:t>
            </w:r>
            <w:r>
              <w:rPr>
                <w:rFonts w:hint="default" w:ascii="Times New Roman" w:hAnsi="Times New Roman" w:cs="Times New Roman"/>
                <w:color w:val="auto"/>
                <w:highlight w:val="none"/>
              </w:rPr>
              <w:t>边角料</w:t>
            </w:r>
            <w:r>
              <w:rPr>
                <w:rFonts w:hint="default" w:ascii="Times New Roman" w:hAnsi="Times New Roman" w:cs="Times New Roman"/>
                <w:color w:val="auto"/>
                <w:highlight w:val="none"/>
                <w:lang w:val="en-US" w:eastAsia="zh-CN"/>
              </w:rPr>
              <w:t>处理，计算得本项目边角料产生量为</w:t>
            </w:r>
            <w:r>
              <w:rPr>
                <w:rFonts w:hint="eastAsia" w:ascii="Times New Roman" w:cs="Times New Roman"/>
                <w:color w:val="auto"/>
                <w:highlight w:val="none"/>
                <w:lang w:val="en-US" w:eastAsia="zh-CN"/>
              </w:rPr>
              <w:t>45.478t</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sz w:val="24"/>
                <w:szCs w:val="24"/>
                <w:highlight w:val="none"/>
                <w:lang w:val="en-US" w:eastAsia="zh-CN"/>
              </w:rPr>
              <w:t>边角料</w:t>
            </w:r>
            <w:r>
              <w:rPr>
                <w:rFonts w:hint="default" w:ascii="Times New Roman" w:hAnsi="Times New Roman" w:cs="Times New Roman"/>
                <w:color w:val="auto"/>
                <w:sz w:val="24"/>
                <w:szCs w:val="24"/>
                <w:highlight w:val="none"/>
              </w:rPr>
              <w:t>统一收集后外售至资源回收利用单位。</w:t>
            </w:r>
          </w:p>
          <w:p w14:paraId="1951B308">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color w:val="auto"/>
                <w:kern w:val="24"/>
                <w:sz w:val="24"/>
                <w:szCs w:val="24"/>
                <w:highlight w:val="none"/>
              </w:rPr>
              <w:t>②</w:t>
            </w:r>
            <w:r>
              <w:rPr>
                <w:rFonts w:hint="default" w:ascii="Times New Roman" w:hAnsi="Times New Roman" w:cs="Times New Roman"/>
                <w:b/>
                <w:bCs/>
                <w:color w:val="auto"/>
                <w:sz w:val="24"/>
                <w:szCs w:val="24"/>
                <w:highlight w:val="none"/>
              </w:rPr>
              <w:t>包装废料</w:t>
            </w:r>
          </w:p>
          <w:p w14:paraId="61A8EF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24"/>
                <w:sz w:val="24"/>
                <w:szCs w:val="24"/>
                <w:highlight w:val="none"/>
              </w:rPr>
            </w:pPr>
            <w:r>
              <w:rPr>
                <w:rFonts w:hint="default" w:ascii="Times New Roman" w:hAnsi="Times New Roman" w:cs="Times New Roman"/>
                <w:color w:val="auto"/>
                <w:sz w:val="24"/>
                <w:szCs w:val="24"/>
                <w:highlight w:val="none"/>
              </w:rPr>
              <w:t>主要为项目原辅材料的包装材料，主要为纸箱、包装绳、塑料袋等，产生量约为</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t/a，属于一般工业固废，属于</w:t>
            </w:r>
            <w:r>
              <w:rPr>
                <w:rFonts w:hint="default" w:ascii="Times New Roman" w:hAnsi="Times New Roman" w:cs="Times New Roman"/>
                <w:color w:val="auto"/>
                <w:sz w:val="24"/>
                <w:szCs w:val="24"/>
                <w:highlight w:val="none"/>
                <w:lang w:val="en-US" w:eastAsia="zh-CN"/>
              </w:rPr>
              <w:t>《固体废物分类与代码目录》（生态环境部公告2024年第4号）中的“SW17可再生类废物”</w:t>
            </w:r>
            <w:r>
              <w:rPr>
                <w:rFonts w:hint="default" w:ascii="Times New Roman" w:hAnsi="Times New Roman" w:cs="Times New Roman"/>
                <w:color w:val="auto"/>
                <w:sz w:val="24"/>
                <w:szCs w:val="24"/>
                <w:highlight w:val="none"/>
              </w:rPr>
              <w:t>，代码</w:t>
            </w:r>
            <w:r>
              <w:rPr>
                <w:rFonts w:hint="default" w:ascii="Times New Roman" w:hAnsi="Times New Roman" w:cs="Times New Roman"/>
                <w:color w:val="auto"/>
                <w:sz w:val="24"/>
                <w:szCs w:val="24"/>
                <w:highlight w:val="none"/>
                <w:lang w:val="en-US" w:eastAsia="zh-CN"/>
              </w:rPr>
              <w:t>分别</w:t>
            </w:r>
            <w:r>
              <w:rPr>
                <w:rFonts w:hint="default" w:ascii="Times New Roman" w:hAnsi="Times New Roman" w:cs="Times New Roman"/>
                <w:color w:val="auto"/>
                <w:sz w:val="24"/>
                <w:szCs w:val="24"/>
                <w:highlight w:val="none"/>
              </w:rPr>
              <w:t>为</w:t>
            </w:r>
            <w:r>
              <w:rPr>
                <w:rFonts w:hint="default" w:ascii="Times New Roman" w:hAnsi="Times New Roman" w:cs="Times New Roman"/>
                <w:color w:val="auto"/>
                <w:sz w:val="24"/>
                <w:szCs w:val="24"/>
                <w:highlight w:val="none"/>
                <w:lang w:val="en-US" w:eastAsia="zh-CN"/>
              </w:rPr>
              <w:t>900-003-S17</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废塑料</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900-005-S17</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废纸</w:t>
            </w:r>
            <w:r>
              <w:rPr>
                <w:rFonts w:hint="default" w:ascii="Times New Roman" w:hAnsi="Times New Roman" w:cs="Times New Roman"/>
                <w:color w:val="auto"/>
                <w:sz w:val="24"/>
                <w:szCs w:val="24"/>
                <w:highlight w:val="none"/>
              </w:rPr>
              <w:t>），统一收集后外售至资源回收利用单位。</w:t>
            </w:r>
          </w:p>
          <w:p w14:paraId="51D4E8E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③</w:t>
            </w:r>
            <w:r>
              <w:rPr>
                <w:rFonts w:hint="default" w:ascii="Times New Roman" w:hAnsi="Times New Roman" w:cs="Times New Roman"/>
                <w:b/>
                <w:bCs/>
                <w:color w:val="auto"/>
                <w:sz w:val="24"/>
                <w:szCs w:val="24"/>
                <w:highlight w:val="none"/>
                <w:lang w:val="en-US" w:eastAsia="zh-CN"/>
              </w:rPr>
              <w:t>沉降金属粉尘</w:t>
            </w:r>
          </w:p>
          <w:p w14:paraId="19FF3F00">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b w:val="0"/>
                <w:bCs w:val="0"/>
                <w:color w:val="auto"/>
                <w:sz w:val="24"/>
                <w:szCs w:val="24"/>
                <w:highlight w:val="none"/>
                <w:lang w:val="en-US" w:eastAsia="zh-CN"/>
              </w:rPr>
              <w:t>本项目切割、抛光打磨粉尘比重和粒径较大，一般会沉降到工作台周边，根据上文计算，</w:t>
            </w:r>
            <w:r>
              <w:rPr>
                <w:rFonts w:hint="eastAsia" w:ascii="Times New Roman" w:cs="Times New Roman"/>
                <w:b w:val="0"/>
                <w:bCs w:val="0"/>
                <w:color w:val="auto"/>
                <w:sz w:val="24"/>
                <w:szCs w:val="24"/>
                <w:highlight w:val="none"/>
                <w:lang w:val="en-US" w:eastAsia="zh-CN"/>
              </w:rPr>
              <w:t>切割粉尘沉降量9.31t/a，</w:t>
            </w:r>
            <w:r>
              <w:rPr>
                <w:rFonts w:hint="default" w:ascii="Times New Roman" w:hAnsi="Times New Roman" w:cs="Times New Roman"/>
                <w:b w:val="0"/>
                <w:bCs w:val="0"/>
                <w:color w:val="auto"/>
                <w:sz w:val="24"/>
                <w:szCs w:val="24"/>
                <w:highlight w:val="none"/>
                <w:lang w:val="en-US" w:eastAsia="zh-CN"/>
              </w:rPr>
              <w:t>金属粉尘</w:t>
            </w:r>
            <w:r>
              <w:rPr>
                <w:rFonts w:hint="eastAsia" w:ascii="Times New Roman" w:cs="Times New Roman"/>
                <w:b w:val="0"/>
                <w:bCs w:val="0"/>
                <w:color w:val="auto"/>
                <w:sz w:val="24"/>
                <w:szCs w:val="24"/>
                <w:highlight w:val="none"/>
                <w:lang w:val="en-US" w:eastAsia="zh-CN"/>
              </w:rPr>
              <w:t>沉降</w:t>
            </w:r>
            <w:r>
              <w:rPr>
                <w:rFonts w:hint="default" w:ascii="Times New Roman" w:hAnsi="Times New Roman" w:cs="Times New Roman"/>
                <w:b w:val="0"/>
                <w:bCs w:val="0"/>
                <w:color w:val="auto"/>
                <w:sz w:val="24"/>
                <w:szCs w:val="24"/>
                <w:highlight w:val="none"/>
                <w:lang w:val="en-US" w:eastAsia="zh-CN"/>
              </w:rPr>
              <w:t>量为</w:t>
            </w:r>
            <w:r>
              <w:rPr>
                <w:rFonts w:hint="eastAsia" w:ascii="Times New Roman" w:cs="Times New Roman"/>
                <w:b w:val="0"/>
                <w:bCs w:val="0"/>
                <w:color w:val="auto"/>
                <w:sz w:val="24"/>
                <w:szCs w:val="24"/>
                <w:highlight w:val="none"/>
                <w:lang w:val="en-US" w:eastAsia="zh-CN"/>
              </w:rPr>
              <w:t>1.87</w:t>
            </w:r>
            <w:r>
              <w:rPr>
                <w:rFonts w:hint="default" w:ascii="Times New Roman" w:hAnsi="Times New Roman" w:cs="Times New Roman"/>
                <w:b w:val="0"/>
                <w:bCs w:val="0"/>
                <w:color w:val="auto"/>
                <w:sz w:val="24"/>
                <w:szCs w:val="24"/>
                <w:highlight w:val="none"/>
                <w:lang w:val="en-US" w:eastAsia="zh-CN"/>
              </w:rPr>
              <w:t>t/a，合计为</w:t>
            </w:r>
            <w:r>
              <w:rPr>
                <w:rFonts w:hint="eastAsia" w:ascii="Times New Roman" w:cs="Times New Roman"/>
                <w:b w:val="0"/>
                <w:bCs w:val="0"/>
                <w:color w:val="auto"/>
                <w:sz w:val="24"/>
                <w:szCs w:val="24"/>
                <w:highlight w:val="none"/>
                <w:lang w:val="en-US" w:eastAsia="zh-CN"/>
              </w:rPr>
              <w:t>11.18</w:t>
            </w:r>
            <w:r>
              <w:rPr>
                <w:rFonts w:hint="default" w:ascii="Times New Roman" w:hAnsi="Times New Roman" w:cs="Times New Roman"/>
                <w:b w:val="0"/>
                <w:bCs w:val="0"/>
                <w:color w:val="auto"/>
                <w:sz w:val="24"/>
                <w:szCs w:val="24"/>
                <w:highlight w:val="none"/>
                <w:lang w:val="en-US" w:eastAsia="zh-CN"/>
              </w:rPr>
              <w:t>t/a，</w:t>
            </w:r>
            <w:r>
              <w:rPr>
                <w:rFonts w:hint="default" w:ascii="Times New Roman" w:hAnsi="Times New Roman" w:cs="Times New Roman"/>
                <w:b w:val="0"/>
                <w:bCs w:val="0"/>
                <w:color w:val="auto"/>
                <w:sz w:val="24"/>
                <w:szCs w:val="24"/>
                <w:highlight w:val="none"/>
              </w:rPr>
              <w:t>属</w:t>
            </w:r>
            <w:r>
              <w:rPr>
                <w:rFonts w:hint="default" w:ascii="Times New Roman" w:hAnsi="Times New Roman" w:cs="Times New Roman"/>
                <w:color w:val="auto"/>
                <w:sz w:val="24"/>
                <w:szCs w:val="24"/>
                <w:highlight w:val="none"/>
              </w:rPr>
              <w:t>于一般固废，</w:t>
            </w:r>
            <w:r>
              <w:rPr>
                <w:rFonts w:hint="default" w:ascii="Times New Roman" w:hAnsi="Times New Roman" w:cs="Times New Roman"/>
                <w:color w:val="auto"/>
                <w:sz w:val="24"/>
                <w:szCs w:val="24"/>
                <w:highlight w:val="none"/>
                <w:lang w:val="en-US" w:eastAsia="zh-CN"/>
              </w:rPr>
              <w:t>为《固体废物分类与代码目录》（生态环境部公告2024年第4号）中的“SW17可再生类废物”</w:t>
            </w:r>
            <w:r>
              <w:rPr>
                <w:rFonts w:hint="default" w:ascii="Times New Roman" w:hAnsi="Times New Roman" w:cs="Times New Roman"/>
                <w:color w:val="auto"/>
                <w:sz w:val="24"/>
                <w:szCs w:val="24"/>
                <w:highlight w:val="none"/>
              </w:rPr>
              <w:t>，代码为900-0</w:t>
            </w:r>
            <w:r>
              <w:rPr>
                <w:rFonts w:hint="default" w:ascii="Times New Roman" w:hAnsi="Times New Roman" w:cs="Times New Roman"/>
                <w:color w:val="auto"/>
                <w:sz w:val="24"/>
                <w:szCs w:val="24"/>
                <w:highlight w:val="none"/>
                <w:lang w:val="en-US" w:eastAsia="zh-CN"/>
              </w:rPr>
              <w:t>02</w:t>
            </w:r>
            <w:r>
              <w:rPr>
                <w:rFonts w:hint="default" w:ascii="Times New Roman" w:hAnsi="Times New Roman" w:cs="Times New Roman"/>
                <w:color w:val="auto"/>
                <w:sz w:val="24"/>
                <w:szCs w:val="24"/>
                <w:highlight w:val="none"/>
              </w:rPr>
              <w:t>-S17</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lang w:val="en-US" w:eastAsia="zh-CN"/>
              </w:rPr>
              <w:t>有色金属</w:t>
            </w:r>
            <w:r>
              <w:rPr>
                <w:rFonts w:hint="default" w:ascii="Times New Roman" w:hAnsi="Times New Roman" w:cs="Times New Roman"/>
                <w:color w:val="auto"/>
                <w:sz w:val="24"/>
                <w:szCs w:val="24"/>
                <w:highlight w:val="none"/>
                <w:lang w:eastAsia="zh-CN"/>
              </w:rPr>
              <w:t>），沉降金属粉尘和除尘器收集粉尘</w:t>
            </w:r>
            <w:r>
              <w:rPr>
                <w:rFonts w:hint="default" w:ascii="Times New Roman" w:hAnsi="Times New Roman" w:cs="Times New Roman"/>
                <w:color w:val="auto"/>
                <w:sz w:val="24"/>
                <w:szCs w:val="24"/>
                <w:highlight w:val="none"/>
              </w:rPr>
              <w:t>统一收集后外售至资源回收利用单位。</w:t>
            </w:r>
          </w:p>
          <w:p w14:paraId="29D0A0A1">
            <w:pPr>
              <w:pStyle w:val="158"/>
              <w:pageBreakBefore w:val="0"/>
              <w:wordWrap w:val="0"/>
              <w:topLinePunct/>
              <w:bidi w:val="0"/>
              <w:snapToGrid/>
              <w:spacing w:beforeAutospacing="0" w:afterAutospacing="0"/>
              <w:ind w:firstLine="482"/>
              <w:rPr>
                <w:b/>
                <w:bCs/>
                <w:color w:val="auto"/>
              </w:rPr>
            </w:pPr>
            <w:bookmarkStart w:id="32" w:name="_Toc724"/>
            <w:r>
              <w:rPr>
                <w:rFonts w:hint="eastAsia"/>
                <w:b/>
                <w:bCs/>
                <w:color w:val="auto"/>
                <w:lang w:val="en-US" w:eastAsia="zh-CN"/>
              </w:rPr>
              <w:t>④</w:t>
            </w:r>
            <w:r>
              <w:rPr>
                <w:b/>
                <w:bCs/>
                <w:color w:val="auto"/>
              </w:rPr>
              <w:t>废滤芯</w:t>
            </w:r>
            <w:bookmarkEnd w:id="32"/>
          </w:p>
          <w:p w14:paraId="2D67FDFC">
            <w:pPr>
              <w:pStyle w:val="2"/>
              <w:keepNext w:val="0"/>
              <w:keepLines w:val="0"/>
              <w:suppressLineNumbers w:val="0"/>
              <w:spacing w:before="0" w:beforeAutospacing="0" w:after="0" w:afterAutospacing="0" w:line="360" w:lineRule="auto"/>
              <w:ind w:left="0" w:right="0" w:firstLine="480" w:firstLineChars="200"/>
              <w:rPr>
                <w:color w:val="auto"/>
              </w:rPr>
            </w:pPr>
            <w:r>
              <w:rPr>
                <w:color w:val="auto"/>
              </w:rPr>
              <w:t>本</w:t>
            </w:r>
            <w:r>
              <w:rPr>
                <w:rFonts w:hint="default" w:ascii="Times New Roman" w:hAnsi="Times New Roman" w:cs="Times New Roman"/>
                <w:color w:val="auto"/>
              </w:rPr>
              <w:t>项目</w:t>
            </w:r>
            <w:r>
              <w:rPr>
                <w:rFonts w:hint="eastAsia" w:ascii="Times New Roman" w:cs="Times New Roman"/>
                <w:color w:val="auto"/>
                <w:lang w:val="en-US" w:eastAsia="zh-CN"/>
              </w:rPr>
              <w:t>切割粉尘采用滤筒除尘器处理、</w:t>
            </w:r>
            <w:r>
              <w:rPr>
                <w:rFonts w:hint="default" w:ascii="Times New Roman" w:hAnsi="Times New Roman" w:cs="Times New Roman"/>
                <w:color w:val="auto"/>
              </w:rPr>
              <w:t>焊接烟尘采用“移动式焊烟净化器”处理，需要定期更换滤芯，故产生废滤芯。其产生量</w:t>
            </w:r>
            <w:r>
              <w:rPr>
                <w:rFonts w:hint="default" w:ascii="Times New Roman" w:hAnsi="Times New Roman" w:cs="Times New Roman"/>
                <w:color w:val="auto"/>
                <w:lang w:val="en-US" w:eastAsia="zh-CN"/>
              </w:rPr>
              <w:t>=</w:t>
            </w:r>
            <w:r>
              <w:rPr>
                <w:rFonts w:hint="default" w:ascii="Times New Roman" w:hAnsi="Times New Roman" w:cs="Times New Roman"/>
                <w:color w:val="auto"/>
              </w:rPr>
              <w:t>滤芯年更换量</w:t>
            </w:r>
            <w:r>
              <w:rPr>
                <w:rFonts w:hint="default" w:ascii="Times New Roman" w:hAnsi="Times New Roman" w:cs="Times New Roman"/>
                <w:color w:val="auto"/>
                <w:lang w:val="en-US" w:eastAsia="zh-CN"/>
              </w:rPr>
              <w:t>=滤芯单个重量×一次更换数量×年更换次数</w:t>
            </w:r>
            <w:r>
              <w:rPr>
                <w:rFonts w:hint="default" w:ascii="Times New Roman" w:hAnsi="Times New Roman" w:cs="Times New Roman"/>
                <w:color w:val="auto"/>
              </w:rPr>
              <w:t>=</w:t>
            </w:r>
            <w:r>
              <w:rPr>
                <w:rFonts w:hint="default" w:ascii="Times New Roman" w:hAnsi="Times New Roman" w:cs="Times New Roman"/>
                <w:color w:val="auto"/>
                <w:lang w:val="en-US" w:eastAsia="zh-CN"/>
              </w:rPr>
              <w:t>5kg×3个×12次/a=</w:t>
            </w:r>
            <w:r>
              <w:rPr>
                <w:rFonts w:hint="eastAsia" w:ascii="Times New Roman" w:cs="Times New Roman"/>
                <w:color w:val="auto"/>
                <w:lang w:val="en-US" w:eastAsia="zh-CN"/>
              </w:rPr>
              <w:t>0.18</w:t>
            </w:r>
            <w:r>
              <w:rPr>
                <w:rFonts w:hint="default" w:ascii="Times New Roman" w:hAnsi="Times New Roman" w:cs="Times New Roman"/>
                <w:color w:val="auto"/>
              </w:rPr>
              <w:t>t/a，属于《固体废物分类与代码名录》（公告 2024年 第4号）中“SW59 其他工业固体废物”，代码为900-099-S59，经统一收集后，外售至资源回收利用单位。</w:t>
            </w:r>
          </w:p>
          <w:p w14:paraId="5EF9FA1B">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（3）危险废物</w:t>
            </w:r>
          </w:p>
          <w:p w14:paraId="64C17939">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危险废物类别根据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进行辨识，分类收集后委托危险废物资质单位处理。</w:t>
            </w:r>
          </w:p>
          <w:p w14:paraId="672DB4F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①废表面处理剂包装桶</w:t>
            </w:r>
          </w:p>
          <w:p w14:paraId="43E332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项目预处理表面处理剂包括</w:t>
            </w:r>
            <w:r>
              <w:rPr>
                <w:rFonts w:hint="eastAsia" w:cs="Times New Roman"/>
                <w:color w:val="auto"/>
                <w:kern w:val="0"/>
                <w:sz w:val="24"/>
                <w:szCs w:val="24"/>
                <w:highlight w:val="none"/>
                <w:lang w:val="en-US" w:eastAsia="zh-CN" w:bidi="ar-SA"/>
              </w:rPr>
              <w:t>除油</w:t>
            </w:r>
            <w:r>
              <w:rPr>
                <w:rFonts w:hint="default" w:ascii="Times New Roman" w:hAnsi="Times New Roman" w:eastAsia="宋体" w:cs="Times New Roman"/>
                <w:color w:val="auto"/>
                <w:kern w:val="0"/>
                <w:sz w:val="24"/>
                <w:szCs w:val="24"/>
                <w:highlight w:val="none"/>
                <w:lang w:val="en-US" w:eastAsia="zh-CN" w:bidi="ar-SA"/>
              </w:rPr>
              <w:t>剂、无铬钝化剂，表面处理剂使用完后会产生废表面处理剂包装桶，合计</w:t>
            </w:r>
            <w:r>
              <w:rPr>
                <w:rFonts w:hint="eastAsia" w:cs="Times New Roman"/>
                <w:color w:val="auto"/>
                <w:kern w:val="0"/>
                <w:sz w:val="24"/>
                <w:szCs w:val="24"/>
                <w:highlight w:val="none"/>
                <w:lang w:val="en-US" w:eastAsia="zh-CN" w:bidi="ar-SA"/>
              </w:rPr>
              <w:t>0.63</w:t>
            </w:r>
            <w:r>
              <w:rPr>
                <w:rFonts w:hint="default" w:ascii="Times New Roman" w:hAnsi="Times New Roman" w:eastAsia="宋体" w:cs="Times New Roman"/>
                <w:color w:val="auto"/>
                <w:kern w:val="0"/>
                <w:sz w:val="24"/>
                <w:szCs w:val="24"/>
                <w:highlight w:val="none"/>
                <w:lang w:val="en-US" w:eastAsia="zh-CN" w:bidi="ar-SA"/>
              </w:rPr>
              <w:t>t/a（</w:t>
            </w:r>
            <w:r>
              <w:rPr>
                <w:rFonts w:hint="eastAsia" w:cs="Times New Roman"/>
                <w:color w:val="auto"/>
                <w:kern w:val="0"/>
                <w:sz w:val="24"/>
                <w:szCs w:val="24"/>
                <w:highlight w:val="none"/>
                <w:lang w:val="en-US" w:eastAsia="zh-CN" w:bidi="ar-SA"/>
              </w:rPr>
              <w:t>约1260</w:t>
            </w:r>
            <w:r>
              <w:rPr>
                <w:rFonts w:hint="default" w:ascii="Times New Roman" w:hAnsi="Times New Roman" w:eastAsia="宋体" w:cs="Times New Roman"/>
                <w:color w:val="auto"/>
                <w:kern w:val="0"/>
                <w:sz w:val="24"/>
                <w:szCs w:val="24"/>
                <w:highlight w:val="none"/>
                <w:lang w:val="en-US" w:eastAsia="zh-CN" w:bidi="ar-SA"/>
              </w:rPr>
              <w:t>个，废空桶平均重0.5kg/个）。属于</w:t>
            </w:r>
            <w:r>
              <w:rPr>
                <w:rFonts w:hint="default" w:ascii="Times New Roman" w:hAnsi="Times New Roman" w:cs="Times New Roman"/>
                <w:color w:val="auto"/>
                <w:kern w:val="0"/>
                <w:sz w:val="24"/>
                <w:szCs w:val="24"/>
                <w:highlight w:val="none"/>
                <w:lang w:val="en-US" w:eastAsia="zh-CN" w:bidi="ar-SA"/>
              </w:rPr>
              <w:t>《国家危险废物名录》（2025年版）</w:t>
            </w:r>
            <w:r>
              <w:rPr>
                <w:rFonts w:hint="default" w:ascii="Times New Roman" w:hAnsi="Times New Roman" w:eastAsia="宋体" w:cs="Times New Roman"/>
                <w:color w:val="auto"/>
                <w:kern w:val="0"/>
                <w:sz w:val="24"/>
                <w:szCs w:val="24"/>
                <w:highlight w:val="none"/>
                <w:lang w:val="en-US" w:eastAsia="zh-CN" w:bidi="ar-SA"/>
              </w:rPr>
              <w:t>中编号为HW49其他废物，废物代码900-041-49。收集后交由有相应危险废物处理资质的单位处理。</w:t>
            </w:r>
          </w:p>
          <w:p w14:paraId="6B59941B">
            <w:pPr>
              <w:pStyle w:val="56"/>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val="0"/>
                <w:color w:val="auto"/>
                <w:sz w:val="24"/>
                <w:szCs w:val="24"/>
                <w:highlight w:val="none"/>
                <w:lang w:eastAsia="zh-CN"/>
              </w:rPr>
            </w:pPr>
            <w:r>
              <w:rPr>
                <w:rFonts w:hint="default" w:ascii="Times New Roman" w:hAnsi="Times New Roman" w:cs="Times New Roman"/>
                <w:b/>
                <w:bCs w:val="0"/>
                <w:color w:val="auto"/>
                <w:sz w:val="24"/>
                <w:szCs w:val="24"/>
                <w:highlight w:val="none"/>
              </w:rPr>
              <w:t>②</w:t>
            </w:r>
            <w:r>
              <w:rPr>
                <w:rFonts w:hint="eastAsia" w:ascii="Times New Roman" w:cs="Times New Roman"/>
                <w:b/>
                <w:bCs w:val="0"/>
                <w:color w:val="auto"/>
                <w:sz w:val="24"/>
                <w:szCs w:val="24"/>
                <w:highlight w:val="none"/>
                <w:lang w:eastAsia="zh-CN"/>
              </w:rPr>
              <w:t>预处理池泥渣及管道循环装置废物</w:t>
            </w:r>
          </w:p>
          <w:p w14:paraId="199DB3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根据企业提供的生产经验和行业相关类比分析，本项目</w:t>
            </w:r>
            <w:r>
              <w:rPr>
                <w:rFonts w:hint="eastAsia" w:cs="Times New Roman"/>
                <w:color w:val="auto"/>
                <w:sz w:val="24"/>
                <w:szCs w:val="24"/>
                <w:highlight w:val="none"/>
                <w:lang w:eastAsia="zh-CN"/>
              </w:rPr>
              <w:t>预处理池泥渣及管道循环装置废物</w:t>
            </w:r>
            <w:r>
              <w:rPr>
                <w:rFonts w:hint="default" w:ascii="Times New Roman" w:hAnsi="Times New Roman" w:cs="Times New Roman"/>
                <w:color w:val="auto"/>
                <w:sz w:val="24"/>
                <w:szCs w:val="24"/>
                <w:highlight w:val="none"/>
              </w:rPr>
              <w:t>预计产生量为</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/a。属于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中编号为HW17表面处理废物，危废代码336-064-17，收集后交由有危废处理资质单位处理。</w:t>
            </w:r>
          </w:p>
          <w:p w14:paraId="6C42C504">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③</w:t>
            </w:r>
            <w:r>
              <w:rPr>
                <w:rFonts w:hint="default" w:ascii="Times New Roman" w:hAnsi="Times New Roman" w:cs="Times New Roman"/>
                <w:b/>
                <w:bCs/>
                <w:color w:val="auto"/>
                <w:sz w:val="24"/>
                <w:szCs w:val="24"/>
                <w:highlight w:val="none"/>
                <w:lang w:val="en-US" w:eastAsia="zh-CN"/>
              </w:rPr>
              <w:t>无铬钝化池废槽液</w:t>
            </w:r>
          </w:p>
          <w:p w14:paraId="0A72354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val="en-US" w:eastAsia="zh-CN"/>
              </w:rPr>
              <w:t>项目无铬钝化池的槽液日常循环使用，使用一定时间需要更换，更换频次为每季度更换一次。根据前文分析，前处理生产线更换出的无铬钝化池废槽液量合计为22.4</w:t>
            </w:r>
            <w:r>
              <w:rPr>
                <w:rFonts w:hint="eastAsia" w:ascii="Times New Roman" w:cs="Times New Roman"/>
                <w:b w:val="0"/>
                <w:bCs w:val="0"/>
                <w:color w:val="auto"/>
                <w:sz w:val="24"/>
                <w:szCs w:val="24"/>
                <w:highlight w:val="none"/>
                <w:lang w:val="en-US" w:eastAsia="zh-CN"/>
              </w:rPr>
              <w:t>×2=44.8t/a</w:t>
            </w:r>
            <w:r>
              <w:rPr>
                <w:rFonts w:hint="default" w:ascii="Times New Roman" w:hAnsi="Times New Roman" w:cs="Times New Roman"/>
                <w:b w:val="0"/>
                <w:bCs w:val="0"/>
                <w:color w:val="auto"/>
                <w:sz w:val="24"/>
                <w:szCs w:val="24"/>
                <w:highlight w:val="none"/>
                <w:lang w:eastAsia="zh-CN"/>
              </w:rPr>
              <w:t>。根据《国家危险废物名录》（202</w:t>
            </w: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eastAsia="zh-CN"/>
              </w:rPr>
              <w:t>年版），</w:t>
            </w:r>
            <w:r>
              <w:rPr>
                <w:rFonts w:hint="default" w:ascii="Times New Roman" w:hAnsi="Times New Roman" w:cs="Times New Roman"/>
                <w:b w:val="0"/>
                <w:bCs w:val="0"/>
                <w:color w:val="auto"/>
                <w:sz w:val="24"/>
                <w:szCs w:val="24"/>
                <w:highlight w:val="none"/>
                <w:lang w:val="en-US" w:eastAsia="zh-CN"/>
              </w:rPr>
              <w:t>无铬钝化池废槽液</w:t>
            </w:r>
            <w:r>
              <w:rPr>
                <w:rFonts w:hint="default" w:ascii="Times New Roman" w:hAnsi="Times New Roman" w:cs="Times New Roman"/>
                <w:b w:val="0"/>
                <w:bCs w:val="0"/>
                <w:color w:val="auto"/>
                <w:sz w:val="24"/>
                <w:szCs w:val="24"/>
                <w:highlight w:val="none"/>
                <w:lang w:eastAsia="zh-CN"/>
              </w:rPr>
              <w:t>属于HW</w:t>
            </w:r>
            <w:r>
              <w:rPr>
                <w:rFonts w:hint="default" w:ascii="Times New Roman" w:hAnsi="Times New Roman" w:cs="Times New Roman"/>
                <w:b w:val="0"/>
                <w:bCs w:val="0"/>
                <w:color w:val="auto"/>
                <w:sz w:val="24"/>
                <w:szCs w:val="24"/>
                <w:highlight w:val="none"/>
                <w:lang w:val="en-US" w:eastAsia="zh-CN"/>
              </w:rPr>
              <w:t>17</w:t>
            </w:r>
            <w:r>
              <w:rPr>
                <w:rFonts w:hint="default" w:ascii="Times New Roman" w:hAnsi="Times New Roman" w:cs="Times New Roman"/>
                <w:b w:val="0"/>
                <w:bCs w:val="0"/>
                <w:color w:val="auto"/>
                <w:sz w:val="24"/>
                <w:szCs w:val="24"/>
                <w:highlight w:val="none"/>
                <w:lang w:eastAsia="zh-CN"/>
              </w:rPr>
              <w:t>表面处理废物，废物代码为336-064-17，经收集后暂存于</w:t>
            </w:r>
            <w:r>
              <w:rPr>
                <w:rFonts w:hint="eastAsia" w:ascii="Times New Roman" w:cs="Times New Roman"/>
                <w:b w:val="0"/>
                <w:bCs w:val="0"/>
                <w:color w:val="auto"/>
                <w:sz w:val="24"/>
                <w:szCs w:val="24"/>
                <w:highlight w:val="none"/>
                <w:lang w:eastAsia="zh-CN"/>
              </w:rPr>
              <w:t>危险废物贮存间</w:t>
            </w:r>
            <w:r>
              <w:rPr>
                <w:rFonts w:hint="default" w:ascii="Times New Roman" w:hAnsi="Times New Roman" w:cs="Times New Roman"/>
                <w:b w:val="0"/>
                <w:bCs w:val="0"/>
                <w:color w:val="auto"/>
                <w:sz w:val="24"/>
                <w:szCs w:val="24"/>
                <w:highlight w:val="none"/>
                <w:lang w:eastAsia="zh-CN"/>
              </w:rPr>
              <w:t>，定期交由有危险废物处理资质单位处理。</w:t>
            </w:r>
          </w:p>
          <w:p w14:paraId="0FCA81C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④</w:t>
            </w:r>
            <w:r>
              <w:rPr>
                <w:rFonts w:hint="default" w:ascii="Times New Roman" w:hAnsi="Times New Roman" w:cs="Times New Roman"/>
                <w:b/>
                <w:bCs/>
                <w:color w:val="auto"/>
                <w:sz w:val="24"/>
                <w:szCs w:val="24"/>
                <w:highlight w:val="none"/>
              </w:rPr>
              <w:t>废水处理站污泥</w:t>
            </w:r>
          </w:p>
          <w:p w14:paraId="00307350">
            <w:pPr>
              <w:pStyle w:val="56"/>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sz w:val="24"/>
                <w:szCs w:val="24"/>
                <w:highlight w:val="none"/>
              </w:rPr>
            </w:pPr>
            <w:r>
              <w:rPr>
                <w:rFonts w:hint="default" w:ascii="Times New Roman" w:hAnsi="Times New Roman" w:eastAsia="宋体" w:cs="Times New Roman"/>
                <w:b w:val="0"/>
                <w:bCs w:val="0"/>
                <w:i w:val="0"/>
                <w:iCs w:val="0"/>
                <w:caps w:val="0"/>
                <w:color w:val="auto"/>
                <w:spacing w:val="0"/>
                <w:sz w:val="24"/>
                <w:szCs w:val="24"/>
                <w:shd w:val="clear" w:fill="FFFFFF"/>
              </w:rPr>
              <w:t>本项目污泥来自化学除氟和混凝沉淀工序</w:t>
            </w:r>
            <w:r>
              <w:rPr>
                <w:rFonts w:hint="default" w:ascii="Times New Roman" w:hAnsi="Times New Roman"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气浮污泥产生量少，忽略不计。</w:t>
            </w:r>
            <w:r>
              <w:rPr>
                <w:rFonts w:hint="default" w:ascii="Times New Roman" w:hAnsi="Times New Roman" w:eastAsia="宋体" w:cs="Times New Roman"/>
                <w:b w:val="0"/>
                <w:bCs w:val="0"/>
                <w:i w:val="0"/>
                <w:iCs w:val="0"/>
                <w:caps w:val="0"/>
                <w:color w:val="auto"/>
                <w:spacing w:val="0"/>
                <w:sz w:val="24"/>
                <w:szCs w:val="24"/>
                <w:shd w:val="clear" w:fill="FFFFFF"/>
              </w:rPr>
              <w:t>经物料衡算，化学除氟干泥产生量按</w:t>
            </w:r>
            <w:r>
              <w:rPr>
                <w:rFonts w:hint="default" w:ascii="Times New Roman" w:hAnsi="Times New Roman" w:eastAsia="宋体" w:cs="Times New Roman"/>
                <w:b w:val="0"/>
                <w:bCs w:val="0"/>
                <w:i/>
                <w:iCs/>
                <w:caps w:val="0"/>
                <w:color w:val="auto"/>
                <w:spacing w:val="0"/>
                <w:sz w:val="24"/>
                <w:szCs w:val="24"/>
                <w:shd w:val="clear" w:fill="FFFFFF"/>
              </w:rPr>
              <w:t>M</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Q</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C</w:t>
            </w:r>
            <w:r>
              <w:rPr>
                <w:rFonts w:hint="default" w:ascii="Times New Roman" w:hAnsi="Times New Roman" w:eastAsia="宋体" w:cs="Times New Roman"/>
                <w:b w:val="0"/>
                <w:bCs w:val="0"/>
                <w:caps w:val="0"/>
                <w:color w:val="auto"/>
                <w:spacing w:val="0"/>
                <w:sz w:val="24"/>
                <w:szCs w:val="24"/>
                <w:shd w:val="clear" w:fill="FFFFFF"/>
              </w:rPr>
              <w:t>进​−</w:t>
            </w:r>
            <w:r>
              <w:rPr>
                <w:rFonts w:hint="default" w:ascii="Times New Roman" w:hAnsi="Times New Roman" w:eastAsia="宋体" w:cs="Times New Roman"/>
                <w:b w:val="0"/>
                <w:bCs w:val="0"/>
                <w:i/>
                <w:iCs/>
                <w:caps w:val="0"/>
                <w:color w:val="auto"/>
                <w:spacing w:val="0"/>
                <w:sz w:val="24"/>
                <w:szCs w:val="24"/>
                <w:shd w:val="clear" w:fill="FFFFFF"/>
              </w:rPr>
              <w:t>C</w:t>
            </w:r>
            <w:r>
              <w:rPr>
                <w:rFonts w:hint="default" w:ascii="Times New Roman" w:hAnsi="Times New Roman" w:eastAsia="宋体" w:cs="Times New Roman"/>
                <w:b w:val="0"/>
                <w:bCs w:val="0"/>
                <w:caps w:val="0"/>
                <w:color w:val="auto"/>
                <w:spacing w:val="0"/>
                <w:sz w:val="24"/>
                <w:szCs w:val="24"/>
                <w:shd w:val="clear" w:fill="FFFFFF"/>
              </w:rPr>
              <w:t>出​)×</w:t>
            </w:r>
            <w:r>
              <w:rPr>
                <w:rFonts w:hint="default" w:ascii="Times New Roman" w:hAnsi="Times New Roman" w:cs="Times New Roman"/>
                <w:b w:val="0"/>
                <w:bCs w:val="0"/>
                <w:caps w:val="0"/>
                <w:color w:val="auto"/>
                <w:spacing w:val="0"/>
                <w:sz w:val="24"/>
                <w:szCs w:val="24"/>
                <w:shd w:val="clear" w:fill="FFFFFF"/>
                <w:lang w:val="en-US" w:eastAsia="zh-CN"/>
              </w:rPr>
              <w:t>3.5</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w:t>
            </w:r>
            <w:r>
              <w:rPr>
                <w:rFonts w:hint="default" w:ascii="Times New Roman" w:hAnsi="Times New Roman" w:cs="Times New Roman"/>
                <w:b w:val="0"/>
                <w:bCs w:val="0"/>
                <w:i w:val="0"/>
                <w:iCs w:val="0"/>
                <w:caps w:val="0"/>
                <w:color w:val="auto"/>
                <w:spacing w:val="0"/>
                <w:sz w:val="24"/>
                <w:szCs w:val="24"/>
                <w:shd w:val="clear" w:fill="FFFFFF"/>
                <w:lang w:val="en-US" w:eastAsia="zh-CN"/>
              </w:rPr>
              <w:t>3.468</w:t>
            </w:r>
            <w:r>
              <w:rPr>
                <w:rFonts w:hint="default" w:ascii="Times New Roman" w:hAnsi="Times New Roman" w:eastAsia="宋体" w:cs="Times New Roman"/>
                <w:b w:val="0"/>
                <w:bCs w:val="0"/>
                <w:i w:val="0"/>
                <w:iCs w:val="0"/>
                <w:caps w:val="0"/>
                <w:color w:val="auto"/>
                <w:spacing w:val="0"/>
                <w:sz w:val="24"/>
                <w:szCs w:val="24"/>
                <w:shd w:val="clear" w:fill="FFFFFF"/>
              </w:rPr>
              <w:t>t/a（Q=</w:t>
            </w:r>
            <w:r>
              <w:rPr>
                <w:rFonts w:hint="default" w:ascii="Times New Roman" w:hAnsi="Times New Roman" w:cs="Times New Roman"/>
                <w:b w:val="0"/>
                <w:bCs w:val="0"/>
                <w:i w:val="0"/>
                <w:iCs w:val="0"/>
                <w:caps w:val="0"/>
                <w:color w:val="auto"/>
                <w:spacing w:val="0"/>
                <w:sz w:val="24"/>
                <w:szCs w:val="24"/>
                <w:shd w:val="clear" w:fill="FFFFFF"/>
                <w:lang w:val="en-US" w:eastAsia="zh-CN"/>
              </w:rPr>
              <w:t>10010.08</w:t>
            </w:r>
            <w:r>
              <w:rPr>
                <w:rFonts w:hint="default" w:ascii="Times New Roman" w:hAnsi="Times New Roman" w:eastAsia="宋体" w:cs="Times New Roman"/>
                <w:b w:val="0"/>
                <w:bCs w:val="0"/>
                <w:i w:val="0"/>
                <w:iCs w:val="0"/>
                <w:caps w:val="0"/>
                <w:color w:val="auto"/>
                <w:spacing w:val="0"/>
                <w:sz w:val="24"/>
                <w:szCs w:val="24"/>
                <w:shd w:val="clear" w:fill="FFFFFF"/>
              </w:rPr>
              <w:t>m³/a，(109-10)mg/L，K=</w:t>
            </w:r>
            <w:r>
              <w:rPr>
                <w:rFonts w:hint="default" w:ascii="Times New Roman" w:hAnsi="Times New Roman" w:cs="Times New Roman"/>
                <w:b w:val="0"/>
                <w:bCs w:val="0"/>
                <w:i w:val="0"/>
                <w:iCs w:val="0"/>
                <w:caps w:val="0"/>
                <w:color w:val="auto"/>
                <w:spacing w:val="0"/>
                <w:sz w:val="24"/>
                <w:szCs w:val="24"/>
                <w:shd w:val="clear" w:fill="FFFFFF"/>
                <w:lang w:val="en-US" w:eastAsia="zh-CN"/>
              </w:rPr>
              <w:t>3.5</w:t>
            </w:r>
            <w:r>
              <w:rPr>
                <w:rFonts w:hint="default" w:ascii="Times New Roman" w:hAnsi="Times New Roman" w:eastAsia="宋体" w:cs="Times New Roman"/>
                <w:b w:val="0"/>
                <w:bCs w:val="0"/>
                <w:i w:val="0"/>
                <w:iCs w:val="0"/>
                <w:caps w:val="0"/>
                <w:color w:val="auto"/>
                <w:spacing w:val="0"/>
                <w:sz w:val="24"/>
                <w:szCs w:val="24"/>
                <w:shd w:val="clear" w:fill="FFFFFF"/>
              </w:rPr>
              <w:t>），混凝沉淀干泥产生量</w:t>
            </w:r>
            <w:r>
              <w:rPr>
                <w:rFonts w:hint="default" w:ascii="Times New Roman" w:hAnsi="Times New Roman" w:eastAsia="宋体" w:cs="Times New Roman"/>
                <w:b w:val="0"/>
                <w:bCs w:val="0"/>
                <w:i/>
                <w:iCs/>
                <w:caps w:val="0"/>
                <w:color w:val="auto"/>
                <w:spacing w:val="0"/>
                <w:sz w:val="24"/>
                <w:szCs w:val="24"/>
                <w:shd w:val="clear" w:fill="FFFFFF"/>
              </w:rPr>
              <w:t>M</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Q</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SS</w:t>
            </w:r>
            <w:r>
              <w:rPr>
                <w:rFonts w:hint="default" w:ascii="Times New Roman" w:hAnsi="Times New Roman" w:eastAsia="宋体" w:cs="Times New Roman"/>
                <w:b w:val="0"/>
                <w:bCs w:val="0"/>
                <w:caps w:val="0"/>
                <w:color w:val="auto"/>
                <w:spacing w:val="0"/>
                <w:sz w:val="24"/>
                <w:szCs w:val="24"/>
                <w:shd w:val="clear" w:fill="FFFFFF"/>
              </w:rPr>
              <w:t>进​−</w:t>
            </w:r>
            <w:r>
              <w:rPr>
                <w:rFonts w:hint="default" w:ascii="Times New Roman" w:hAnsi="Times New Roman" w:eastAsia="宋体" w:cs="Times New Roman"/>
                <w:b w:val="0"/>
                <w:bCs w:val="0"/>
                <w:i/>
                <w:iCs/>
                <w:caps w:val="0"/>
                <w:color w:val="auto"/>
                <w:spacing w:val="0"/>
                <w:sz w:val="24"/>
                <w:szCs w:val="24"/>
                <w:shd w:val="clear" w:fill="FFFFFF"/>
              </w:rPr>
              <w:t>SS</w:t>
            </w:r>
            <w:r>
              <w:rPr>
                <w:rFonts w:hint="default" w:ascii="Times New Roman" w:hAnsi="Times New Roman" w:eastAsia="宋体" w:cs="Times New Roman"/>
                <w:b w:val="0"/>
                <w:bCs w:val="0"/>
                <w:caps w:val="0"/>
                <w:color w:val="auto"/>
                <w:spacing w:val="0"/>
                <w:sz w:val="24"/>
                <w:szCs w:val="24"/>
                <w:shd w:val="clear" w:fill="FFFFFF"/>
              </w:rPr>
              <w:t>出​)×1.5</w:t>
            </w:r>
            <w:r>
              <w:rPr>
                <w:rFonts w:hint="default" w:ascii="Times New Roman" w:hAnsi="Times New Roman" w:eastAsia="宋体" w:cs="Times New Roman"/>
                <w:b w:val="0"/>
                <w:bCs w:val="0"/>
                <w:caps w:val="0"/>
                <w:color w:val="auto"/>
                <w:spacing w:val="0"/>
                <w:sz w:val="24"/>
                <w:szCs w:val="24"/>
                <w:shd w:val="clear" w:fill="FFFFFF"/>
                <w:lang w:val="en-US" w:eastAsia="zh-CN"/>
              </w:rPr>
              <w:t>=</w:t>
            </w:r>
            <w:r>
              <w:rPr>
                <w:rFonts w:hint="default" w:ascii="Times New Roman" w:hAnsi="Times New Roman" w:eastAsia="宋体" w:cs="Times New Roman"/>
                <w:b w:val="0"/>
                <w:bCs w:val="0"/>
                <w:i w:val="0"/>
                <w:iCs w:val="0"/>
                <w:caps w:val="0"/>
                <w:color w:val="auto"/>
                <w:spacing w:val="0"/>
                <w:sz w:val="24"/>
                <w:szCs w:val="24"/>
                <w:shd w:val="clear" w:fill="FFFFFF"/>
              </w:rPr>
              <w:t>0.</w:t>
            </w:r>
            <w:r>
              <w:rPr>
                <w:rFonts w:hint="default" w:ascii="Times New Roman" w:hAnsi="Times New Roman" w:cs="Times New Roman"/>
                <w:b w:val="0"/>
                <w:bCs w:val="0"/>
                <w:i w:val="0"/>
                <w:iCs w:val="0"/>
                <w:caps w:val="0"/>
                <w:color w:val="auto"/>
                <w:spacing w:val="0"/>
                <w:sz w:val="24"/>
                <w:szCs w:val="24"/>
                <w:shd w:val="clear" w:fill="FFFFFF"/>
                <w:lang w:val="en-US" w:eastAsia="zh-CN"/>
              </w:rPr>
              <w:t>952</w:t>
            </w:r>
            <w:r>
              <w:rPr>
                <w:rFonts w:hint="default" w:ascii="Times New Roman" w:hAnsi="Times New Roman" w:eastAsia="宋体" w:cs="Times New Roman"/>
                <w:b w:val="0"/>
                <w:bCs w:val="0"/>
                <w:i w:val="0"/>
                <w:iCs w:val="0"/>
                <w:caps w:val="0"/>
                <w:color w:val="auto"/>
                <w:spacing w:val="0"/>
                <w:sz w:val="24"/>
                <w:szCs w:val="24"/>
                <w:shd w:val="clear" w:fill="FFFFFF"/>
              </w:rPr>
              <w:t>t/a（Q=</w:t>
            </w:r>
            <w:r>
              <w:rPr>
                <w:rFonts w:hint="default" w:ascii="Times New Roman" w:hAnsi="Times New Roman" w:cs="Times New Roman"/>
                <w:b w:val="0"/>
                <w:bCs w:val="0"/>
                <w:i w:val="0"/>
                <w:iCs w:val="0"/>
                <w:caps w:val="0"/>
                <w:color w:val="auto"/>
                <w:spacing w:val="0"/>
                <w:sz w:val="24"/>
                <w:szCs w:val="24"/>
                <w:shd w:val="clear" w:fill="FFFFFF"/>
                <w:lang w:val="en-US" w:eastAsia="zh-CN"/>
              </w:rPr>
              <w:t>10010.8</w:t>
            </w:r>
            <w:r>
              <w:rPr>
                <w:rFonts w:hint="default" w:ascii="Times New Roman" w:hAnsi="Times New Roman" w:eastAsia="宋体" w:cs="Times New Roman"/>
                <w:b w:val="0"/>
                <w:bCs w:val="0"/>
                <w:i w:val="0"/>
                <w:iCs w:val="0"/>
                <w:caps w:val="0"/>
                <w:color w:val="auto"/>
                <w:spacing w:val="0"/>
                <w:sz w:val="24"/>
                <w:szCs w:val="24"/>
                <w:shd w:val="clear" w:fill="FFFFFF"/>
              </w:rPr>
              <w:t>m³/a，(67-</w:t>
            </w:r>
            <w:r>
              <w:rPr>
                <w:rFonts w:hint="default" w:ascii="Times New Roman" w:hAnsi="Times New Roman" w:cs="Times New Roman"/>
                <w:b w:val="0"/>
                <w:bCs w:val="0"/>
                <w:i w:val="0"/>
                <w:iCs w:val="0"/>
                <w:caps w:val="0"/>
                <w:color w:val="auto"/>
                <w:spacing w:val="0"/>
                <w:sz w:val="24"/>
                <w:szCs w:val="24"/>
                <w:shd w:val="clear" w:fill="FFFFFF"/>
                <w:lang w:val="en-US" w:eastAsia="zh-CN"/>
              </w:rPr>
              <w:t>3.6</w:t>
            </w:r>
            <w:r>
              <w:rPr>
                <w:rFonts w:hint="default" w:ascii="Times New Roman" w:hAnsi="Times New Roman" w:eastAsia="宋体" w:cs="Times New Roman"/>
                <w:b w:val="0"/>
                <w:bCs w:val="0"/>
                <w:i w:val="0"/>
                <w:iCs w:val="0"/>
                <w:caps w:val="0"/>
                <w:color w:val="auto"/>
                <w:spacing w:val="0"/>
                <w:sz w:val="24"/>
                <w:szCs w:val="24"/>
                <w:shd w:val="clear" w:fill="FFFFFF"/>
              </w:rPr>
              <w:t>)mg/L，K=1.5）。合计绝干污泥</w:t>
            </w:r>
            <w:r>
              <w:rPr>
                <w:rFonts w:hint="default" w:ascii="Times New Roman" w:hAnsi="Times New Roman" w:cs="Times New Roman"/>
                <w:b w:val="0"/>
                <w:bCs w:val="0"/>
                <w:i w:val="0"/>
                <w:iCs w:val="0"/>
                <w:caps w:val="0"/>
                <w:color w:val="auto"/>
                <w:spacing w:val="0"/>
                <w:sz w:val="24"/>
                <w:szCs w:val="24"/>
                <w:shd w:val="clear" w:fill="FFFFFF"/>
                <w:lang w:val="en-US" w:eastAsia="zh-CN"/>
              </w:rPr>
              <w:t>4.420</w:t>
            </w:r>
            <w:r>
              <w:rPr>
                <w:rFonts w:hint="default" w:ascii="Times New Roman" w:hAnsi="Times New Roman" w:eastAsia="宋体" w:cs="Times New Roman"/>
                <w:b w:val="0"/>
                <w:bCs w:val="0"/>
                <w:i w:val="0"/>
                <w:iCs w:val="0"/>
                <w:caps w:val="0"/>
                <w:color w:val="auto"/>
                <w:spacing w:val="0"/>
                <w:sz w:val="24"/>
                <w:szCs w:val="24"/>
                <w:shd w:val="clear" w:fill="FFFFFF"/>
              </w:rPr>
              <w:t>t/a</w:t>
            </w:r>
            <w:r>
              <w:rPr>
                <w:rFonts w:hint="default" w:ascii="Times New Roman" w:hAnsi="Times New Roman"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项目</w:t>
            </w:r>
            <w:r>
              <w:rPr>
                <w:rFonts w:hint="default" w:ascii="Times New Roman" w:hAnsi="Times New Roman" w:eastAsia="Segoe UI" w:cs="Times New Roman"/>
                <w:b w:val="0"/>
                <w:bCs w:val="0"/>
                <w:i w:val="0"/>
                <w:iCs w:val="0"/>
                <w:caps w:val="0"/>
                <w:color w:val="auto"/>
                <w:spacing w:val="0"/>
                <w:sz w:val="24"/>
                <w:szCs w:val="24"/>
                <w:shd w:val="clear" w:fill="FFFFFF"/>
              </w:rPr>
              <w:t>污泥</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产生</w:t>
            </w:r>
            <w:r>
              <w:rPr>
                <w:rFonts w:hint="default" w:ascii="Times New Roman" w:hAnsi="Times New Roman" w:eastAsia="Segoe UI" w:cs="Times New Roman"/>
                <w:b w:val="0"/>
                <w:bCs w:val="0"/>
                <w:i w:val="0"/>
                <w:iCs w:val="0"/>
                <w:caps w:val="0"/>
                <w:color w:val="auto"/>
                <w:spacing w:val="0"/>
                <w:sz w:val="24"/>
                <w:szCs w:val="24"/>
                <w:shd w:val="clear" w:fill="FFFFFF"/>
              </w:rPr>
              <w:t>量</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含水率</w:t>
            </w:r>
            <w:r>
              <w:rPr>
                <w:rFonts w:hint="default" w:ascii="Times New Roman" w:hAnsi="Times New Roman" w:cs="Times New Roman"/>
                <w:b w:val="0"/>
                <w:bCs w:val="0"/>
                <w:i w:val="0"/>
                <w:iCs w:val="0"/>
                <w:caps w:val="0"/>
                <w:color w:val="auto"/>
                <w:spacing w:val="0"/>
                <w:sz w:val="24"/>
                <w:szCs w:val="24"/>
                <w:shd w:val="clear" w:fill="FFFFFF"/>
                <w:lang w:val="en-US" w:eastAsia="zh-CN"/>
              </w:rPr>
              <w:t>以</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6</w:t>
            </w:r>
            <w:r>
              <w:rPr>
                <w:rFonts w:hint="default" w:ascii="Times New Roman" w:hAnsi="Times New Roman" w:cs="Times New Roman"/>
                <w:b w:val="0"/>
                <w:bCs w:val="0"/>
                <w:i w:val="0"/>
                <w:iCs w:val="0"/>
                <w:caps w:val="0"/>
                <w:color w:val="auto"/>
                <w:spacing w:val="0"/>
                <w:sz w:val="24"/>
                <w:szCs w:val="24"/>
                <w:shd w:val="clear" w:fill="FFFFFF"/>
                <w:lang w:val="en-US" w:eastAsia="zh-CN"/>
              </w:rPr>
              <w:t>0</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w:t>
            </w:r>
            <w:r>
              <w:rPr>
                <w:rFonts w:hint="default" w:ascii="Times New Roman" w:hAnsi="Times New Roman" w:cs="Times New Roman"/>
                <w:b w:val="0"/>
                <w:bCs w:val="0"/>
                <w:i w:val="0"/>
                <w:iCs w:val="0"/>
                <w:caps w:val="0"/>
                <w:color w:val="auto"/>
                <w:spacing w:val="0"/>
                <w:sz w:val="24"/>
                <w:szCs w:val="24"/>
                <w:shd w:val="clear" w:fill="FFFFFF"/>
                <w:lang w:val="en-US" w:eastAsia="zh-CN"/>
              </w:rPr>
              <w:t>计</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约为</w:t>
            </w:r>
            <w:r>
              <w:rPr>
                <w:rFonts w:hint="default" w:ascii="Times New Roman" w:hAnsi="Times New Roman" w:cs="Times New Roman"/>
                <w:b w:val="0"/>
                <w:bCs w:val="0"/>
                <w:i w:val="0"/>
                <w:iCs w:val="0"/>
                <w:caps w:val="0"/>
                <w:color w:val="auto"/>
                <w:spacing w:val="0"/>
                <w:sz w:val="24"/>
                <w:szCs w:val="24"/>
                <w:shd w:val="clear" w:fill="FFFFFF"/>
                <w:lang w:val="en-US" w:eastAsia="zh-CN"/>
              </w:rPr>
              <w:t>11.051</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t/a</w:t>
            </w:r>
            <w:r>
              <w:rPr>
                <w:rFonts w:hint="default" w:ascii="Times New Roman" w:hAnsi="Times New Roman" w:cs="Times New Roman"/>
                <w:b w:val="0"/>
                <w:bCs w:val="0"/>
                <w:i w:val="0"/>
                <w:iCs w:val="0"/>
                <w:caps w:val="0"/>
                <w:color w:val="auto"/>
                <w:spacing w:val="0"/>
                <w:sz w:val="24"/>
                <w:szCs w:val="24"/>
                <w:shd w:val="clear" w:fill="FFFFFF"/>
                <w:lang w:val="en-US" w:eastAsia="zh-CN"/>
              </w:rPr>
              <w:t>，产生的污泥通过污泥浓缩池浓缩后进行板框压滤处理。污泥</w:t>
            </w:r>
            <w:r>
              <w:rPr>
                <w:rFonts w:hint="default" w:ascii="Times New Roman" w:hAnsi="Times New Roman" w:cs="Times New Roman"/>
                <w:b w:val="0"/>
                <w:bCs w:val="0"/>
                <w:color w:val="auto"/>
                <w:sz w:val="24"/>
                <w:szCs w:val="24"/>
                <w:highlight w:val="none"/>
              </w:rPr>
              <w:t>属于《国家危险废物名录》（202</w:t>
            </w: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rPr>
              <w:t>年版）中编号为HW17危险废物，危废代码336-064-17。收集后交由有危废处理资质单位处理。</w:t>
            </w:r>
          </w:p>
          <w:p w14:paraId="042F7F81">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eastAsia="zh-CN"/>
              </w:rPr>
            </w:pPr>
            <w:r>
              <w:rPr>
                <w:rFonts w:hint="eastAsia" w:ascii="Times New Roman" w:cs="Times New Roman"/>
                <w:b/>
                <w:bCs/>
                <w:color w:val="auto"/>
                <w:sz w:val="24"/>
                <w:szCs w:val="24"/>
                <w:highlight w:val="none"/>
                <w:lang w:val="en-US" w:eastAsia="zh-CN"/>
              </w:rPr>
              <w:t>⑤</w:t>
            </w:r>
            <w:r>
              <w:rPr>
                <w:rFonts w:hint="default" w:ascii="Times New Roman" w:hAnsi="Times New Roman" w:cs="Times New Roman"/>
                <w:b/>
                <w:bCs/>
                <w:color w:val="auto"/>
                <w:sz w:val="24"/>
                <w:szCs w:val="24"/>
                <w:highlight w:val="none"/>
                <w:lang w:eastAsia="zh-CN"/>
              </w:rPr>
              <w:t>废</w:t>
            </w:r>
            <w:r>
              <w:rPr>
                <w:rFonts w:hint="default" w:ascii="Times New Roman" w:hAnsi="Times New Roman" w:cs="Times New Roman"/>
                <w:b/>
                <w:bCs/>
                <w:color w:val="auto"/>
                <w:sz w:val="24"/>
                <w:szCs w:val="24"/>
                <w:highlight w:val="none"/>
              </w:rPr>
              <w:t>pH调整剂</w:t>
            </w:r>
            <w:r>
              <w:rPr>
                <w:rFonts w:hint="default" w:ascii="Times New Roman" w:hAnsi="Times New Roman" w:cs="Times New Roman"/>
                <w:b/>
                <w:bCs/>
                <w:color w:val="auto"/>
                <w:sz w:val="24"/>
                <w:szCs w:val="24"/>
                <w:highlight w:val="none"/>
                <w:lang w:eastAsia="zh-CN"/>
              </w:rPr>
              <w:t>包装桶</w:t>
            </w:r>
          </w:p>
          <w:p w14:paraId="24BCDD7D">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eastAsia="zh-CN"/>
              </w:rPr>
              <w:t>项目自建污水处理站使用</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调节废水</w:t>
            </w:r>
            <w:r>
              <w:rPr>
                <w:rFonts w:hint="default" w:ascii="Times New Roman" w:hAnsi="Times New Roman" w:cs="Times New Roman"/>
                <w:b w:val="0"/>
                <w:bCs w:val="0"/>
                <w:color w:val="auto"/>
                <w:sz w:val="24"/>
                <w:szCs w:val="24"/>
                <w:highlight w:val="none"/>
                <w:lang w:val="en-US" w:eastAsia="zh-CN"/>
              </w:rPr>
              <w:t>pH（70%硫酸），故会产生</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包装桶，项目年使用</w:t>
            </w:r>
            <w:r>
              <w:rPr>
                <w:rFonts w:hint="default" w:ascii="Times New Roman" w:hAnsi="Times New Roman" w:cs="Times New Roman"/>
                <w:b w:val="0"/>
                <w:bCs w:val="0"/>
                <w:color w:val="auto"/>
                <w:sz w:val="24"/>
                <w:szCs w:val="24"/>
                <w:highlight w:val="none"/>
                <w:lang w:val="en-US" w:eastAsia="zh-CN"/>
              </w:rPr>
              <w:t>0.2吨</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包装规格为25kg/桶，年使用8桶，单个废桶重1kg，故会产生</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包装桶</w:t>
            </w:r>
            <w:r>
              <w:rPr>
                <w:rFonts w:hint="default" w:ascii="Times New Roman" w:hAnsi="Times New Roman" w:cs="Times New Roman"/>
                <w:b w:val="0"/>
                <w:bCs w:val="0"/>
                <w:color w:val="auto"/>
                <w:sz w:val="24"/>
                <w:szCs w:val="24"/>
                <w:highlight w:val="none"/>
                <w:lang w:val="en-US" w:eastAsia="zh-CN"/>
              </w:rPr>
              <w:t>0.008t/a。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w:t>
            </w:r>
            <w:r>
              <w:rPr>
                <w:rFonts w:hint="default" w:ascii="Times New Roman" w:hAnsi="Times New Roman" w:cs="Times New Roman"/>
                <w:color w:val="auto"/>
                <w:sz w:val="24"/>
                <w:szCs w:val="24"/>
                <w:highlight w:val="none"/>
              </w:rPr>
              <w:t>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w:t>
            </w:r>
            <w:r>
              <w:rPr>
                <w:rFonts w:hint="default" w:ascii="Times New Roman" w:hAnsi="Times New Roman" w:cs="Times New Roman"/>
                <w:color w:val="auto"/>
                <w:sz w:val="24"/>
                <w:szCs w:val="24"/>
                <w:highlight w:val="none"/>
                <w:lang w:val="en-US" w:eastAsia="zh-CN"/>
              </w:rPr>
              <w:t>HW49其他废物</w:t>
            </w:r>
            <w:r>
              <w:rPr>
                <w:rFonts w:hint="default" w:ascii="Times New Roman" w:hAnsi="Times New Roman" w:cs="Times New Roman"/>
                <w:color w:val="auto"/>
                <w:sz w:val="24"/>
                <w:szCs w:val="24"/>
                <w:highlight w:val="none"/>
              </w:rPr>
              <w:t>，废物代码</w:t>
            </w:r>
            <w:r>
              <w:rPr>
                <w:rFonts w:hint="default" w:ascii="Times New Roman" w:hAnsi="Times New Roman" w:cs="Times New Roman"/>
                <w:b w:val="0"/>
                <w:bCs w:val="0"/>
                <w:color w:val="auto"/>
                <w:sz w:val="24"/>
                <w:szCs w:val="24"/>
                <w:highlight w:val="none"/>
                <w:lang w:val="en-US" w:eastAsia="zh-CN"/>
              </w:rPr>
              <w:t>900-041-49</w:t>
            </w:r>
            <w:r>
              <w:rPr>
                <w:rFonts w:hint="default" w:ascii="Times New Roman" w:hAnsi="Times New Roman" w:cs="Times New Roman"/>
                <w:color w:val="auto"/>
                <w:sz w:val="24"/>
                <w:szCs w:val="24"/>
                <w:highlight w:val="none"/>
              </w:rPr>
              <w:t>，经统一收集后交由有危险废物处理资质的单位处理</w:t>
            </w:r>
            <w:r>
              <w:rPr>
                <w:rFonts w:hint="default" w:ascii="Times New Roman" w:hAnsi="Times New Roman" w:cs="Times New Roman"/>
                <w:color w:val="auto"/>
                <w:sz w:val="24"/>
                <w:szCs w:val="24"/>
                <w:highlight w:val="none"/>
                <w:lang w:eastAsia="zh-CN"/>
              </w:rPr>
              <w:t>。</w:t>
            </w:r>
          </w:p>
          <w:p w14:paraId="2CAE2EE7">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⑥</w:t>
            </w:r>
            <w:r>
              <w:rPr>
                <w:rFonts w:hint="default" w:ascii="Times New Roman" w:hAnsi="Times New Roman" w:cs="Times New Roman"/>
                <w:b/>
                <w:bCs/>
                <w:color w:val="auto"/>
                <w:sz w:val="24"/>
                <w:szCs w:val="24"/>
                <w:highlight w:val="none"/>
              </w:rPr>
              <w:t>废机油桶</w:t>
            </w:r>
          </w:p>
          <w:p w14:paraId="2BC65C7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保养设备设施会用到机油，用量很少，润滑油规格有：200L/桶（</w:t>
            </w:r>
            <w:r>
              <w:rPr>
                <w:rFonts w:hint="default" w:ascii="Times New Roman" w:hAnsi="Times New Roman" w:cs="Times New Roman"/>
                <w:color w:val="auto"/>
                <w:sz w:val="24"/>
                <w:szCs w:val="24"/>
                <w:highlight w:val="none"/>
                <w:lang w:val="en-US" w:eastAsia="zh-CN"/>
              </w:rPr>
              <w:t>本项目使用4</w:t>
            </w:r>
            <w:r>
              <w:rPr>
                <w:rFonts w:hint="default" w:ascii="Times New Roman" w:hAnsi="Times New Roman" w:cs="Times New Roman"/>
                <w:color w:val="auto"/>
                <w:sz w:val="24"/>
                <w:szCs w:val="24"/>
                <w:highlight w:val="none"/>
              </w:rPr>
              <w:t>桶），润滑油空桶按</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kg/桶计算。则本项目产生废机油空桶约0.0</w:t>
            </w:r>
            <w:r>
              <w:rPr>
                <w:rFonts w:hint="default" w:ascii="Times New Roman" w:hAnsi="Times New Roman" w:cs="Times New Roman"/>
                <w:color w:val="auto"/>
                <w:sz w:val="24"/>
                <w:szCs w:val="24"/>
                <w:highlight w:val="none"/>
                <w:lang w:val="en-US" w:eastAsia="zh-CN"/>
              </w:rPr>
              <w:t>2t</w:t>
            </w:r>
            <w:r>
              <w:rPr>
                <w:rFonts w:hint="default" w:ascii="Times New Roman" w:hAnsi="Times New Roman" w:cs="Times New Roman"/>
                <w:color w:val="auto"/>
                <w:sz w:val="24"/>
                <w:szCs w:val="24"/>
                <w:highlight w:val="none"/>
              </w:rPr>
              <w:t>/a。根据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，废机油空桶属于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中编号为HW08废矿物油与含矿物油废物，废物代码900-249-08</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其他生产、销售、使用过程中产生的废矿物油及沾染矿物油的废弃包装物”危险废物，经统一收集后交由有危险废物处理资质的单位处理。</w:t>
            </w:r>
          </w:p>
          <w:p w14:paraId="1F85CAE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⑦</w:t>
            </w:r>
            <w:r>
              <w:rPr>
                <w:rFonts w:hint="default" w:ascii="Times New Roman" w:hAnsi="Times New Roman" w:cs="Times New Roman"/>
                <w:b/>
                <w:bCs/>
                <w:color w:val="auto"/>
                <w:sz w:val="24"/>
                <w:szCs w:val="24"/>
                <w:highlight w:val="none"/>
              </w:rPr>
              <w:t>废机油</w:t>
            </w:r>
          </w:p>
          <w:p w14:paraId="530540E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本项目在进行设备保养的过程中会产生废机油，废机油</w:t>
            </w:r>
            <w:r>
              <w:rPr>
                <w:rFonts w:hint="default" w:ascii="Times New Roman" w:hAnsi="Times New Roman" w:cs="Times New Roman"/>
                <w:color w:val="auto"/>
                <w:sz w:val="24"/>
                <w:szCs w:val="24"/>
                <w:highlight w:val="none"/>
                <w:lang w:val="en-US" w:eastAsia="zh-CN"/>
              </w:rPr>
              <w:t>年产量约为</w:t>
            </w:r>
            <w:r>
              <w:rPr>
                <w:rFonts w:hint="default" w:ascii="Times New Roman" w:hAnsi="Times New Roman" w:cs="Times New Roman"/>
                <w:color w:val="auto"/>
                <w:kern w:val="0"/>
                <w:sz w:val="24"/>
                <w:szCs w:val="24"/>
                <w:highlight w:val="none"/>
                <w:lang w:val="en-US" w:eastAsia="zh-CN"/>
              </w:rPr>
              <w:t>0.80t/a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，废机油属于“HW08废矿物油与含矿物油废物”类别中代码为900-249-08“其他生产、销售、使用过程中产生的废矿物油及沾染矿物油的废弃包装物”危险废物，经统一收集后交由有危险废物处理资质的单位处理。</w:t>
            </w:r>
          </w:p>
          <w:p w14:paraId="547CE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⑧</w:t>
            </w:r>
            <w:r>
              <w:rPr>
                <w:rFonts w:hint="default" w:ascii="Times New Roman" w:hAnsi="Times New Roman" w:cs="Times New Roman"/>
                <w:b/>
                <w:bCs/>
                <w:color w:val="auto"/>
                <w:sz w:val="24"/>
                <w:szCs w:val="24"/>
                <w:highlight w:val="none"/>
                <w:lang w:val="en-US" w:eastAsia="zh-CN"/>
              </w:rPr>
              <w:t>废含油抹布</w:t>
            </w:r>
            <w:r>
              <w:rPr>
                <w:rFonts w:hint="eastAsia" w:ascii="Times New Roman" w:hAnsi="Times New Roman" w:cs="Times New Roman"/>
                <w:b/>
                <w:bCs/>
                <w:color w:val="auto"/>
                <w:sz w:val="24"/>
                <w:szCs w:val="24"/>
                <w:highlight w:val="none"/>
                <w:lang w:val="en-US" w:eastAsia="zh-CN"/>
              </w:rPr>
              <w:t>手套</w:t>
            </w:r>
          </w:p>
          <w:p w14:paraId="1C243905">
            <w:pPr>
              <w:pStyle w:val="2"/>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lang w:eastAsia="zh-CN"/>
              </w:rPr>
            </w:pPr>
            <w:r>
              <w:rPr>
                <w:rFonts w:hint="default" w:ascii="Times New Roman" w:hAnsi="Times New Roman" w:cs="Times New Roman"/>
                <w:color w:val="auto"/>
                <w:sz w:val="24"/>
                <w:szCs w:val="24"/>
                <w:highlight w:val="none"/>
                <w:lang w:val="en-US" w:eastAsia="zh-CN"/>
              </w:rPr>
              <w:t>项目生产过程中会产生一定量的含矿物油废抹布及手套，根据建设单位提供的资料，其产生量约0.05t/a，根据《国家危险废物名录（2025年版）》，废含油抹布及手套（</w:t>
            </w:r>
            <w:r>
              <w:rPr>
                <w:rFonts w:hint="eastAsia" w:ascii="Times New Roman" w:cs="Times New Roman"/>
                <w:color w:val="auto"/>
                <w:sz w:val="24"/>
                <w:szCs w:val="24"/>
                <w:highlight w:val="none"/>
                <w:lang w:val="en-US" w:eastAsia="zh-CN"/>
              </w:rPr>
              <w:t>废物代码</w:t>
            </w:r>
            <w:r>
              <w:rPr>
                <w:rFonts w:hint="default" w:ascii="Times New Roman" w:hAnsi="Times New Roman" w:cs="Times New Roman"/>
                <w:color w:val="auto"/>
                <w:sz w:val="24"/>
                <w:szCs w:val="24"/>
                <w:highlight w:val="none"/>
                <w:lang w:val="en-US" w:eastAsia="zh-CN"/>
              </w:rPr>
              <w:t>900-041-49）在满足特定条件时可豁免管理，但本项目为从严管理，仍将其作为危险废物进行全过程管理。</w:t>
            </w:r>
          </w:p>
          <w:p w14:paraId="590CE40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⑨</w:t>
            </w:r>
            <w:r>
              <w:rPr>
                <w:rFonts w:hint="default" w:ascii="Times New Roman" w:hAnsi="Times New Roman" w:cs="Times New Roman"/>
                <w:b/>
                <w:bCs/>
                <w:color w:val="auto"/>
                <w:sz w:val="24"/>
                <w:szCs w:val="24"/>
                <w:highlight w:val="none"/>
              </w:rPr>
              <w:t>废液压油桶</w:t>
            </w:r>
          </w:p>
          <w:p w14:paraId="1F3E4B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本项目自动化冲床设备需用到液压油，用量很少，液压油规格有：200L/桶（</w:t>
            </w:r>
            <w:r>
              <w:rPr>
                <w:rFonts w:hint="default" w:ascii="Times New Roman" w:hAnsi="Times New Roman" w:cs="Times New Roman"/>
                <w:color w:val="auto"/>
                <w:sz w:val="24"/>
                <w:szCs w:val="24"/>
                <w:highlight w:val="none"/>
                <w:lang w:val="en-US" w:eastAsia="zh-CN"/>
              </w:rPr>
              <w:t>本项目使用3</w:t>
            </w:r>
            <w:r>
              <w:rPr>
                <w:rFonts w:hint="default" w:ascii="Times New Roman" w:hAnsi="Times New Roman" w:cs="Times New Roman"/>
                <w:color w:val="auto"/>
                <w:sz w:val="24"/>
                <w:szCs w:val="24"/>
                <w:highlight w:val="none"/>
              </w:rPr>
              <w:t>桶），液压油空桶按</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kg/桶计算。则本项目产生废液压油空桶约0.0</w:t>
            </w:r>
            <w:r>
              <w:rPr>
                <w:rFonts w:hint="default"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rPr>
              <w:t>t/a。根据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，废液压油空桶属于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中编号为为900-249-08“其他生产、销售、使用过程中产生的废矿物油及沾染矿物油的废弃包装物”危险废物，经统一收集后交由有危险废物处理资质的单位处理。</w:t>
            </w:r>
          </w:p>
          <w:p w14:paraId="472666A0">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⑩</w:t>
            </w:r>
            <w:r>
              <w:rPr>
                <w:rFonts w:hint="default" w:ascii="Times New Roman" w:hAnsi="Times New Roman" w:cs="Times New Roman"/>
                <w:b/>
                <w:bCs/>
                <w:color w:val="auto"/>
                <w:sz w:val="24"/>
                <w:szCs w:val="24"/>
                <w:highlight w:val="none"/>
              </w:rPr>
              <w:t>废液压油</w:t>
            </w:r>
          </w:p>
          <w:p w14:paraId="7F79A0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本项目自动化冲床设备需用到液压油，则会产生少量废液压油，废液压油</w:t>
            </w:r>
            <w:r>
              <w:rPr>
                <w:rFonts w:hint="default" w:ascii="Times New Roman" w:hAnsi="Times New Roman" w:cs="Times New Roman"/>
                <w:color w:val="auto"/>
                <w:sz w:val="24"/>
                <w:szCs w:val="24"/>
                <w:highlight w:val="none"/>
                <w:lang w:val="en-US" w:eastAsia="zh-CN"/>
              </w:rPr>
              <w:t>年产生量</w:t>
            </w:r>
            <w:r>
              <w:rPr>
                <w:rFonts w:hint="default" w:ascii="Times New Roman" w:hAnsi="Times New Roman" w:cs="Times New Roman"/>
                <w:color w:val="auto"/>
                <w:kern w:val="0"/>
                <w:sz w:val="24"/>
                <w:szCs w:val="24"/>
                <w:highlight w:val="none"/>
                <w:lang w:val="en-US" w:eastAsia="zh-CN"/>
              </w:rPr>
              <w:t>约为0.60t/a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，废液压油属于“HW08废矿物油与含矿物油废物”类别中代码HW08废矿物油与含矿物油废物，废物代码900-2</w:t>
            </w:r>
            <w:r>
              <w:rPr>
                <w:rFonts w:hint="eastAsia" w:cs="Times New Roman"/>
                <w:color w:val="auto"/>
                <w:sz w:val="24"/>
                <w:szCs w:val="24"/>
                <w:highlight w:val="none"/>
                <w:lang w:val="en-US" w:eastAsia="zh-CN"/>
              </w:rPr>
              <w:t>18</w:t>
            </w:r>
            <w:r>
              <w:rPr>
                <w:rFonts w:hint="default" w:ascii="Times New Roman" w:hAnsi="Times New Roman" w:cs="Times New Roman"/>
                <w:color w:val="auto"/>
                <w:sz w:val="24"/>
                <w:szCs w:val="24"/>
                <w:highlight w:val="none"/>
              </w:rPr>
              <w:t>-08</w:t>
            </w:r>
            <w:r>
              <w:rPr>
                <w:rFonts w:hint="default" w:ascii="Times New Roman" w:hAnsi="Times New Roman" w:cs="Times New Roman"/>
                <w:color w:val="auto"/>
                <w:sz w:val="24"/>
                <w:szCs w:val="24"/>
                <w:highlight w:val="none"/>
                <w:lang w:val="en-US" w:eastAsia="zh-CN"/>
              </w:rPr>
              <w:t>“液压设备维护、更换和拆解过程中产生的废液压油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危险废物，经统一收集后交由有危险废物处理资质的单位处理。</w:t>
            </w:r>
          </w:p>
          <w:p w14:paraId="23CF0FD8">
            <w:pPr>
              <w:pStyle w:val="158"/>
              <w:pageBreakBefore w:val="0"/>
              <w:wordWrap w:val="0"/>
              <w:topLinePunct/>
              <w:bidi w:val="0"/>
              <w:snapToGrid/>
              <w:spacing w:beforeAutospacing="0" w:afterAutospacing="0"/>
              <w:ind w:firstLine="482"/>
              <w:rPr>
                <w:b/>
                <w:bCs/>
                <w:color w:val="auto"/>
              </w:rPr>
            </w:pPr>
            <w:r>
              <w:rPr>
                <w:rFonts w:hint="eastAsia" w:ascii="Times New Roman" w:cs="Times New Roman"/>
                <w:b/>
                <w:bCs/>
                <w:color w:val="auto"/>
                <w:sz w:val="24"/>
                <w:szCs w:val="24"/>
                <w:highlight w:val="none"/>
                <w:lang w:val="en-US" w:eastAsia="zh-CN"/>
              </w:rPr>
              <w:fldChar w:fldCharType="begin"/>
            </w:r>
            <w:r>
              <w:rPr>
                <w:rFonts w:hint="eastAsia" w:ascii="Times New Roman" w:cs="Times New Roman"/>
                <w:b/>
                <w:bCs/>
                <w:color w:val="auto"/>
                <w:sz w:val="24"/>
                <w:szCs w:val="24"/>
                <w:highlight w:val="none"/>
                <w:lang w:val="en-US" w:eastAsia="zh-CN"/>
              </w:rPr>
              <w:instrText xml:space="preserve"> EQ \o\ac(</w:instrText>
            </w:r>
            <w:r>
              <w:rPr>
                <w:rFonts w:hint="eastAsia" w:ascii="Times New Roman" w:cs="Times New Roman"/>
                <w:b/>
                <w:bCs/>
                <w:color w:val="auto"/>
                <w:spacing w:val="0"/>
                <w:kern w:val="2"/>
                <w:sz w:val="24"/>
                <w:szCs w:val="24"/>
                <w:highlight w:val="none"/>
                <w:lang w:val="en-US" w:eastAsia="zh-CN" w:bidi="ar-SA"/>
              </w:rPr>
              <w:instrText xml:space="preserve">○</w:instrText>
            </w:r>
            <w:r>
              <w:rPr>
                <w:rFonts w:hint="eastAsia" w:ascii="Times New Roman" w:cs="Times New Roman"/>
                <w:b/>
                <w:bCs/>
                <w:color w:val="auto"/>
                <w:sz w:val="24"/>
                <w:szCs w:val="24"/>
                <w:highlight w:val="none"/>
                <w:lang w:val="en-US" w:eastAsia="zh-CN"/>
              </w:rPr>
              <w:instrText xml:space="preserve">,</w:instrText>
            </w:r>
            <w:r>
              <w:rPr>
                <w:rFonts w:hint="eastAsia" w:ascii="Times New Roman" w:cs="Times New Roman"/>
                <w:b/>
                <w:bCs/>
                <w:color w:val="auto"/>
                <w:spacing w:val="0"/>
                <w:kern w:val="2"/>
                <w:position w:val="3"/>
                <w:sz w:val="16"/>
                <w:szCs w:val="24"/>
                <w:highlight w:val="none"/>
                <w:lang w:val="en-US" w:eastAsia="zh-CN" w:bidi="ar-SA"/>
              </w:rPr>
              <w:instrText xml:space="preserve">11</w:instrText>
            </w:r>
            <w:r>
              <w:rPr>
                <w:rFonts w:hint="eastAsia" w:ascii="Times New Roman" w:cs="Times New Roman"/>
                <w:b/>
                <w:bCs/>
                <w:color w:val="auto"/>
                <w:sz w:val="24"/>
                <w:szCs w:val="24"/>
                <w:highlight w:val="none"/>
                <w:lang w:val="en-US" w:eastAsia="zh-CN"/>
              </w:rPr>
              <w:instrText xml:space="preserve">)</w:instrText>
            </w:r>
            <w:r>
              <w:rPr>
                <w:rFonts w:hint="eastAsia" w:ascii="Times New Roman" w:cs="Times New Roman"/>
                <w:b/>
                <w:bCs/>
                <w:color w:val="auto"/>
                <w:sz w:val="24"/>
                <w:szCs w:val="24"/>
                <w:highlight w:val="none"/>
                <w:lang w:val="en-US" w:eastAsia="zh-CN"/>
              </w:rPr>
              <w:fldChar w:fldCharType="end"/>
            </w:r>
            <w:r>
              <w:rPr>
                <w:b/>
                <w:bCs/>
                <w:color w:val="auto"/>
              </w:rPr>
              <w:t>废原料桶</w:t>
            </w:r>
          </w:p>
          <w:p w14:paraId="7A6F9362">
            <w:pPr>
              <w:pStyle w:val="158"/>
              <w:pageBreakBefore w:val="0"/>
              <w:wordWrap w:val="0"/>
              <w:topLinePunct/>
              <w:bidi w:val="0"/>
              <w:snapToGrid/>
              <w:spacing w:beforeAutospacing="0" w:afterAutospacing="0"/>
              <w:ind w:firstLine="480"/>
              <w:rPr>
                <w:color w:val="auto"/>
              </w:rPr>
            </w:pPr>
            <w:r>
              <w:rPr>
                <w:color w:val="auto"/>
              </w:rPr>
              <w:t>本项目生产</w:t>
            </w:r>
            <w:r>
              <w:rPr>
                <w:rFonts w:hint="eastAsia"/>
                <w:color w:val="auto"/>
              </w:rPr>
              <w:t>过程</w:t>
            </w:r>
            <w:r>
              <w:rPr>
                <w:color w:val="auto"/>
              </w:rPr>
              <w:t>使用的原辅材料</w:t>
            </w:r>
            <w:r>
              <w:rPr>
                <w:rFonts w:hint="eastAsia"/>
                <w:color w:val="auto"/>
                <w:lang w:val="en-US" w:eastAsia="zh-CN"/>
              </w:rPr>
              <w:t>油漆、稀释剂清洗剂等</w:t>
            </w:r>
            <w:r>
              <w:rPr>
                <w:color w:val="auto"/>
              </w:rPr>
              <w:t>会产生废原料桶，根据前文主要原辅材料包装规格，合计废原料桶年产量约为</w:t>
            </w:r>
            <w:r>
              <w:rPr>
                <w:rFonts w:hint="eastAsia"/>
                <w:color w:val="auto"/>
                <w:lang w:val="en-US" w:eastAsia="zh-CN"/>
              </w:rPr>
              <w:t>0.199</w:t>
            </w:r>
            <w:r>
              <w:rPr>
                <w:color w:val="auto"/>
              </w:rPr>
              <w:t>t/a</w:t>
            </w:r>
            <w:r>
              <w:rPr>
                <w:rFonts w:hint="eastAsia"/>
                <w:color w:val="auto"/>
                <w:lang w:eastAsia="zh-CN"/>
              </w:rPr>
              <w:t>（</w:t>
            </w:r>
            <w:r>
              <w:rPr>
                <w:rFonts w:hint="eastAsia"/>
                <w:color w:val="auto"/>
                <w:lang w:val="en-US" w:eastAsia="zh-CN"/>
              </w:rPr>
              <w:t>398</w:t>
            </w:r>
            <w:r>
              <w:rPr>
                <w:rFonts w:hint="default" w:ascii="Times New Roman" w:hAnsi="Times New Roman" w:eastAsia="宋体" w:cs="Times New Roman"/>
                <w:color w:val="auto"/>
                <w:kern w:val="0"/>
                <w:sz w:val="24"/>
                <w:szCs w:val="24"/>
                <w:highlight w:val="none"/>
                <w:lang w:val="en-US" w:eastAsia="zh-CN" w:bidi="ar-SA"/>
              </w:rPr>
              <w:t>个，废空桶平均重0.5kg/个）</w:t>
            </w:r>
            <w:r>
              <w:rPr>
                <w:color w:val="auto"/>
                <w:kern w:val="0"/>
              </w:rPr>
              <w:t>属于《国家危险废物名录》（202</w:t>
            </w:r>
            <w:r>
              <w:rPr>
                <w:rFonts w:hint="eastAsia"/>
                <w:color w:val="auto"/>
                <w:kern w:val="0"/>
                <w:lang w:val="en-US" w:eastAsia="zh-CN"/>
              </w:rPr>
              <w:t>5</w:t>
            </w:r>
            <w:r>
              <w:rPr>
                <w:color w:val="auto"/>
                <w:kern w:val="0"/>
              </w:rPr>
              <w:t>年版）中“HW49 其他废物”，废物代码 900-041-49。收集后交由有相应危险废物处理资质的单位处理。</w:t>
            </w:r>
          </w:p>
          <w:p w14:paraId="332FCB7B">
            <w:pPr>
              <w:keepNext/>
              <w:keepLines/>
              <w:pageBreakBefore w:val="0"/>
              <w:widowControl w:val="0"/>
              <w:numPr>
                <w:ilvl w:val="5"/>
                <w:numId w:val="0"/>
              </w:numPr>
              <w:wordWrap w:val="0"/>
              <w:overflowPunct/>
              <w:bidi w:val="0"/>
              <w:spacing w:line="360" w:lineRule="auto"/>
              <w:ind w:firstLine="422" w:firstLineChars="200"/>
              <w:jc w:val="both"/>
              <w:outlineLvl w:val="5"/>
              <w:rPr>
                <w:rFonts w:hint="eastAsia" w:cs="Times New Roman"/>
                <w:b/>
                <w:bCs/>
                <w:color w:val="auto"/>
                <w:kern w:val="2"/>
                <w:sz w:val="24"/>
                <w:szCs w:val="24"/>
                <w:highlight w:val="none"/>
                <w:lang w:val="en-US" w:eastAsia="zh-CN" w:bidi="ar-SA"/>
              </w:rPr>
            </w:pPr>
            <w:bookmarkStart w:id="33" w:name="_Toc29014"/>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12</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cs="Times New Roman"/>
                <w:b/>
                <w:bCs/>
                <w:color w:val="auto"/>
                <w:kern w:val="2"/>
                <w:sz w:val="24"/>
                <w:szCs w:val="24"/>
                <w:highlight w:val="none"/>
                <w:lang w:val="en-US" w:eastAsia="zh-CN" w:bidi="ar-SA"/>
              </w:rPr>
              <w:t>喷淋废液及沉渣</w:t>
            </w:r>
          </w:p>
          <w:p w14:paraId="3FC0E322">
            <w:pPr>
              <w:pStyle w:val="158"/>
              <w:pageBreakBefore w:val="0"/>
              <w:wordWrap w:val="0"/>
              <w:topLinePunct/>
              <w:bidi w:val="0"/>
              <w:snapToGrid/>
              <w:spacing w:beforeAutospacing="0" w:afterAutospacing="0"/>
              <w:ind w:firstLine="480"/>
              <w:rPr>
                <w:rFonts w:hint="default" w:eastAsia="宋体"/>
                <w:color w:val="auto"/>
                <w:lang w:val="en-US" w:eastAsia="zh-CN"/>
              </w:rPr>
            </w:pPr>
            <w:r>
              <w:rPr>
                <w:rFonts w:hint="default" w:ascii="Times New Roman" w:hAnsi="Times New Roman" w:eastAsia="宋体" w:cs="Times New Roman"/>
                <w:color w:val="auto"/>
                <w:kern w:val="2"/>
                <w:sz w:val="24"/>
                <w:szCs w:val="21"/>
                <w:highlight w:val="none"/>
                <w:lang w:val="en-US" w:eastAsia="zh-CN" w:bidi="ar-SA"/>
              </w:rPr>
              <w:t>本项目</w:t>
            </w:r>
            <w:r>
              <w:rPr>
                <w:rFonts w:hint="eastAsia" w:ascii="Times New Roman" w:hAnsi="Times New Roman" w:eastAsia="宋体" w:cs="Times New Roman"/>
                <w:color w:val="auto"/>
                <w:kern w:val="2"/>
                <w:sz w:val="24"/>
                <w:szCs w:val="21"/>
                <w:highlight w:val="none"/>
                <w:lang w:val="en-US" w:eastAsia="zh-CN" w:bidi="ar-SA"/>
              </w:rPr>
              <w:t>喷涂过程产生的沉渣按漆雾削减量</w:t>
            </w:r>
            <w:r>
              <w:rPr>
                <w:rFonts w:hint="eastAsia" w:cs="Times New Roman"/>
                <w:color w:val="auto"/>
                <w:kern w:val="2"/>
                <w:sz w:val="24"/>
                <w:szCs w:val="21"/>
                <w:highlight w:val="none"/>
                <w:lang w:val="en-US" w:eastAsia="zh-CN" w:bidi="ar-SA"/>
              </w:rPr>
              <w:t>50%</w:t>
            </w:r>
            <w:r>
              <w:rPr>
                <w:rFonts w:hint="eastAsia" w:ascii="Times New Roman" w:hAnsi="Times New Roman" w:eastAsia="宋体" w:cs="Times New Roman"/>
                <w:color w:val="auto"/>
                <w:kern w:val="2"/>
                <w:sz w:val="24"/>
                <w:szCs w:val="21"/>
                <w:highlight w:val="none"/>
                <w:lang w:val="en-US" w:eastAsia="zh-CN" w:bidi="ar-SA"/>
              </w:rPr>
              <w:t>核算</w:t>
            </w:r>
            <w:r>
              <w:rPr>
                <w:rFonts w:hint="eastAsia" w:cs="Times New Roman"/>
                <w:color w:val="auto"/>
                <w:kern w:val="2"/>
                <w:sz w:val="24"/>
                <w:szCs w:val="21"/>
                <w:highlight w:val="none"/>
                <w:lang w:val="en-US" w:eastAsia="zh-CN" w:bidi="ar-SA"/>
              </w:rPr>
              <w:t>，即1.126t/a</w:t>
            </w:r>
            <w:r>
              <w:rPr>
                <w:rFonts w:hint="eastAsia" w:ascii="Times New Roman" w:hAnsi="Times New Roman" w:eastAsia="宋体" w:cs="Times New Roman"/>
                <w:color w:val="auto"/>
                <w:kern w:val="2"/>
                <w:sz w:val="24"/>
                <w:szCs w:val="21"/>
                <w:highlight w:val="none"/>
                <w:lang w:val="en-US" w:eastAsia="zh-CN" w:bidi="ar-SA"/>
              </w:rPr>
              <w:t>。</w:t>
            </w:r>
            <w:r>
              <w:rPr>
                <w:rFonts w:hint="eastAsia" w:cs="Times New Roman"/>
                <w:color w:val="auto"/>
                <w:kern w:val="2"/>
                <w:sz w:val="24"/>
                <w:szCs w:val="21"/>
                <w:highlight w:val="none"/>
                <w:lang w:val="en-US" w:eastAsia="zh-CN" w:bidi="ar-SA"/>
              </w:rPr>
              <w:t>根据前文计算，水帘柜喷淋废水和喷淋塔废水产生量为194.4+67.2=261.6t/a。合计喷淋废液及沉渣产生量为262.726t/a。</w:t>
            </w:r>
            <w:r>
              <w:rPr>
                <w:rFonts w:hint="default" w:ascii="Times New Roman" w:hAnsi="Times New Roman" w:eastAsia="宋体" w:cs="Times New Roman"/>
                <w:color w:val="auto"/>
                <w:kern w:val="2"/>
                <w:sz w:val="24"/>
                <w:szCs w:val="21"/>
                <w:highlight w:val="none"/>
                <w:lang w:val="en-US" w:eastAsia="zh-CN" w:bidi="ar-SA"/>
              </w:rPr>
              <w:t>根据《国家危险废物名录》（202</w:t>
            </w:r>
            <w:r>
              <w:rPr>
                <w:rFonts w:hint="eastAsia" w:cs="Times New Roman"/>
                <w:color w:val="auto"/>
                <w:kern w:val="2"/>
                <w:sz w:val="24"/>
                <w:szCs w:val="21"/>
                <w:highlight w:val="none"/>
                <w:lang w:val="en-US" w:eastAsia="zh-CN" w:bidi="ar-SA"/>
              </w:rPr>
              <w:t>5</w:t>
            </w:r>
            <w:r>
              <w:rPr>
                <w:rFonts w:hint="default" w:ascii="Times New Roman" w:hAnsi="Times New Roman" w:eastAsia="宋体" w:cs="Times New Roman"/>
                <w:color w:val="auto"/>
                <w:kern w:val="2"/>
                <w:sz w:val="24"/>
                <w:szCs w:val="21"/>
                <w:highlight w:val="none"/>
                <w:lang w:val="en-US" w:eastAsia="zh-CN" w:bidi="ar-SA"/>
              </w:rPr>
              <w:t>年版），</w:t>
            </w:r>
            <w:r>
              <w:rPr>
                <w:rFonts w:hint="eastAsia" w:cs="Times New Roman"/>
                <w:color w:val="auto"/>
                <w:kern w:val="2"/>
                <w:sz w:val="24"/>
                <w:szCs w:val="21"/>
                <w:highlight w:val="none"/>
                <w:lang w:val="en-US" w:eastAsia="zh-CN" w:bidi="ar-SA"/>
              </w:rPr>
              <w:t>喷淋废液及沉渣的</w:t>
            </w:r>
            <w:r>
              <w:rPr>
                <w:rFonts w:hint="default" w:ascii="Times New Roman" w:hAnsi="Times New Roman" w:eastAsia="宋体" w:cs="Times New Roman"/>
                <w:color w:val="auto"/>
                <w:kern w:val="2"/>
                <w:sz w:val="24"/>
                <w:szCs w:val="24"/>
                <w:highlight w:val="none"/>
                <w:lang w:val="en-US" w:eastAsia="zh-CN" w:bidi="ar-SA"/>
              </w:rPr>
              <w:t xml:space="preserve">废物类别为HW12， </w:t>
            </w:r>
            <w:r>
              <w:rPr>
                <w:rFonts w:hint="eastAsia" w:cs="Times New Roman"/>
                <w:color w:val="auto"/>
                <w:kern w:val="2"/>
                <w:sz w:val="24"/>
                <w:szCs w:val="24"/>
                <w:highlight w:val="none"/>
                <w:lang w:val="en-US" w:eastAsia="zh-CN" w:bidi="ar-SA"/>
              </w:rPr>
              <w:t>代码</w:t>
            </w:r>
            <w:r>
              <w:rPr>
                <w:rFonts w:hint="default" w:ascii="Times New Roman" w:hAnsi="Times New Roman" w:eastAsia="宋体" w:cs="Times New Roman"/>
                <w:color w:val="auto"/>
                <w:kern w:val="2"/>
                <w:sz w:val="24"/>
                <w:szCs w:val="24"/>
                <w:highlight w:val="none"/>
                <w:lang w:val="en-US" w:eastAsia="zh-CN" w:bidi="ar-SA"/>
              </w:rPr>
              <w:t>900-252-12（使用过程中产生的废油漆、染料、颜料等），交由具有</w:t>
            </w:r>
            <w:r>
              <w:rPr>
                <w:rFonts w:hint="eastAsia" w:cs="Times New Roman"/>
                <w:color w:val="auto"/>
                <w:kern w:val="2"/>
                <w:sz w:val="24"/>
                <w:szCs w:val="24"/>
                <w:highlight w:val="none"/>
                <w:lang w:val="en-US" w:eastAsia="zh-CN" w:bidi="ar-SA"/>
              </w:rPr>
              <w:t>相关</w:t>
            </w:r>
            <w:r>
              <w:rPr>
                <w:rFonts w:hint="default" w:ascii="Times New Roman" w:hAnsi="Times New Roman" w:eastAsia="宋体" w:cs="Times New Roman"/>
                <w:color w:val="auto"/>
                <w:kern w:val="2"/>
                <w:sz w:val="24"/>
                <w:szCs w:val="24"/>
                <w:highlight w:val="none"/>
                <w:lang w:val="en-US" w:eastAsia="zh-CN" w:bidi="ar-SA"/>
              </w:rPr>
              <w:t>危废处理资质单位清运处理。</w:t>
            </w:r>
          </w:p>
          <w:bookmarkEnd w:id="33"/>
          <w:p w14:paraId="718EEA02">
            <w:pPr>
              <w:pStyle w:val="158"/>
              <w:pageBreakBefore w:val="0"/>
              <w:wordWrap w:val="0"/>
              <w:topLinePunct/>
              <w:bidi w:val="0"/>
              <w:snapToGrid/>
              <w:spacing w:beforeAutospacing="0" w:afterAutospacing="0"/>
              <w:ind w:firstLine="482"/>
              <w:rPr>
                <w:b/>
                <w:bCs/>
                <w:color w:val="auto"/>
              </w:rPr>
            </w:pPr>
            <w:r>
              <w:rPr>
                <w:rFonts w:hint="eastAsia"/>
                <w:b/>
                <w:bCs/>
                <w:color w:val="auto"/>
                <w:kern w:val="0"/>
                <w:lang w:val="en-US" w:eastAsia="zh-CN"/>
              </w:rPr>
              <w:fldChar w:fldCharType="begin"/>
            </w:r>
            <w:r>
              <w:rPr>
                <w:rFonts w:hint="eastAsia"/>
                <w:b/>
                <w:bCs/>
                <w:color w:val="auto"/>
                <w:kern w:val="0"/>
                <w:lang w:val="en-US" w:eastAsia="zh-CN"/>
              </w:rPr>
              <w:instrText xml:space="preserve"> EQ \o\ac(</w:instrText>
            </w:r>
            <w:r>
              <w:rPr>
                <w:rFonts w:hint="eastAsia"/>
                <w:b/>
                <w:bCs/>
                <w:color w:val="auto"/>
                <w:spacing w:val="0"/>
                <w:kern w:val="0"/>
                <w:sz w:val="24"/>
                <w:szCs w:val="24"/>
                <w:lang w:val="en-US" w:eastAsia="zh-CN" w:bidi="ar-SA"/>
              </w:rPr>
              <w:instrText xml:space="preserve">○</w:instrText>
            </w:r>
            <w:r>
              <w:rPr>
                <w:rFonts w:hint="eastAsia"/>
                <w:b/>
                <w:bCs/>
                <w:color w:val="auto"/>
                <w:kern w:val="0"/>
                <w:lang w:val="en-US" w:eastAsia="zh-CN"/>
              </w:rPr>
              <w:instrText xml:space="preserve">,</w:instrText>
            </w:r>
            <w:r>
              <w:rPr>
                <w:rFonts w:hint="eastAsia"/>
                <w:b/>
                <w:bCs/>
                <w:color w:val="auto"/>
                <w:spacing w:val="0"/>
                <w:kern w:val="0"/>
                <w:position w:val="3"/>
                <w:sz w:val="16"/>
                <w:szCs w:val="24"/>
                <w:lang w:val="en-US" w:eastAsia="zh-CN" w:bidi="ar-SA"/>
              </w:rPr>
              <w:instrText xml:space="preserve">13</w:instrText>
            </w:r>
            <w:r>
              <w:rPr>
                <w:rFonts w:hint="eastAsia"/>
                <w:b/>
                <w:bCs/>
                <w:color w:val="auto"/>
                <w:kern w:val="0"/>
                <w:lang w:val="en-US" w:eastAsia="zh-CN"/>
              </w:rPr>
              <w:instrText xml:space="preserve">)</w:instrText>
            </w:r>
            <w:r>
              <w:rPr>
                <w:rFonts w:hint="eastAsia"/>
                <w:b/>
                <w:bCs/>
                <w:color w:val="auto"/>
                <w:kern w:val="0"/>
                <w:lang w:val="en-US" w:eastAsia="zh-CN"/>
              </w:rPr>
              <w:fldChar w:fldCharType="end"/>
            </w:r>
            <w:r>
              <w:rPr>
                <w:b/>
                <w:bCs/>
                <w:color w:val="auto"/>
              </w:rPr>
              <w:t>喷枪清洗废液</w:t>
            </w:r>
          </w:p>
          <w:p w14:paraId="6E9A9E8E">
            <w:pPr>
              <w:pStyle w:val="158"/>
              <w:pageBreakBefore w:val="0"/>
              <w:wordWrap w:val="0"/>
              <w:topLinePunct/>
              <w:bidi w:val="0"/>
              <w:snapToGrid/>
              <w:spacing w:beforeAutospacing="0" w:afterAutospacing="0"/>
              <w:ind w:firstLine="480"/>
              <w:rPr>
                <w:color w:val="auto"/>
              </w:rPr>
            </w:pPr>
            <w:r>
              <w:rPr>
                <w:color w:val="auto"/>
              </w:rPr>
              <w:t>喷漆所用的喷枪在每日生产前需要清洗，使用</w:t>
            </w:r>
            <w:r>
              <w:rPr>
                <w:rFonts w:hint="eastAsia"/>
                <w:color w:val="auto"/>
                <w:lang w:val="en-US" w:eastAsia="zh-CN"/>
              </w:rPr>
              <w:t>清洗</w:t>
            </w:r>
            <w:r>
              <w:rPr>
                <w:color w:val="auto"/>
              </w:rPr>
              <w:t>剂在面漆流平室内将枪头浸没在</w:t>
            </w:r>
            <w:r>
              <w:rPr>
                <w:rFonts w:hint="eastAsia"/>
                <w:color w:val="auto"/>
                <w:lang w:val="en-US" w:eastAsia="zh-CN"/>
              </w:rPr>
              <w:t>清洗</w:t>
            </w:r>
            <w:r>
              <w:rPr>
                <w:color w:val="auto"/>
              </w:rPr>
              <w:t>剂原料桶内</w:t>
            </w:r>
            <w:r>
              <w:rPr>
                <w:rFonts w:hint="eastAsia"/>
                <w:color w:val="auto"/>
                <w:lang w:val="en-US" w:eastAsia="zh-CN"/>
              </w:rPr>
              <w:t>加盖浸泡</w:t>
            </w:r>
            <w:r>
              <w:rPr>
                <w:color w:val="auto"/>
              </w:rPr>
              <w:t>清洗，时间较短</w:t>
            </w:r>
            <w:r>
              <w:rPr>
                <w:rFonts w:hint="eastAsia"/>
                <w:color w:val="auto"/>
                <w:lang w:val="en-US" w:eastAsia="zh-CN"/>
              </w:rPr>
              <w:t>且挥发量较少</w:t>
            </w:r>
            <w:r>
              <w:rPr>
                <w:color w:val="auto"/>
              </w:rPr>
              <w:t>，清洗后</w:t>
            </w:r>
            <w:r>
              <w:rPr>
                <w:rFonts w:hint="eastAsia"/>
                <w:color w:val="auto"/>
                <w:lang w:val="en-US" w:eastAsia="zh-CN"/>
              </w:rPr>
              <w:t>清洗</w:t>
            </w:r>
            <w:r>
              <w:rPr>
                <w:color w:val="auto"/>
              </w:rPr>
              <w:t>剂称为喷枪清洗废液。根据企业提供资料，每日清洗，每次清洗用量约为</w:t>
            </w:r>
            <w:r>
              <w:rPr>
                <w:rFonts w:hint="eastAsia"/>
                <w:color w:val="auto"/>
                <w:lang w:val="en-US" w:eastAsia="zh-CN"/>
              </w:rPr>
              <w:t>70ml</w:t>
            </w:r>
            <w:r>
              <w:rPr>
                <w:color w:val="auto"/>
              </w:rPr>
              <w:t>，预计年使用</w:t>
            </w:r>
            <w:r>
              <w:rPr>
                <w:rFonts w:hint="eastAsia"/>
                <w:color w:val="auto"/>
                <w:lang w:val="en-US" w:eastAsia="zh-CN"/>
              </w:rPr>
              <w:t>清洗剂0.084</w:t>
            </w:r>
            <w:r>
              <w:rPr>
                <w:color w:val="auto"/>
              </w:rPr>
              <w:t>t/a，故喷枪清洗废液</w:t>
            </w:r>
            <w:r>
              <w:rPr>
                <w:rFonts w:hint="eastAsia"/>
                <w:color w:val="auto"/>
                <w:lang w:val="en-US" w:eastAsia="zh-CN"/>
              </w:rPr>
              <w:t>以50%计，则喷枪清洗废液</w:t>
            </w:r>
            <w:r>
              <w:rPr>
                <w:color w:val="auto"/>
              </w:rPr>
              <w:t>年产生量约为</w:t>
            </w:r>
            <w:r>
              <w:rPr>
                <w:rFonts w:hint="eastAsia"/>
                <w:color w:val="auto"/>
                <w:lang w:val="en-US" w:eastAsia="zh-CN"/>
              </w:rPr>
              <w:t>0.042</w:t>
            </w:r>
            <w:r>
              <w:rPr>
                <w:color w:val="auto"/>
              </w:rPr>
              <w:t>t/a。属于《国家危险废物名录》（202</w:t>
            </w:r>
            <w:r>
              <w:rPr>
                <w:rFonts w:hint="eastAsia"/>
                <w:color w:val="auto"/>
                <w:lang w:val="en-US" w:eastAsia="zh-CN"/>
              </w:rPr>
              <w:t>5</w:t>
            </w:r>
            <w:r>
              <w:rPr>
                <w:color w:val="auto"/>
              </w:rPr>
              <w:t xml:space="preserve"> 年版）中，为“HW06 废有机溶剂与含有机溶剂废物”，危废代码为900-402-06</w:t>
            </w:r>
            <w:r>
              <w:rPr>
                <w:rFonts w:hint="eastAsia"/>
                <w:color w:val="auto"/>
              </w:rPr>
              <w:t>。</w:t>
            </w:r>
            <w:r>
              <w:rPr>
                <w:color w:val="auto"/>
                <w:kern w:val="0"/>
              </w:rPr>
              <w:t>收集后交由有相应危险废物处理资质的单位处理。</w:t>
            </w:r>
          </w:p>
          <w:p w14:paraId="13D4333F">
            <w:pPr>
              <w:pStyle w:val="158"/>
              <w:pageBreakBefore w:val="0"/>
              <w:wordWrap w:val="0"/>
              <w:topLinePunct/>
              <w:bidi w:val="0"/>
              <w:snapToGrid/>
              <w:spacing w:beforeAutospacing="0" w:afterAutospacing="0"/>
              <w:ind w:firstLine="482"/>
              <w:rPr>
                <w:rFonts w:hint="eastAsia" w:eastAsia="宋体"/>
                <w:b/>
                <w:bCs/>
                <w:color w:val="auto"/>
                <w:lang w:eastAsia="zh-CN"/>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14</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b/>
                <w:bCs/>
                <w:color w:val="auto"/>
                <w:lang w:val="en-US" w:eastAsia="zh-CN"/>
              </w:rPr>
              <w:t>废静电喷粉滤芯</w:t>
            </w:r>
          </w:p>
          <w:p w14:paraId="667DC8B1">
            <w:pPr>
              <w:pStyle w:val="158"/>
              <w:pageBreakBefore w:val="0"/>
              <w:wordWrap w:val="0"/>
              <w:topLinePunct/>
              <w:bidi w:val="0"/>
              <w:snapToGrid/>
              <w:spacing w:beforeAutospacing="0" w:afterAutospacing="0"/>
              <w:ind w:firstLine="480"/>
              <w:rPr>
                <w:rFonts w:hint="eastAsia" w:eastAsia="宋体"/>
                <w:color w:val="auto"/>
                <w:lang w:eastAsia="zh-CN"/>
              </w:rPr>
            </w:pPr>
            <w:r>
              <w:rPr>
                <w:color w:val="auto"/>
              </w:rPr>
              <w:t>本项目</w:t>
            </w:r>
            <w:r>
              <w:rPr>
                <w:rFonts w:hint="eastAsia"/>
                <w:color w:val="auto"/>
                <w:lang w:val="en-US" w:eastAsia="zh-CN"/>
              </w:rPr>
              <w:t>静电喷粉废气</w:t>
            </w:r>
            <w:r>
              <w:rPr>
                <w:color w:val="auto"/>
              </w:rPr>
              <w:t>使用“大旋风+滤芯式二级回收系统”处理，需要定期更换滤芯，故产生废</w:t>
            </w:r>
            <w:r>
              <w:rPr>
                <w:rFonts w:hint="eastAsia"/>
                <w:color w:val="auto"/>
              </w:rPr>
              <w:t>静电喷粉</w:t>
            </w:r>
            <w:r>
              <w:rPr>
                <w:color w:val="auto"/>
              </w:rPr>
              <w:t>滤芯。其产生量</w:t>
            </w:r>
            <w:r>
              <w:rPr>
                <w:rFonts w:hint="eastAsia"/>
                <w:color w:val="auto"/>
                <w:lang w:val="en-US" w:eastAsia="zh-CN"/>
              </w:rPr>
              <w:t>=</w:t>
            </w:r>
            <w:r>
              <w:rPr>
                <w:color w:val="auto"/>
              </w:rPr>
              <w:t>滤芯年更换量</w:t>
            </w:r>
            <w:r>
              <w:rPr>
                <w:rFonts w:hint="eastAsia"/>
                <w:color w:val="auto"/>
                <w:lang w:val="en-US" w:eastAsia="zh-CN"/>
              </w:rPr>
              <w:t>=滤芯单个重量×一次更换数量×年更换次数</w:t>
            </w:r>
            <w:r>
              <w:rPr>
                <w:color w:val="auto"/>
              </w:rPr>
              <w:t>=</w:t>
            </w:r>
            <w:r>
              <w:rPr>
                <w:rFonts w:hint="eastAsia"/>
                <w:color w:val="auto"/>
                <w:lang w:val="en-US" w:eastAsia="zh-CN"/>
              </w:rPr>
              <w:t>8kg×1个×12次/a= 0.096</w:t>
            </w:r>
            <w:r>
              <w:rPr>
                <w:color w:val="auto"/>
              </w:rPr>
              <w:t>t/a</w:t>
            </w:r>
            <w:r>
              <w:rPr>
                <w:rFonts w:hint="eastAsia"/>
                <w:color w:val="auto"/>
                <w:lang w:eastAsia="zh-CN"/>
              </w:rPr>
              <w:t>。</w:t>
            </w:r>
            <w:r>
              <w:rPr>
                <w:bCs/>
                <w:color w:val="auto"/>
              </w:rPr>
              <w:t>根据《国家危险废物名录》（202</w:t>
            </w:r>
            <w:r>
              <w:rPr>
                <w:rFonts w:hint="eastAsia"/>
                <w:bCs/>
                <w:color w:val="auto"/>
                <w:lang w:val="en-US" w:eastAsia="zh-CN"/>
              </w:rPr>
              <w:t>5</w:t>
            </w:r>
            <w:r>
              <w:rPr>
                <w:bCs/>
                <w:color w:val="auto"/>
              </w:rPr>
              <w:t>年），</w:t>
            </w:r>
            <w:r>
              <w:rPr>
                <w:rFonts w:hint="eastAsia"/>
                <w:bCs/>
                <w:color w:val="auto"/>
                <w:lang w:eastAsia="zh-CN"/>
              </w:rPr>
              <w:t>废静电喷粉滤芯</w:t>
            </w:r>
            <w:r>
              <w:rPr>
                <w:bCs/>
                <w:color w:val="auto"/>
              </w:rPr>
              <w:t>属于“HW49 其他废物”，废物代码900-041-49</w:t>
            </w:r>
            <w:r>
              <w:rPr>
                <w:color w:val="auto"/>
              </w:rPr>
              <w:t>，经统一收集后交由有危险废物处理资质的单位处理。</w:t>
            </w:r>
          </w:p>
          <w:p w14:paraId="67D4D5B8">
            <w:pPr>
              <w:pStyle w:val="158"/>
              <w:pageBreakBefore w:val="0"/>
              <w:wordWrap w:val="0"/>
              <w:topLinePunct/>
              <w:bidi w:val="0"/>
              <w:snapToGrid/>
              <w:spacing w:beforeAutospacing="0" w:afterAutospacing="0"/>
              <w:ind w:firstLine="480"/>
              <w:rPr>
                <w:b/>
                <w:bCs/>
                <w:color w:val="auto"/>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15</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废过滤棉</w:t>
            </w:r>
          </w:p>
          <w:p w14:paraId="08C22383">
            <w:pPr>
              <w:pStyle w:val="158"/>
              <w:pageBreakBefore w:val="0"/>
              <w:wordWrap w:val="0"/>
              <w:topLinePunct/>
              <w:bidi w:val="0"/>
              <w:snapToGrid/>
              <w:spacing w:beforeAutospacing="0" w:afterAutospacing="0"/>
              <w:ind w:firstLine="480"/>
              <w:rPr>
                <w:color w:val="auto"/>
              </w:rPr>
            </w:pPr>
            <w:r>
              <w:rPr>
                <w:bCs/>
                <w:color w:val="auto"/>
              </w:rPr>
              <w:t>项目在处理有机废气过程中需要定期更换过滤棉，过滤棉预计</w:t>
            </w:r>
            <w:r>
              <w:rPr>
                <w:rFonts w:hint="eastAsia"/>
                <w:bCs/>
                <w:color w:val="auto"/>
              </w:rPr>
              <w:t>每月</w:t>
            </w:r>
            <w:r>
              <w:rPr>
                <w:bCs/>
                <w:color w:val="auto"/>
              </w:rPr>
              <w:t>更换</w:t>
            </w:r>
            <w:r>
              <w:rPr>
                <w:rFonts w:hint="eastAsia"/>
                <w:bCs/>
                <w:color w:val="auto"/>
              </w:rPr>
              <w:t>1</w:t>
            </w:r>
            <w:r>
              <w:rPr>
                <w:bCs/>
                <w:color w:val="auto"/>
              </w:rPr>
              <w:t>次，每次更换量约为0.01t/a，则废过滤棉产生量为0.</w:t>
            </w:r>
            <w:r>
              <w:rPr>
                <w:rFonts w:hint="eastAsia"/>
                <w:bCs/>
                <w:color w:val="auto"/>
              </w:rPr>
              <w:t>12</w:t>
            </w:r>
            <w:r>
              <w:rPr>
                <w:bCs/>
                <w:color w:val="auto"/>
              </w:rPr>
              <w:t>t/a。根据《国家危险废物名录》（202</w:t>
            </w:r>
            <w:r>
              <w:rPr>
                <w:rFonts w:hint="eastAsia"/>
                <w:bCs/>
                <w:color w:val="auto"/>
                <w:lang w:val="en-US" w:eastAsia="zh-CN"/>
              </w:rPr>
              <w:t>5</w:t>
            </w:r>
            <w:r>
              <w:rPr>
                <w:bCs/>
                <w:color w:val="auto"/>
              </w:rPr>
              <w:t>年），废过滤棉属于“HW49 其他废物”，废物代码900-041-49</w:t>
            </w:r>
            <w:r>
              <w:rPr>
                <w:color w:val="auto"/>
              </w:rPr>
              <w:t>，经统一收集后交由有危险废物处理资质的单位处理。</w:t>
            </w:r>
          </w:p>
          <w:p w14:paraId="52EDA7DD">
            <w:pPr>
              <w:pStyle w:val="158"/>
              <w:pageBreakBefore w:val="0"/>
              <w:wordWrap w:val="0"/>
              <w:topLinePunct/>
              <w:bidi w:val="0"/>
              <w:snapToGrid/>
              <w:spacing w:beforeAutospacing="0" w:afterAutospacing="0"/>
              <w:ind w:firstLine="482"/>
              <w:rPr>
                <w:b/>
                <w:bCs/>
                <w:color w:val="auto"/>
              </w:rPr>
            </w:pPr>
            <w:bookmarkStart w:id="34" w:name="_Toc32195"/>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16</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废活性炭</w:t>
            </w:r>
            <w:bookmarkEnd w:id="34"/>
          </w:p>
          <w:p w14:paraId="55B6239E">
            <w:pPr>
              <w:pStyle w:val="158"/>
              <w:pageBreakBefore w:val="0"/>
              <w:wordWrap w:val="0"/>
              <w:topLinePunct/>
              <w:bidi w:val="0"/>
              <w:snapToGrid/>
              <w:spacing w:beforeAutospacing="0" w:afterAutospacing="0"/>
              <w:ind w:firstLine="480"/>
              <w:rPr>
                <w:rFonts w:hint="eastAsia" w:ascii="Times New Roman" w:hAnsi="Times New Roman" w:eastAsia="宋体" w:cs="Times New Roman"/>
                <w:color w:val="auto"/>
                <w:kern w:val="2"/>
                <w:sz w:val="24"/>
                <w:szCs w:val="24"/>
                <w:highlight w:val="none"/>
                <w:lang w:val="en-US" w:eastAsia="zh-CN" w:bidi="ar-SA"/>
              </w:rPr>
            </w:pPr>
            <w:r>
              <w:rPr>
                <w:rFonts w:hint="eastAsia"/>
                <w:b/>
                <w:bCs/>
                <w:color w:val="auto"/>
                <w:lang w:val="en-US" w:eastAsia="zh-CN"/>
              </w:rPr>
              <w:t>吸附脱附段活性炭产生量：</w:t>
            </w:r>
            <w:r>
              <w:rPr>
                <w:color w:val="auto"/>
              </w:rPr>
              <w:t>本项目废气治理设施中，使用的活性炭需要定期更换，根据</w:t>
            </w:r>
            <w:r>
              <w:rPr>
                <w:rFonts w:hint="eastAsia"/>
                <w:color w:val="auto"/>
              </w:rPr>
              <w:t>建设单位提供的</w:t>
            </w:r>
            <w:r>
              <w:rPr>
                <w:color w:val="auto"/>
              </w:rPr>
              <w:t>废气治理方案，</w:t>
            </w:r>
            <w:r>
              <w:rPr>
                <w:rFonts w:hint="eastAsia"/>
                <w:color w:val="auto"/>
                <w:lang w:val="en-US" w:eastAsia="zh-CN"/>
              </w:rPr>
              <w:t>TA002废气处理设施（</w:t>
            </w:r>
            <w:r>
              <w:rPr>
                <w:rFonts w:hint="eastAsia" w:ascii="Times New Roman" w:hAnsi="Times New Roman" w:eastAsia="宋体" w:cs="Times New Roman"/>
                <w:color w:val="auto"/>
                <w:kern w:val="2"/>
                <w:sz w:val="24"/>
                <w:szCs w:val="24"/>
                <w:highlight w:val="none"/>
                <w:lang w:val="en-US" w:eastAsia="zh-CN" w:bidi="ar-SA"/>
              </w:rPr>
              <w:t>活性炭吸脱附+催化燃烧段）</w:t>
            </w:r>
            <w:r>
              <w:rPr>
                <w:rFonts w:hint="eastAsia"/>
                <w:color w:val="auto"/>
                <w:lang w:val="en-US" w:eastAsia="zh-CN"/>
              </w:rPr>
              <w:t>设4个吸附床并联运行，一个脱附床。</w:t>
            </w:r>
            <w:r>
              <w:rPr>
                <w:color w:val="auto"/>
              </w:rPr>
              <w:t>活性炭装载量为</w:t>
            </w:r>
            <w:r>
              <w:rPr>
                <w:rFonts w:hint="eastAsia"/>
                <w:color w:val="auto"/>
                <w:lang w:val="en-US" w:eastAsia="zh-CN"/>
              </w:rPr>
              <w:t>21</w:t>
            </w:r>
            <w:r>
              <w:rPr>
                <w:color w:val="auto"/>
              </w:rPr>
              <w:t>m³，密度为380～450kg/m</w:t>
            </w:r>
            <w:r>
              <w:rPr>
                <w:color w:val="auto"/>
                <w:vertAlign w:val="superscript"/>
              </w:rPr>
              <w:t>3</w:t>
            </w:r>
            <w:r>
              <w:rPr>
                <w:color w:val="auto"/>
              </w:rPr>
              <w:t>，取415kg/m</w:t>
            </w:r>
            <w:r>
              <w:rPr>
                <w:color w:val="auto"/>
                <w:vertAlign w:val="superscript"/>
              </w:rPr>
              <w:t>3</w:t>
            </w:r>
            <w:r>
              <w:rPr>
                <w:color w:val="auto"/>
              </w:rPr>
              <w:t>。活性炭</w:t>
            </w:r>
            <w:r>
              <w:rPr>
                <w:rFonts w:hint="eastAsia"/>
                <w:color w:val="auto"/>
                <w:lang w:val="en-US" w:eastAsia="zh-CN"/>
              </w:rPr>
              <w:t>吸附床设计寿命为8000h，本环评保守取</w:t>
            </w:r>
            <w:r>
              <w:rPr>
                <w:color w:val="auto"/>
              </w:rPr>
              <w:t>更换次数为一年一次，即活性炭</w:t>
            </w:r>
            <w:r>
              <w:rPr>
                <w:rFonts w:hint="eastAsia"/>
                <w:color w:val="auto"/>
                <w:lang w:val="en-US" w:eastAsia="zh-CN"/>
              </w:rPr>
              <w:t>年更换</w:t>
            </w:r>
            <w:r>
              <w:rPr>
                <w:color w:val="auto"/>
              </w:rPr>
              <w:t>量为</w:t>
            </w:r>
            <w:r>
              <w:rPr>
                <w:rFonts w:hint="eastAsia"/>
                <w:color w:val="auto"/>
                <w:lang w:val="en-US" w:eastAsia="zh-CN"/>
              </w:rPr>
              <w:t>21</w:t>
            </w:r>
            <w:r>
              <w:rPr>
                <w:color w:val="auto"/>
              </w:rPr>
              <w:t>m</w:t>
            </w:r>
            <w:r>
              <w:rPr>
                <w:color w:val="auto"/>
                <w:vertAlign w:val="superscript"/>
              </w:rPr>
              <w:t>3</w:t>
            </w:r>
            <w:r>
              <w:rPr>
                <w:color w:val="auto"/>
              </w:rPr>
              <w:t>×415kg/m</w:t>
            </w:r>
            <w:r>
              <w:rPr>
                <w:color w:val="auto"/>
                <w:vertAlign w:val="superscript"/>
              </w:rPr>
              <w:t>3</w:t>
            </w:r>
            <w:r>
              <w:rPr>
                <w:color w:val="auto"/>
              </w:rPr>
              <w:t>/1000=</w:t>
            </w:r>
            <w:r>
              <w:rPr>
                <w:rFonts w:hint="eastAsia"/>
                <w:color w:val="auto"/>
                <w:lang w:val="en-US" w:eastAsia="zh-CN"/>
              </w:rPr>
              <w:t>8.715</w:t>
            </w:r>
            <w:r>
              <w:rPr>
                <w:color w:val="auto"/>
              </w:rPr>
              <w:t>t/a</w:t>
            </w:r>
            <w:r>
              <w:rPr>
                <w:rFonts w:hint="eastAsia"/>
                <w:color w:val="auto"/>
                <w:lang w:eastAsia="zh-CN"/>
              </w:rPr>
              <w:t>，</w:t>
            </w:r>
            <w:r>
              <w:rPr>
                <w:rFonts w:hint="eastAsia" w:ascii="Times New Roman" w:hAnsi="Times New Roman" w:cs="Times New Roman"/>
                <w:color w:val="auto"/>
                <w:kern w:val="2"/>
                <w:sz w:val="24"/>
                <w:szCs w:val="24"/>
                <w:highlight w:val="none"/>
                <w:lang w:val="en-US" w:eastAsia="zh-CN" w:bidi="ar-SA"/>
              </w:rPr>
              <w:t>考虑活性炭</w:t>
            </w:r>
            <w:r>
              <w:rPr>
                <w:rFonts w:hint="default" w:ascii="Times New Roman" w:hAnsi="Times New Roman" w:eastAsia="宋体" w:cs="Times New Roman"/>
                <w:color w:val="auto"/>
                <w:kern w:val="2"/>
                <w:sz w:val="24"/>
                <w:szCs w:val="24"/>
                <w:highlight w:val="none"/>
                <w:lang w:val="en-US" w:eastAsia="zh-CN" w:bidi="ar-SA"/>
              </w:rPr>
              <w:t>脱附</w:t>
            </w:r>
            <w:r>
              <w:rPr>
                <w:rFonts w:hint="eastAsia" w:ascii="Times New Roman" w:hAnsi="Times New Roman" w:cs="Times New Roman"/>
                <w:color w:val="auto"/>
                <w:kern w:val="2"/>
                <w:sz w:val="24"/>
                <w:szCs w:val="24"/>
                <w:highlight w:val="none"/>
                <w:lang w:val="en-US" w:eastAsia="zh-CN" w:bidi="ar-SA"/>
              </w:rPr>
              <w:t>时</w:t>
            </w:r>
            <w:r>
              <w:rPr>
                <w:rFonts w:hint="default" w:ascii="Times New Roman" w:hAnsi="Times New Roman" w:eastAsia="宋体" w:cs="Times New Roman"/>
                <w:color w:val="auto"/>
                <w:kern w:val="2"/>
                <w:sz w:val="24"/>
                <w:szCs w:val="24"/>
                <w:highlight w:val="none"/>
                <w:lang w:val="en-US" w:eastAsia="zh-CN" w:bidi="ar-SA"/>
              </w:rPr>
              <w:t>会把活性炭上 90%~95% 以上的 VOCs 脱附出来烧掉；更换时活性炭仅含微量残留 VOCs，重量占比极小</w:t>
            </w:r>
            <w:r>
              <w:rPr>
                <w:rFonts w:hint="eastAsia" w:ascii="Times New Roman" w:hAnsi="Times New Roman" w:cs="Times New Roman"/>
                <w:color w:val="auto"/>
                <w:kern w:val="2"/>
                <w:sz w:val="24"/>
                <w:szCs w:val="24"/>
                <w:highlight w:val="none"/>
                <w:lang w:val="en-US" w:eastAsia="zh-CN" w:bidi="ar-SA"/>
              </w:rPr>
              <w:t>，本环评</w:t>
            </w:r>
            <w:r>
              <w:rPr>
                <w:rFonts w:hint="default" w:ascii="Times New Roman" w:hAnsi="Times New Roman" w:eastAsia="宋体" w:cs="Times New Roman"/>
                <w:color w:val="auto"/>
                <w:kern w:val="2"/>
                <w:sz w:val="24"/>
                <w:szCs w:val="24"/>
                <w:highlight w:val="none"/>
                <w:lang w:val="en-US" w:eastAsia="zh-CN" w:bidi="ar-SA"/>
              </w:rPr>
              <w:t>忽略不计</w:t>
            </w:r>
            <w:r>
              <w:rPr>
                <w:rFonts w:hint="eastAsia" w:ascii="Times New Roman" w:hAnsi="Times New Roman" w:eastAsia="宋体" w:cs="Times New Roman"/>
                <w:color w:val="auto"/>
                <w:kern w:val="2"/>
                <w:sz w:val="24"/>
                <w:szCs w:val="24"/>
                <w:highlight w:val="none"/>
                <w:lang w:val="en-US" w:eastAsia="zh-CN" w:bidi="ar-SA"/>
              </w:rPr>
              <w:t>。</w:t>
            </w:r>
          </w:p>
          <w:p w14:paraId="4783BD5C">
            <w:pPr>
              <w:keepNext/>
              <w:keepLines/>
              <w:widowControl w:val="0"/>
              <w:numPr>
                <w:ilvl w:val="5"/>
                <w:numId w:val="0"/>
              </w:numPr>
              <w:spacing w:line="360" w:lineRule="auto"/>
              <w:ind w:firstLine="482" w:firstLineChars="200"/>
              <w:jc w:val="both"/>
              <w:outlineLvl w:val="5"/>
              <w:rPr>
                <w:rFonts w:hint="default"/>
                <w:color w:val="auto"/>
                <w:lang w:val="en-US" w:eastAsia="zh-CN"/>
              </w:rPr>
            </w:pPr>
            <w:r>
              <w:rPr>
                <w:rFonts w:hint="eastAsia" w:cs="Times New Roman"/>
                <w:b/>
                <w:bCs/>
                <w:color w:val="auto"/>
                <w:kern w:val="2"/>
                <w:sz w:val="24"/>
                <w:szCs w:val="24"/>
                <w:highlight w:val="none"/>
                <w:lang w:val="en-US" w:eastAsia="zh-CN" w:bidi="ar-SA"/>
              </w:rPr>
              <w:t>吸附段活性炭产生量：</w:t>
            </w:r>
            <w:r>
              <w:rPr>
                <w:rFonts w:hint="eastAsia" w:ascii="Times New Roman" w:hAnsi="Times New Roman" w:eastAsia="宋体" w:cs="Times New Roman"/>
                <w:color w:val="auto"/>
                <w:kern w:val="2"/>
                <w:sz w:val="24"/>
                <w:szCs w:val="24"/>
                <w:highlight w:val="none"/>
                <w:lang w:val="en-US" w:eastAsia="zh-CN" w:bidi="ar-SA"/>
              </w:rPr>
              <w:t>TA00</w:t>
            </w:r>
            <w:r>
              <w:rPr>
                <w:rFonts w:hint="eastAsia"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废气设施（活性炭吸附段）配套1个活性炭吸附床，TA00</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废气设施（喷淋+干式过滤+二级活性炭吸附）配套2个活性炭吸附床，外形尺寸均为</w:t>
            </w:r>
            <w:r>
              <w:rPr>
                <w:rFonts w:hint="eastAsia" w:cs="Times New Roman"/>
                <w:color w:val="auto"/>
                <w:kern w:val="2"/>
                <w:sz w:val="24"/>
                <w:szCs w:val="24"/>
                <w:highlight w:val="none"/>
                <w:lang w:val="en-US" w:eastAsia="zh-CN" w:bidi="ar-SA"/>
              </w:rPr>
              <w:t>3000</w:t>
            </w:r>
            <w:r>
              <w:rPr>
                <w:rFonts w:hint="eastAsia" w:ascii="Times New Roman" w:hAnsi="Times New Roman" w:eastAsia="宋体" w:cs="Times New Roman"/>
                <w:color w:val="auto"/>
                <w:kern w:val="2"/>
                <w:sz w:val="24"/>
                <w:szCs w:val="24"/>
                <w:highlight w:val="none"/>
                <w:lang w:val="en-US" w:eastAsia="zh-CN" w:bidi="ar-SA"/>
              </w:rPr>
              <w:t>mm*</w:t>
            </w:r>
            <w:r>
              <w:rPr>
                <w:rFonts w:hint="eastAsia" w:cs="Times New Roman"/>
                <w:color w:val="auto"/>
                <w:kern w:val="2"/>
                <w:sz w:val="24"/>
                <w:szCs w:val="24"/>
                <w:highlight w:val="none"/>
                <w:lang w:val="en-US" w:eastAsia="zh-CN" w:bidi="ar-SA"/>
              </w:rPr>
              <w:t>20</w:t>
            </w:r>
            <w:r>
              <w:rPr>
                <w:rFonts w:hint="eastAsia" w:ascii="Times New Roman" w:hAnsi="Times New Roman" w:eastAsia="宋体" w:cs="Times New Roman"/>
                <w:color w:val="auto"/>
                <w:kern w:val="2"/>
                <w:sz w:val="24"/>
                <w:szCs w:val="24"/>
                <w:highlight w:val="none"/>
                <w:lang w:val="en-US" w:eastAsia="zh-CN" w:bidi="ar-SA"/>
              </w:rPr>
              <w:t>00mm*4300mm，每层面积尺寸均为</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m</w:t>
            </w:r>
            <w:r>
              <w:rPr>
                <w:rFonts w:hint="eastAsia" w:ascii="Times New Roman" w:hAnsi="Times New Roman" w:eastAsia="宋体" w:cs="Times New Roman"/>
                <w:color w:val="auto"/>
                <w:kern w:val="2"/>
                <w:sz w:val="24"/>
                <w:szCs w:val="24"/>
                <w:highlight w:val="none"/>
                <w:vertAlign w:val="super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活性炭填充高度为0.</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m，填充密度0.45g/cm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，单套装置内设</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层活性炭，则活性炭吸附装置的</w:t>
            </w:r>
            <w:r>
              <w:rPr>
                <w:rFonts w:hint="eastAsia" w:cs="Times New Roman"/>
                <w:color w:val="auto"/>
                <w:kern w:val="2"/>
                <w:sz w:val="24"/>
                <w:szCs w:val="24"/>
                <w:highlight w:val="none"/>
                <w:lang w:val="en-US" w:eastAsia="zh-CN" w:bidi="ar-SA"/>
              </w:rPr>
              <w:t>全厂</w:t>
            </w:r>
            <w:r>
              <w:rPr>
                <w:rFonts w:hint="default" w:ascii="Times New Roman" w:hAnsi="Times New Roman" w:eastAsia="宋体" w:cs="Times New Roman"/>
                <w:color w:val="auto"/>
                <w:kern w:val="2"/>
                <w:sz w:val="24"/>
                <w:szCs w:val="24"/>
                <w:highlight w:val="none"/>
                <w:lang w:val="en-US" w:eastAsia="zh-CN" w:bidi="ar-SA"/>
              </w:rPr>
              <w:t>装填</w:t>
            </w:r>
            <w:r>
              <w:rPr>
                <w:rFonts w:hint="eastAsia" w:cs="Times New Roman"/>
                <w:color w:val="auto"/>
                <w:kern w:val="2"/>
                <w:sz w:val="24"/>
                <w:szCs w:val="24"/>
                <w:highlight w:val="none"/>
                <w:lang w:val="en-US" w:eastAsia="zh-CN" w:bidi="ar-SA"/>
              </w:rPr>
              <w:t>配置</w:t>
            </w:r>
            <w:r>
              <w:rPr>
                <w:rFonts w:hint="default" w:ascii="Times New Roman" w:hAnsi="Times New Roman" w:eastAsia="宋体" w:cs="Times New Roman"/>
                <w:color w:val="auto"/>
                <w:kern w:val="2"/>
                <w:sz w:val="24"/>
                <w:szCs w:val="24"/>
                <w:highlight w:val="none"/>
                <w:lang w:val="en-US" w:eastAsia="zh-CN" w:bidi="ar-SA"/>
              </w:rPr>
              <w:t>量为</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×0.</w:t>
            </w:r>
            <w:r>
              <w:rPr>
                <w:rFonts w:hint="eastAsia"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×6×450÷1000=</w:t>
            </w:r>
            <w:r>
              <w:rPr>
                <w:rFonts w:hint="eastAsia" w:cs="Times New Roman"/>
                <w:color w:val="auto"/>
                <w:kern w:val="2"/>
                <w:sz w:val="24"/>
                <w:szCs w:val="24"/>
                <w:highlight w:val="none"/>
                <w:lang w:val="en-US" w:eastAsia="zh-CN" w:bidi="ar-SA"/>
              </w:rPr>
              <w:t>9.720</w:t>
            </w:r>
            <w:r>
              <w:rPr>
                <w:rFonts w:hint="eastAsia" w:ascii="Times New Roman" w:hAnsi="Times New Roman" w:eastAsia="宋体" w:cs="Times New Roman"/>
                <w:color w:val="auto"/>
                <w:kern w:val="2"/>
                <w:sz w:val="24"/>
                <w:szCs w:val="24"/>
                <w:highlight w:val="none"/>
                <w:lang w:val="en-US" w:eastAsia="zh-CN" w:bidi="ar-SA"/>
              </w:rPr>
              <w:t>t。</w:t>
            </w:r>
            <w:r>
              <w:rPr>
                <w:rFonts w:hint="default" w:ascii="Times New Roman" w:hAnsi="Times New Roman" w:eastAsia="宋体" w:cs="Times New Roman"/>
                <w:color w:val="auto"/>
                <w:kern w:val="2"/>
                <w:sz w:val="24"/>
                <w:szCs w:val="24"/>
                <w:highlight w:val="none"/>
                <w:lang w:val="en-US" w:eastAsia="zh-CN" w:bidi="ar-SA"/>
              </w:rPr>
              <w:t>根据《广东省工业源挥发性有机物减排量核算方法》（</w:t>
            </w:r>
            <w:r>
              <w:rPr>
                <w:rFonts w:hint="eastAsia" w:cs="Times New Roman"/>
                <w:color w:val="auto"/>
                <w:kern w:val="2"/>
                <w:sz w:val="24"/>
                <w:szCs w:val="24"/>
                <w:highlight w:val="none"/>
                <w:lang w:val="en-US" w:eastAsia="zh-CN" w:bidi="ar-SA"/>
              </w:rPr>
              <w:t>2023修订版</w:t>
            </w:r>
            <w:r>
              <w:rPr>
                <w:rFonts w:hint="default" w:ascii="Times New Roman" w:hAnsi="Times New Roman" w:eastAsia="宋体" w:cs="Times New Roman"/>
                <w:color w:val="auto"/>
                <w:kern w:val="2"/>
                <w:sz w:val="24"/>
                <w:szCs w:val="24"/>
                <w:highlight w:val="none"/>
                <w:lang w:val="en-US" w:eastAsia="zh-CN" w:bidi="ar-SA"/>
              </w:rPr>
              <w:t>）的要求，建议直接将“活性炭年更换量×活性炭吸附比例”（活性炭年更换量优先以危废转移量为依据，吸附比例建议取值15%）作为废气处理设施VOCs削减量。本项目活性炭对有机废气的吸附比率取值</w:t>
            </w:r>
            <w:r>
              <w:rPr>
                <w:rFonts w:hint="eastAsia"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t>%，项目吸附的有机废气量为</w:t>
            </w:r>
            <w:r>
              <w:rPr>
                <w:rFonts w:hint="eastAsia" w:cs="Times New Roman"/>
                <w:color w:val="auto"/>
                <w:kern w:val="2"/>
                <w:sz w:val="24"/>
                <w:szCs w:val="24"/>
                <w:highlight w:val="none"/>
                <w:lang w:val="en-US" w:eastAsia="zh-CN" w:bidi="ar-SA"/>
              </w:rPr>
              <w:t>0.6024+0.2701=0.8725</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则理论需要活性炭量为</w:t>
            </w:r>
            <w:r>
              <w:rPr>
                <w:rFonts w:hint="eastAsia" w:cs="Times New Roman"/>
                <w:color w:val="auto"/>
                <w:kern w:val="2"/>
                <w:sz w:val="24"/>
                <w:szCs w:val="24"/>
                <w:highlight w:val="none"/>
                <w:lang w:val="en-US" w:eastAsia="zh-CN" w:bidi="ar-SA"/>
              </w:rPr>
              <w:t>5.817</w:t>
            </w:r>
            <w:r>
              <w:rPr>
                <w:rFonts w:hint="eastAsia" w:ascii="Times New Roman" w:hAnsi="Times New Roman" w:eastAsia="宋体" w:cs="Times New Roman"/>
                <w:color w:val="auto"/>
                <w:kern w:val="2"/>
                <w:sz w:val="24"/>
                <w:szCs w:val="24"/>
                <w:highlight w:val="none"/>
                <w:lang w:val="en-US" w:eastAsia="zh-CN" w:bidi="ar-SA"/>
              </w:rPr>
              <w:t>t/a</w:t>
            </w: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吸附段</w:t>
            </w:r>
            <w:r>
              <w:rPr>
                <w:rFonts w:hint="eastAsia" w:ascii="Times New Roman" w:hAnsi="Times New Roman" w:eastAsia="宋体" w:cs="Times New Roman"/>
                <w:color w:val="auto"/>
                <w:kern w:val="2"/>
                <w:sz w:val="24"/>
                <w:szCs w:val="24"/>
                <w:highlight w:val="none"/>
                <w:lang w:val="en-US" w:eastAsia="zh-CN" w:bidi="ar-SA"/>
              </w:rPr>
              <w:t>活性炭实际配置量大于理论活性炭使用量，项目废气设施活性炭一年更换2次，则废活性炭产生量为</w:t>
            </w:r>
            <w:r>
              <w:rPr>
                <w:rFonts w:hint="eastAsia" w:cs="Times New Roman"/>
                <w:color w:val="auto"/>
                <w:kern w:val="2"/>
                <w:sz w:val="24"/>
                <w:szCs w:val="24"/>
                <w:highlight w:val="none"/>
                <w:lang w:val="en-US" w:eastAsia="zh-CN" w:bidi="ar-SA"/>
              </w:rPr>
              <w:t>9.720</w:t>
            </w:r>
            <w:r>
              <w:rPr>
                <w:rFonts w:hint="eastAsia" w:ascii="Times New Roman" w:hAnsi="Times New Roman" w:eastAsia="宋体" w:cs="Times New Roman"/>
                <w:color w:val="auto"/>
                <w:kern w:val="2"/>
                <w:sz w:val="24"/>
                <w:szCs w:val="24"/>
                <w:highlight w:val="none"/>
                <w:lang w:val="en-US" w:eastAsia="zh-CN" w:bidi="ar-SA"/>
              </w:rPr>
              <w:t>×2+0.</w:t>
            </w:r>
            <w:r>
              <w:rPr>
                <w:rFonts w:hint="eastAsia" w:cs="Times New Roman"/>
                <w:color w:val="auto"/>
                <w:kern w:val="2"/>
                <w:sz w:val="24"/>
                <w:szCs w:val="24"/>
                <w:highlight w:val="none"/>
                <w:lang w:val="en-US" w:eastAsia="zh-CN" w:bidi="ar-SA"/>
              </w:rPr>
              <w:t>8725</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20.313</w:t>
            </w:r>
            <w:r>
              <w:rPr>
                <w:rFonts w:hint="eastAsia" w:ascii="Times New Roman" w:hAnsi="Times New Roman" w:eastAsia="宋体" w:cs="Times New Roman"/>
                <w:color w:val="auto"/>
                <w:kern w:val="2"/>
                <w:sz w:val="24"/>
                <w:szCs w:val="24"/>
                <w:highlight w:val="none"/>
                <w:lang w:val="en-US" w:eastAsia="zh-CN" w:bidi="ar-SA"/>
              </w:rPr>
              <w:t>t/a。</w:t>
            </w:r>
          </w:p>
          <w:p w14:paraId="1A942869">
            <w:pPr>
              <w:pStyle w:val="158"/>
              <w:pageBreakBefore w:val="0"/>
              <w:wordWrap w:val="0"/>
              <w:topLinePunct/>
              <w:bidi w:val="0"/>
              <w:snapToGrid/>
              <w:spacing w:beforeAutospacing="0" w:afterAutospacing="0"/>
              <w:ind w:firstLine="480"/>
              <w:rPr>
                <w:bCs/>
                <w:color w:val="auto"/>
              </w:rPr>
            </w:pPr>
            <w:r>
              <w:rPr>
                <w:rFonts w:hint="eastAsia"/>
                <w:color w:val="auto"/>
                <w:lang w:val="en-US" w:eastAsia="zh-CN"/>
              </w:rPr>
              <w:t>废气设施废活性炭合计产生量=8.715t/a+20.313t/a=29.028t/a</w:t>
            </w:r>
            <w:r>
              <w:rPr>
                <w:color w:val="auto"/>
              </w:rPr>
              <w:t>。</w:t>
            </w:r>
            <w:r>
              <w:rPr>
                <w:bCs/>
                <w:color w:val="auto"/>
              </w:rPr>
              <w:t>属于“HW49 其他废物”，废物代码900-039-49</w:t>
            </w:r>
            <w:r>
              <w:rPr>
                <w:color w:val="auto"/>
              </w:rPr>
              <w:t>，经统一收集后交由有危险废物处理资质的单位处理。</w:t>
            </w:r>
          </w:p>
          <w:p w14:paraId="1DFCDC77">
            <w:pPr>
              <w:pStyle w:val="158"/>
              <w:pageBreakBefore w:val="0"/>
              <w:wordWrap w:val="0"/>
              <w:topLinePunct/>
              <w:bidi w:val="0"/>
              <w:snapToGrid/>
              <w:spacing w:beforeAutospacing="0" w:afterAutospacing="0"/>
              <w:ind w:firstLine="480"/>
              <w:rPr>
                <w:rFonts w:hint="default" w:eastAsia="宋体"/>
                <w:b/>
                <w:bCs/>
                <w:color w:val="auto"/>
                <w:lang w:val="en-US" w:eastAsia="zh-CN"/>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17</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b/>
                <w:bCs/>
                <w:color w:val="auto"/>
                <w:lang w:val="en-US" w:eastAsia="zh-CN"/>
              </w:rPr>
              <w:t>废粉末涂料</w:t>
            </w:r>
          </w:p>
          <w:p w14:paraId="415B830E">
            <w:pPr>
              <w:pStyle w:val="158"/>
              <w:pageBreakBefore w:val="0"/>
              <w:wordWrap w:val="0"/>
              <w:topLinePunct/>
              <w:bidi w:val="0"/>
              <w:snapToGrid/>
              <w:spacing w:beforeAutospacing="0" w:afterAutospacing="0"/>
              <w:ind w:firstLine="480"/>
              <w:rPr>
                <w:color w:val="auto"/>
                <w:kern w:val="0"/>
              </w:rPr>
            </w:pPr>
            <w:r>
              <w:rPr>
                <w:rFonts w:hint="eastAsia"/>
                <w:color w:val="auto"/>
                <w:lang w:val="en-US" w:eastAsia="zh-CN"/>
              </w:rPr>
              <w:t>废静电喷粉粉尘主要来源于静电喷粉工序中地面沉降部分，根据前文计算其产生量为3.465</w:t>
            </w:r>
            <w:r>
              <w:rPr>
                <w:color w:val="auto"/>
              </w:rPr>
              <w:t>t/a。</w:t>
            </w:r>
            <w:r>
              <w:rPr>
                <w:rFonts w:hint="eastAsia"/>
                <w:color w:val="auto"/>
                <w:lang w:val="en-US" w:eastAsia="zh-CN"/>
              </w:rPr>
              <w:t>因静电喷粉粉末主要成分为有机树脂，其沉降于地面时易沾染污染物，不便于直接回用于生产</w:t>
            </w:r>
            <w:r>
              <w:rPr>
                <w:color w:val="auto"/>
                <w:kern w:val="0"/>
              </w:rPr>
              <w:t>。</w:t>
            </w:r>
            <w:r>
              <w:rPr>
                <w:rFonts w:hint="eastAsia"/>
                <w:color w:val="auto"/>
                <w:lang w:val="en-US" w:eastAsia="zh-CN"/>
              </w:rPr>
              <w:t>对照</w:t>
            </w:r>
            <w:r>
              <w:rPr>
                <w:color w:val="auto"/>
              </w:rPr>
              <w:t>《国家危险废物名录》（202</w:t>
            </w:r>
            <w:r>
              <w:rPr>
                <w:rFonts w:hint="eastAsia"/>
                <w:color w:val="auto"/>
                <w:lang w:val="en-US" w:eastAsia="zh-CN"/>
              </w:rPr>
              <w:t>5</w:t>
            </w:r>
            <w:r>
              <w:rPr>
                <w:color w:val="auto"/>
              </w:rPr>
              <w:t xml:space="preserve"> 年版）</w:t>
            </w:r>
            <w:r>
              <w:rPr>
                <w:rFonts w:hint="eastAsia"/>
                <w:color w:val="auto"/>
                <w:lang w:eastAsia="zh-CN"/>
              </w:rPr>
              <w:t>，</w:t>
            </w:r>
            <w:r>
              <w:rPr>
                <w:rFonts w:hint="eastAsia"/>
                <w:color w:val="auto"/>
                <w:lang w:val="en-US" w:eastAsia="zh-CN"/>
              </w:rPr>
              <w:t>废粉末涂料未列入该名录中</w:t>
            </w:r>
            <w:r>
              <w:rPr>
                <w:rFonts w:hint="eastAsia"/>
                <w:color w:val="auto"/>
                <w:lang w:eastAsia="zh-CN"/>
              </w:rPr>
              <w:t>，根据《国家危险废物名录（2025年版）》第六条：“ 对不明确是否具有危险特性的固体废物，应当按照国家规定的危险废物鉴别标准和鉴别方法予以认定。经鉴别具有危险特性的，属于危险废物，应当根据其主要有害成分和危险特性对照本名录中已有废物代码进行归类；无法按已有废物代码归类的，应当确定其所属废物类别，按代码“900-000-××”（××为危险废物类别代码）进行归类管理。经鉴别不具有危险特性的，不属于危险废物。”，</w:t>
            </w:r>
            <w:r>
              <w:rPr>
                <w:rFonts w:hint="eastAsia"/>
                <w:color w:val="auto"/>
                <w:lang w:val="en-US" w:eastAsia="zh-CN"/>
              </w:rPr>
              <w:t>因此建设单位应在项目试生产阶段开展危险特性鉴别。正式鉴别结论出具之前，本固体废物暂按照危险废物从严管控，贮存于符合《危险废物贮存污染控制标准》（GB 18597‑2023）要求的危废暂存间。若鉴别判定为危险废物，交由具备相应资质单位处置；若判定为一般工业固体废物，则按照《一般工业固体废物贮存和填埋污染控制标准》（GB 18599‑2020）实施管理处置。</w:t>
            </w:r>
          </w:p>
          <w:p w14:paraId="40651FD1">
            <w:pPr>
              <w:pStyle w:val="158"/>
              <w:pageBreakBefore w:val="0"/>
              <w:wordWrap w:val="0"/>
              <w:topLinePunct/>
              <w:bidi w:val="0"/>
              <w:snapToGrid/>
              <w:spacing w:beforeAutospacing="0" w:afterAutospacing="0"/>
              <w:ind w:firstLine="482"/>
              <w:rPr>
                <w:b/>
                <w:bCs/>
                <w:color w:val="auto"/>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ascii="Times New Roman" w:hAnsi="Times New Roman" w:eastAsia="宋体" w:cs="Times New Roman"/>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ascii="Times New Roman" w:hAnsi="Times New Roman" w:eastAsia="宋体" w:cs="Times New Roman"/>
                <w:b/>
                <w:bCs/>
                <w:color w:val="auto"/>
                <w:spacing w:val="0"/>
                <w:kern w:val="2"/>
                <w:position w:val="3"/>
                <w:sz w:val="16"/>
                <w:szCs w:val="24"/>
                <w:lang w:val="en-US" w:eastAsia="zh-CN" w:bidi="ar-SA"/>
              </w:rPr>
              <w:instrText xml:space="preserve">18</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废催化剂</w:t>
            </w:r>
          </w:p>
          <w:p w14:paraId="57E61DD9">
            <w:pPr>
              <w:pStyle w:val="158"/>
              <w:pageBreakBefore w:val="0"/>
              <w:wordWrap w:val="0"/>
              <w:topLinePunct/>
              <w:bidi w:val="0"/>
              <w:snapToGrid/>
              <w:spacing w:beforeAutospacing="0" w:afterAutospacing="0"/>
              <w:ind w:firstLine="480"/>
              <w:rPr>
                <w:rFonts w:hint="default" w:eastAsia="宋体"/>
                <w:color w:val="auto"/>
                <w:lang w:val="en-US" w:eastAsia="zh-CN"/>
              </w:rPr>
            </w:pPr>
            <w:r>
              <w:rPr>
                <w:color w:val="auto"/>
              </w:rPr>
              <w:t>本项目废气治理设施中，使用的催化剂需要定期更换，根据废气治理方案</w:t>
            </w:r>
            <w:r>
              <w:rPr>
                <w:rFonts w:hint="eastAsia"/>
                <w:color w:val="auto"/>
                <w:lang w:eastAsia="zh-CN"/>
              </w:rPr>
              <w:t>，</w:t>
            </w:r>
            <w:r>
              <w:rPr>
                <w:color w:val="auto"/>
              </w:rPr>
              <w:t>“</w:t>
            </w:r>
            <w:r>
              <w:rPr>
                <w:rFonts w:hint="eastAsia"/>
                <w:color w:val="auto"/>
                <w:lang w:eastAsia="zh-CN"/>
              </w:rPr>
              <w:t>喷淋塔+干式过滤器+活性炭吸脱附+催化燃烧+活性炭吸附</w:t>
            </w:r>
            <w:r>
              <w:rPr>
                <w:color w:val="auto"/>
              </w:rPr>
              <w:t>”使用量为0.4m³，</w:t>
            </w:r>
            <w:r>
              <w:rPr>
                <w:color w:val="auto"/>
                <w:spacing w:val="-2"/>
                <w:kern w:val="0"/>
                <w:lang w:bidi="ar"/>
              </w:rPr>
              <w:t>堆积密度取0.8g/cm</w:t>
            </w:r>
            <w:r>
              <w:rPr>
                <w:color w:val="auto"/>
                <w:spacing w:val="-2"/>
                <w:kern w:val="0"/>
                <w:vertAlign w:val="superscript"/>
                <w:lang w:bidi="ar"/>
              </w:rPr>
              <w:t>3</w:t>
            </w:r>
            <w:r>
              <w:rPr>
                <w:color w:val="auto"/>
                <w:spacing w:val="-2"/>
                <w:kern w:val="0"/>
                <w:lang w:bidi="ar"/>
              </w:rPr>
              <w:t>，</w:t>
            </w:r>
            <w:r>
              <w:rPr>
                <w:color w:val="auto"/>
              </w:rPr>
              <w:t>每2年需要更</w:t>
            </w:r>
            <w:r>
              <w:rPr>
                <w:rFonts w:hint="default" w:ascii="Times New Roman" w:hAnsi="Times New Roman" w:cs="Times New Roman"/>
                <w:color w:val="auto"/>
              </w:rPr>
              <w:t>换一次，</w:t>
            </w:r>
            <w:r>
              <w:rPr>
                <w:rFonts w:hint="default" w:ascii="Times New Roman" w:hAnsi="Times New Roman" w:cs="Times New Roman"/>
                <w:color w:val="auto"/>
                <w:lang w:val="en-US" w:eastAsia="zh-CN"/>
              </w:rPr>
              <w:t>项目共设1套废气治理设施需使用催化剂，则</w:t>
            </w:r>
            <w:r>
              <w:rPr>
                <w:rFonts w:hint="default" w:ascii="Times New Roman" w:hAnsi="Times New Roman" w:cs="Times New Roman"/>
                <w:color w:val="auto"/>
              </w:rPr>
              <w:t>催化剂产生量为</w:t>
            </w:r>
            <w:r>
              <w:rPr>
                <w:rFonts w:hint="default" w:ascii="Times New Roman" w:hAnsi="Times New Roman" w:cs="Times New Roman"/>
                <w:color w:val="auto"/>
                <w:lang w:val="en-US" w:eastAsia="zh-CN"/>
              </w:rPr>
              <w:t>1×</w:t>
            </w:r>
            <w:r>
              <w:rPr>
                <w:rFonts w:hint="default" w:ascii="Times New Roman" w:hAnsi="Times New Roman" w:cs="Times New Roman"/>
                <w:color w:val="auto"/>
              </w:rPr>
              <w:t>0.4m³×</w:t>
            </w:r>
            <w:r>
              <w:rPr>
                <w:rFonts w:hint="default" w:ascii="Times New Roman" w:hAnsi="Times New Roman" w:cs="Times New Roman"/>
                <w:color w:val="auto"/>
                <w:spacing w:val="-2"/>
                <w:kern w:val="0"/>
                <w:lang w:bidi="ar"/>
              </w:rPr>
              <w:t>0.8g/cm</w:t>
            </w:r>
            <w:r>
              <w:rPr>
                <w:rFonts w:hint="default" w:ascii="Times New Roman" w:hAnsi="Times New Roman" w:cs="Times New Roman"/>
                <w:color w:val="auto"/>
                <w:spacing w:val="-2"/>
                <w:kern w:val="0"/>
                <w:vertAlign w:val="superscript"/>
                <w:lang w:bidi="ar"/>
              </w:rPr>
              <w:t>3</w:t>
            </w:r>
            <w:r>
              <w:rPr>
                <w:rFonts w:hint="default" w:ascii="Times New Roman" w:hAnsi="Times New Roman" w:cs="Times New Roman"/>
                <w:color w:val="auto"/>
                <w:spacing w:val="-2"/>
                <w:kern w:val="0"/>
                <w:vertAlign w:val="baseline"/>
                <w:lang w:val="en-US" w:eastAsia="zh-CN" w:bidi="ar"/>
              </w:rPr>
              <w:t>/2</w:t>
            </w:r>
            <w:r>
              <w:rPr>
                <w:rFonts w:hint="default" w:ascii="Times New Roman" w:hAnsi="Times New Roman" w:cs="Times New Roman"/>
                <w:color w:val="auto"/>
              </w:rPr>
              <w:t>=</w:t>
            </w:r>
            <w:r>
              <w:rPr>
                <w:rFonts w:hint="default" w:ascii="Times New Roman" w:hAnsi="Times New Roman" w:cs="Times New Roman"/>
                <w:color w:val="auto"/>
                <w:lang w:eastAsia="zh-CN"/>
              </w:rPr>
              <w:t>0.</w:t>
            </w:r>
            <w:r>
              <w:rPr>
                <w:rFonts w:hint="default" w:ascii="Times New Roman" w:hAnsi="Times New Roman" w:cs="Times New Roman"/>
                <w:color w:val="auto"/>
                <w:lang w:val="en-US" w:eastAsia="zh-CN"/>
              </w:rPr>
              <w:t>16</w:t>
            </w:r>
            <w:r>
              <w:rPr>
                <w:rFonts w:hint="default" w:ascii="Times New Roman" w:hAnsi="Times New Roman" w:cs="Times New Roman"/>
                <w:color w:val="auto"/>
              </w:rPr>
              <w:t>t/a</w:t>
            </w:r>
            <w:r>
              <w:rPr>
                <w:rFonts w:hint="default" w:ascii="Times New Roman" w:hAnsi="Times New Roman" w:cs="Times New Roman"/>
                <w:color w:val="auto"/>
                <w:lang w:eastAsia="zh-CN"/>
              </w:rPr>
              <w:t>，</w:t>
            </w:r>
            <w:r>
              <w:rPr>
                <w:rStyle w:val="140"/>
                <w:rFonts w:hint="default" w:ascii="Times New Roman" w:hAnsi="Times New Roman" w:cs="Times New Roman"/>
                <w:b w:val="0"/>
                <w:bCs w:val="0"/>
                <w:color w:val="auto"/>
                <w:sz w:val="24"/>
                <w:szCs w:val="24"/>
                <w:lang w:val="en-US" w:eastAsia="zh-CN" w:bidi="ar"/>
              </w:rPr>
              <w:t>根据广东省生态环境厅互动交流 关于电子电路制造企业有机废气治理CO催化剂是否属于危险废物事宜 的回复，本项目催化剂（</w:t>
            </w:r>
            <w:r>
              <w:rPr>
                <w:rFonts w:hint="default" w:ascii="Times New Roman" w:hAnsi="Times New Roman" w:cs="Times New Roman"/>
                <w:color w:val="auto"/>
                <w:lang w:val="en-US" w:eastAsia="zh-CN"/>
              </w:rPr>
              <w:t>主要危害成分为铂、钯</w:t>
            </w:r>
            <w:r>
              <w:rPr>
                <w:rFonts w:hint="default" w:ascii="Times New Roman" w:hAnsi="Times New Roman" w:cs="Times New Roman"/>
                <w:color w:val="auto"/>
                <w:lang w:eastAsia="zh-CN"/>
              </w:rPr>
              <w:t>）</w:t>
            </w:r>
            <w:r>
              <w:rPr>
                <w:rStyle w:val="140"/>
                <w:rFonts w:hint="default" w:ascii="Times New Roman" w:hAnsi="Times New Roman" w:cs="Times New Roman"/>
                <w:b w:val="0"/>
                <w:bCs w:val="0"/>
                <w:color w:val="auto"/>
                <w:sz w:val="24"/>
                <w:szCs w:val="24"/>
                <w:lang w:val="en-US" w:eastAsia="zh-CN" w:bidi="ar"/>
              </w:rPr>
              <w:t>与机动车和非道路移动机械尾气净化废催化剂（主要危害成分为铂、铑、钯等贵金属）相似</w:t>
            </w:r>
            <w:r>
              <w:rPr>
                <w:rStyle w:val="140"/>
                <w:rFonts w:hint="eastAsia"/>
                <w:b w:val="0"/>
                <w:bCs w:val="0"/>
                <w:color w:val="auto"/>
                <w:sz w:val="24"/>
                <w:szCs w:val="24"/>
                <w:lang w:val="en-US" w:eastAsia="zh-CN" w:bidi="ar"/>
              </w:rPr>
              <w:t>，</w:t>
            </w:r>
            <w:r>
              <w:rPr>
                <w:rFonts w:hint="eastAsia"/>
                <w:color w:val="auto"/>
                <w:lang w:val="en-US" w:eastAsia="zh-CN"/>
              </w:rPr>
              <w:t>建议参照</w:t>
            </w:r>
            <w:r>
              <w:rPr>
                <w:rFonts w:hint="eastAsia"/>
                <w:color w:val="auto"/>
              </w:rPr>
              <w:t>《国家危险废物名录（2025年版）》中的 HW50 废催化剂，危废代码为 900-049-50（“机动车和非道路移动机械尾气净化废催化剂”）</w:t>
            </w:r>
            <w:r>
              <w:rPr>
                <w:rFonts w:hint="eastAsia"/>
                <w:color w:val="auto"/>
                <w:lang w:val="en-US" w:eastAsia="zh-CN"/>
              </w:rPr>
              <w:t>处置</w:t>
            </w:r>
            <w:r>
              <w:rPr>
                <w:color w:val="auto"/>
              </w:rPr>
              <w:t>。</w:t>
            </w:r>
          </w:p>
          <w:p w14:paraId="5FF840ED">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4.2固体废物环境管理要求</w:t>
            </w:r>
          </w:p>
          <w:p w14:paraId="6DA7BCE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（1）生活垃圾管理要求</w:t>
            </w:r>
          </w:p>
          <w:p w14:paraId="5E1CBDF8">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项目生活垃圾应分类收集，避雨堆放，定期委托环卫部门清运处理。</w:t>
            </w:r>
            <w:r>
              <w:rPr>
                <w:rFonts w:hint="eastAsia" w:ascii="Times New Roman" w:hAnsi="Times New Roman" w:eastAsia="宋体" w:cs="Times New Roman"/>
                <w:color w:val="auto"/>
                <w:sz w:val="24"/>
                <w:szCs w:val="24"/>
                <w:highlight w:val="none"/>
                <w:lang w:val="en-US" w:eastAsia="zh-CN"/>
              </w:rPr>
              <w:t>废油脂</w:t>
            </w:r>
            <w:r>
              <w:rPr>
                <w:rFonts w:hint="eastAsia" w:ascii="Times New Roman" w:hAnsi="Times New Roman" w:eastAsia="宋体" w:cs="Times New Roman"/>
                <w:color w:val="auto"/>
                <w:kern w:val="24"/>
                <w:sz w:val="24"/>
                <w:szCs w:val="24"/>
                <w:highlight w:val="none"/>
                <w:lang w:eastAsia="zh-CN"/>
              </w:rPr>
              <w:t>交专业单位进行回收处置。</w:t>
            </w:r>
          </w:p>
          <w:p w14:paraId="15501C5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（2）一般固体废物处理措施</w:t>
            </w:r>
          </w:p>
          <w:p w14:paraId="2D8726D8">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项目一般固体废物</w:t>
            </w:r>
            <w:r>
              <w:rPr>
                <w:rFonts w:hint="default" w:ascii="Times New Roman" w:hAnsi="Times New Roman" w:eastAsia="宋体" w:cs="Times New Roman"/>
                <w:color w:val="auto"/>
                <w:sz w:val="24"/>
                <w:szCs w:val="24"/>
                <w:highlight w:val="none"/>
                <w:lang w:val="en-US" w:eastAsia="zh-CN"/>
              </w:rPr>
              <w:t>暂存于</w:t>
            </w:r>
            <w:r>
              <w:rPr>
                <w:rFonts w:hint="default" w:ascii="Times New Roman" w:hAnsi="Times New Roman" w:eastAsia="宋体" w:cs="Times New Roman"/>
                <w:color w:val="auto"/>
                <w:sz w:val="24"/>
                <w:szCs w:val="24"/>
                <w:highlight w:val="none"/>
              </w:rPr>
              <w:t>固废暂存场所，厂内一般固废临时贮存应注意：</w:t>
            </w:r>
          </w:p>
          <w:p w14:paraId="4140841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①对一般固体废物实行从产生、收集、运输、贮存直至最终处理实行全过程管理，加强固体废物运输过程的事故风险防范，按照有关</w:t>
            </w:r>
            <w:r>
              <w:rPr>
                <w:rFonts w:hint="eastAsia" w:ascii="Times New Roman" w:hAnsi="Times New Roman" w:eastAsia="宋体" w:cs="Times New Roman"/>
                <w:color w:val="auto"/>
                <w:sz w:val="24"/>
                <w:szCs w:val="24"/>
                <w:highlight w:val="none"/>
                <w:lang w:eastAsia="zh-CN"/>
              </w:rPr>
              <w:t>法律法规</w:t>
            </w:r>
            <w:r>
              <w:rPr>
                <w:rFonts w:hint="default" w:ascii="Times New Roman" w:hAnsi="Times New Roman" w:eastAsia="宋体" w:cs="Times New Roman"/>
                <w:color w:val="auto"/>
                <w:sz w:val="24"/>
                <w:szCs w:val="24"/>
                <w:highlight w:val="none"/>
              </w:rPr>
              <w:t>的要求，对固体废弃物全过程管理应报当地环保行政主管部门等批准。</w:t>
            </w:r>
          </w:p>
          <w:p w14:paraId="0856ABC3">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②一般固废暂存场所的建设应满足：贮存区采取防风防雨措施；各类固废应分类收集、定点堆放，堆放场所远离办公区和周围环境敏感点；贮存区按照《</w:t>
            </w:r>
            <w:r>
              <w:rPr>
                <w:rFonts w:hint="eastAsia" w:cs="Times New Roman"/>
                <w:color w:val="auto"/>
                <w:sz w:val="24"/>
                <w:szCs w:val="24"/>
                <w:highlight w:val="none"/>
                <w:lang w:eastAsia="zh-CN"/>
              </w:rPr>
              <w:t>环境保护图形标志 固体废物贮存（处置）场</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GB 15562.2-1995</w:t>
            </w:r>
            <w:r>
              <w:rPr>
                <w:rFonts w:hint="default" w:ascii="Times New Roman" w:hAnsi="Times New Roman" w:eastAsia="宋体" w:cs="Times New Roman"/>
                <w:color w:val="auto"/>
                <w:sz w:val="24"/>
                <w:szCs w:val="24"/>
                <w:highlight w:val="none"/>
              </w:rPr>
              <w:t>）的要求设置环保图形标志；指定专人进行日常管理；同时禁止危险废物及生活垃圾混入。</w:t>
            </w:r>
          </w:p>
          <w:p w14:paraId="27DE8A1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（3）危险废物防治措施</w:t>
            </w:r>
          </w:p>
          <w:p w14:paraId="26BB495B">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1）危险废物收集要求</w:t>
            </w:r>
          </w:p>
          <w:p w14:paraId="10AE75CF">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①性质类似的废物可收集到同一容器中、性质不相容的危险废物不应混合包装；</w:t>
            </w:r>
          </w:p>
          <w:p w14:paraId="44A9C27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②危险废物包装应能有效隔断危险废物迁移扩散途径，并达到防渗、防漏要求；</w:t>
            </w:r>
          </w:p>
          <w:p w14:paraId="5745DE3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③在危险废物的收集和转运过程中，应采取相应的安全防护和污染防治措施，包括防风、防雨、防晒、防渗漏或其他防止污染环境的措施；</w:t>
            </w:r>
          </w:p>
          <w:p w14:paraId="36510FF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④危险废物内部转运应考虑厂区的实际情况确定转运路线，尽量避开办公区和生活区；</w:t>
            </w:r>
          </w:p>
          <w:p w14:paraId="2A185DD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⑤危险废物内部转运结束后，应对转运路线进行检查和清理，确保无危险废物遗失在转运路线上，并对转运工具进行清洗；</w:t>
            </w:r>
          </w:p>
          <w:p w14:paraId="6F81D4E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⑥收集过危险废物的容器、设备、设施、场所及其他物品转作他用时，应消除污染，确保其使用安全。</w:t>
            </w:r>
            <w:r>
              <w:rPr>
                <w:rFonts w:hint="eastAsia" w:cs="Times New Roman"/>
                <w:color w:val="auto"/>
                <w:sz w:val="24"/>
                <w:szCs w:val="24"/>
                <w:highlight w:val="none"/>
                <w:lang w:val="en-US" w:eastAsia="zh-CN"/>
              </w:rPr>
              <w:t xml:space="preserve">  </w:t>
            </w:r>
          </w:p>
          <w:p w14:paraId="4D0D077A">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2）危险废物贮存要求</w:t>
            </w:r>
          </w:p>
          <w:p w14:paraId="19FFE35B">
            <w:p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危险废物贮存设施应严格按照《危险废物贮存污染控制标准》（GB18597-2023）相关要求进行设计：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设施或贮存分区内地面、墙面裙脚、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同一贮存设施宜采用相同的防渗、防腐工艺（包括防渗、防腐结构或材料），防渗、防腐材料应覆盖所有可能与废物及其渗滤液、渗漏液等接触的构筑物表面，采用不同防渗、防腐工艺应分别建设贮存分区；贮存设施应采取技术和管理措施防止无关人员进入。</w:t>
            </w:r>
            <w:r>
              <w:rPr>
                <w:rFonts w:hint="eastAsia" w:cs="Times New Roman"/>
                <w:color w:val="auto"/>
                <w:sz w:val="24"/>
                <w:szCs w:val="24"/>
                <w:highlight w:val="none"/>
                <w:lang w:val="en-US" w:eastAsia="zh-CN"/>
              </w:rPr>
              <w:t>危险废物</w:t>
            </w:r>
            <w:r>
              <w:rPr>
                <w:rFonts w:hint="default" w:ascii="Times New Roman" w:hAnsi="Times New Roman" w:eastAsia="宋体" w:cs="Times New Roman"/>
                <w:color w:val="auto"/>
                <w:sz w:val="24"/>
                <w:szCs w:val="24"/>
                <w:highlight w:val="none"/>
              </w:rPr>
              <w:t>密闭存贮、负压通风、定期清运</w:t>
            </w:r>
            <w:r>
              <w:rPr>
                <w:rFonts w:hint="eastAsia" w:cs="Times New Roman"/>
                <w:color w:val="auto"/>
                <w:sz w:val="24"/>
                <w:szCs w:val="24"/>
                <w:highlight w:val="none"/>
                <w:lang w:eastAsia="zh-CN"/>
              </w:rPr>
              <w:t>。</w:t>
            </w:r>
          </w:p>
          <w:p w14:paraId="54D0D29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项目危险废物的暂存场所设置情况如下表。</w:t>
            </w:r>
          </w:p>
          <w:p w14:paraId="78BBDEA5">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39 </w:t>
            </w:r>
            <w:r>
              <w:rPr>
                <w:rFonts w:hint="default" w:ascii="Times New Roman" w:hAnsi="Times New Roman" w:eastAsia="宋体" w:cs="Times New Roman"/>
                <w:b/>
                <w:bCs/>
                <w:color w:val="auto"/>
                <w:sz w:val="21"/>
                <w:szCs w:val="21"/>
                <w:highlight w:val="none"/>
                <w:lang w:val="en-US" w:eastAsia="zh-CN"/>
              </w:rPr>
              <w:t>危险废物贮存场所基本情况表</w:t>
            </w:r>
          </w:p>
          <w:tbl>
            <w:tblPr>
              <w:tblStyle w:val="48"/>
              <w:tblW w:w="842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362"/>
              <w:gridCol w:w="1212"/>
              <w:gridCol w:w="1932"/>
              <w:gridCol w:w="780"/>
              <w:gridCol w:w="1087"/>
              <w:gridCol w:w="571"/>
              <w:gridCol w:w="652"/>
              <w:gridCol w:w="665"/>
              <w:gridCol w:w="653"/>
              <w:gridCol w:w="512"/>
            </w:tblGrid>
            <w:tr w14:paraId="5555EF3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5429EEC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序号</w:t>
                  </w:r>
                </w:p>
              </w:tc>
              <w:tc>
                <w:tcPr>
                  <w:tcW w:w="1212" w:type="dxa"/>
                  <w:tcBorders>
                    <w:tl2br w:val="nil"/>
                    <w:tr2bl w:val="nil"/>
                  </w:tcBorders>
                  <w:noWrap w:val="0"/>
                  <w:vAlign w:val="center"/>
                </w:tcPr>
                <w:p w14:paraId="0A21A122">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贮存场所（设施）名称</w:t>
                  </w:r>
                </w:p>
              </w:tc>
              <w:tc>
                <w:tcPr>
                  <w:tcW w:w="1932" w:type="dxa"/>
                  <w:tcBorders>
                    <w:tl2br w:val="nil"/>
                    <w:tr2bl w:val="nil"/>
                  </w:tcBorders>
                  <w:noWrap w:val="0"/>
                  <w:vAlign w:val="center"/>
                </w:tcPr>
                <w:p w14:paraId="140257CF">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危险废物名称</w:t>
                  </w:r>
                </w:p>
              </w:tc>
              <w:tc>
                <w:tcPr>
                  <w:tcW w:w="780" w:type="dxa"/>
                  <w:tcBorders>
                    <w:tl2br w:val="nil"/>
                    <w:tr2bl w:val="nil"/>
                  </w:tcBorders>
                  <w:noWrap w:val="0"/>
                  <w:vAlign w:val="center"/>
                </w:tcPr>
                <w:p w14:paraId="6FCE655B">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危险废物类别</w:t>
                  </w:r>
                </w:p>
              </w:tc>
              <w:tc>
                <w:tcPr>
                  <w:tcW w:w="1087" w:type="dxa"/>
                  <w:tcBorders>
                    <w:tl2br w:val="nil"/>
                    <w:tr2bl w:val="nil"/>
                  </w:tcBorders>
                  <w:noWrap w:val="0"/>
                  <w:vAlign w:val="center"/>
                </w:tcPr>
                <w:p w14:paraId="1902C283">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危险废物代码</w:t>
                  </w:r>
                </w:p>
              </w:tc>
              <w:tc>
                <w:tcPr>
                  <w:tcW w:w="571" w:type="dxa"/>
                  <w:tcBorders>
                    <w:tl2br w:val="nil"/>
                    <w:tr2bl w:val="nil"/>
                  </w:tcBorders>
                  <w:noWrap w:val="0"/>
                  <w:vAlign w:val="center"/>
                </w:tcPr>
                <w:p w14:paraId="000B0C1C">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位置</w:t>
                  </w:r>
                </w:p>
              </w:tc>
              <w:tc>
                <w:tcPr>
                  <w:tcW w:w="652" w:type="dxa"/>
                  <w:tcBorders>
                    <w:tl2br w:val="nil"/>
                    <w:tr2bl w:val="nil"/>
                  </w:tcBorders>
                  <w:noWrap w:val="0"/>
                  <w:vAlign w:val="center"/>
                </w:tcPr>
                <w:p w14:paraId="4DA34DC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占地面积</w:t>
                  </w:r>
                </w:p>
              </w:tc>
              <w:tc>
                <w:tcPr>
                  <w:tcW w:w="665" w:type="dxa"/>
                  <w:tcBorders>
                    <w:tl2br w:val="nil"/>
                    <w:tr2bl w:val="nil"/>
                  </w:tcBorders>
                  <w:noWrap w:val="0"/>
                  <w:vAlign w:val="center"/>
                </w:tcPr>
                <w:p w14:paraId="260F662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贮存方式</w:t>
                  </w:r>
                </w:p>
              </w:tc>
              <w:tc>
                <w:tcPr>
                  <w:tcW w:w="653" w:type="dxa"/>
                  <w:tcBorders>
                    <w:tl2br w:val="nil"/>
                    <w:tr2bl w:val="nil"/>
                  </w:tcBorders>
                  <w:noWrap w:val="0"/>
                  <w:vAlign w:val="center"/>
                </w:tcPr>
                <w:p w14:paraId="1EE551D5">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贮存能力</w:t>
                  </w:r>
                </w:p>
              </w:tc>
              <w:tc>
                <w:tcPr>
                  <w:tcW w:w="512" w:type="dxa"/>
                  <w:tcBorders>
                    <w:tl2br w:val="nil"/>
                    <w:tr2bl w:val="nil"/>
                  </w:tcBorders>
                  <w:noWrap w:val="0"/>
                  <w:vAlign w:val="center"/>
                </w:tcPr>
                <w:p w14:paraId="14E9842D">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贮存周期</w:t>
                  </w:r>
                </w:p>
              </w:tc>
            </w:tr>
            <w:tr w14:paraId="0C6343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46C6D9F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w:t>
                  </w:r>
                </w:p>
              </w:tc>
              <w:tc>
                <w:tcPr>
                  <w:tcW w:w="1212" w:type="dxa"/>
                  <w:vMerge w:val="restart"/>
                  <w:tcBorders>
                    <w:tl2br w:val="nil"/>
                    <w:tr2bl w:val="nil"/>
                  </w:tcBorders>
                  <w:noWrap w:val="0"/>
                  <w:vAlign w:val="center"/>
                </w:tcPr>
                <w:p w14:paraId="084AB766">
                  <w:pPr>
                    <w:widowControl/>
                    <w:spacing w:line="240" w:lineRule="auto"/>
                    <w:jc w:val="center"/>
                    <w:textAlignment w:val="center"/>
                    <w:rPr>
                      <w:rFonts w:hint="eastAsia" w:ascii="Times New Roman" w:hAnsi="Times New Roman" w:eastAsia="宋体" w:cs="Times New Roman"/>
                      <w:color w:val="auto"/>
                      <w:kern w:val="0"/>
                      <w:sz w:val="21"/>
                      <w:szCs w:val="21"/>
                      <w:highlight w:val="none"/>
                      <w:lang w:eastAsia="zh-CN" w:bidi="ar"/>
                    </w:rPr>
                  </w:pPr>
                  <w:r>
                    <w:rPr>
                      <w:rFonts w:hint="eastAsia" w:cs="Times New Roman"/>
                      <w:color w:val="auto"/>
                      <w:kern w:val="0"/>
                      <w:sz w:val="21"/>
                      <w:szCs w:val="21"/>
                      <w:highlight w:val="none"/>
                      <w:lang w:eastAsia="zh-CN" w:bidi="ar"/>
                    </w:rPr>
                    <w:t>危险废物贮存间</w:t>
                  </w:r>
                </w:p>
              </w:tc>
              <w:tc>
                <w:tcPr>
                  <w:tcW w:w="1932" w:type="dxa"/>
                  <w:tcBorders>
                    <w:bottom w:val="single" w:color="auto" w:sz="4" w:space="0"/>
                    <w:tl2br w:val="nil"/>
                    <w:tr2bl w:val="nil"/>
                  </w:tcBorders>
                  <w:noWrap w:val="0"/>
                  <w:vAlign w:val="center"/>
                </w:tcPr>
                <w:p w14:paraId="1E872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780" w:type="dxa"/>
                  <w:tcBorders>
                    <w:bottom w:val="single" w:color="auto" w:sz="4" w:space="0"/>
                    <w:tl2br w:val="nil"/>
                    <w:tr2bl w:val="nil"/>
                  </w:tcBorders>
                  <w:noWrap w:val="0"/>
                  <w:vAlign w:val="center"/>
                </w:tcPr>
                <w:p w14:paraId="4F6DFFF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bottom w:val="single" w:color="auto" w:sz="4" w:space="0"/>
                    <w:tl2br w:val="nil"/>
                    <w:tr2bl w:val="nil"/>
                  </w:tcBorders>
                  <w:noWrap w:val="0"/>
                  <w:vAlign w:val="center"/>
                </w:tcPr>
                <w:p w14:paraId="4FFFF89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restart"/>
                  <w:tcBorders>
                    <w:tl2br w:val="nil"/>
                    <w:tr2bl w:val="nil"/>
                  </w:tcBorders>
                  <w:noWrap w:val="0"/>
                  <w:vAlign w:val="center"/>
                </w:tcPr>
                <w:p w14:paraId="27B425E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#厂房</w:t>
                  </w:r>
                  <w:r>
                    <w:rPr>
                      <w:rFonts w:hint="eastAsia" w:cs="Times New Roman"/>
                      <w:color w:val="auto"/>
                      <w:kern w:val="0"/>
                      <w:sz w:val="21"/>
                      <w:szCs w:val="21"/>
                      <w:highlight w:val="none"/>
                      <w:lang w:val="en-US" w:eastAsia="zh-CN" w:bidi="ar"/>
                    </w:rPr>
                    <w:t>东</w:t>
                  </w:r>
                  <w:r>
                    <w:rPr>
                      <w:rFonts w:hint="default" w:ascii="Times New Roman" w:hAnsi="Times New Roman" w:eastAsia="宋体" w:cs="Times New Roman"/>
                      <w:color w:val="auto"/>
                      <w:kern w:val="0"/>
                      <w:sz w:val="21"/>
                      <w:szCs w:val="21"/>
                      <w:highlight w:val="none"/>
                      <w:lang w:val="en-US" w:eastAsia="zh-CN" w:bidi="ar"/>
                    </w:rPr>
                    <w:t>北侧</w:t>
                  </w:r>
                </w:p>
              </w:tc>
              <w:tc>
                <w:tcPr>
                  <w:tcW w:w="652" w:type="dxa"/>
                  <w:vMerge w:val="restart"/>
                  <w:tcBorders>
                    <w:tl2br w:val="nil"/>
                    <w:tr2bl w:val="nil"/>
                  </w:tcBorders>
                  <w:noWrap w:val="0"/>
                  <w:vAlign w:val="center"/>
                </w:tcPr>
                <w:p w14:paraId="0FAE59FA">
                  <w:pPr>
                    <w:widowControl/>
                    <w:spacing w:line="240" w:lineRule="auto"/>
                    <w:jc w:val="center"/>
                    <w:textAlignment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0</w:t>
                  </w:r>
                  <w:r>
                    <w:rPr>
                      <w:rFonts w:hint="default" w:ascii="Times New Roman" w:hAnsi="Times New Roman" w:eastAsia="宋体" w:cs="Times New Roman"/>
                      <w:color w:val="auto"/>
                      <w:kern w:val="0"/>
                      <w:sz w:val="21"/>
                      <w:szCs w:val="21"/>
                      <w:highlight w:val="none"/>
                      <w:lang w:bidi="ar"/>
                    </w:rPr>
                    <w:t>m</w:t>
                  </w:r>
                  <w:r>
                    <w:rPr>
                      <w:rFonts w:hint="default" w:ascii="Times New Roman" w:hAnsi="Times New Roman" w:eastAsia="宋体" w:cs="Times New Roman"/>
                      <w:color w:val="auto"/>
                      <w:kern w:val="0"/>
                      <w:sz w:val="21"/>
                      <w:szCs w:val="21"/>
                      <w:highlight w:val="none"/>
                      <w:vertAlign w:val="superscript"/>
                      <w:lang w:bidi="ar"/>
                    </w:rPr>
                    <w:t>2</w:t>
                  </w:r>
                  <w:r>
                    <w:rPr>
                      <w:rFonts w:hint="eastAsia" w:cs="Times New Roman"/>
                      <w:color w:val="auto"/>
                      <w:kern w:val="0"/>
                      <w:sz w:val="21"/>
                      <w:szCs w:val="21"/>
                      <w:highlight w:val="none"/>
                      <w:vertAlign w:val="baseline"/>
                      <w:lang w:eastAsia="zh-CN" w:bidi="ar"/>
                    </w:rPr>
                    <w:t>，</w:t>
                  </w:r>
                  <w:r>
                    <w:rPr>
                      <w:rFonts w:hint="eastAsia" w:cs="Times New Roman"/>
                      <w:color w:val="auto"/>
                      <w:kern w:val="0"/>
                      <w:sz w:val="21"/>
                      <w:szCs w:val="21"/>
                      <w:highlight w:val="none"/>
                      <w:vertAlign w:val="baseline"/>
                      <w:lang w:val="en-US" w:eastAsia="zh-CN" w:bidi="ar"/>
                    </w:rPr>
                    <w:t>贮存能力45t</w:t>
                  </w:r>
                </w:p>
              </w:tc>
              <w:tc>
                <w:tcPr>
                  <w:tcW w:w="665" w:type="dxa"/>
                  <w:tcBorders>
                    <w:tl2br w:val="nil"/>
                    <w:tr2bl w:val="nil"/>
                  </w:tcBorders>
                  <w:noWrap w:val="0"/>
                  <w:vAlign w:val="center"/>
                </w:tcPr>
                <w:p w14:paraId="51DDCB7A">
                  <w:pPr>
                    <w:widowControl/>
                    <w:spacing w:line="240" w:lineRule="auto"/>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tcBorders>
                    <w:tl2br w:val="nil"/>
                    <w:tr2bl w:val="nil"/>
                  </w:tcBorders>
                  <w:noWrap w:val="0"/>
                  <w:vAlign w:val="center"/>
                </w:tcPr>
                <w:p w14:paraId="6A801FC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76BA2CB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71C568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1C89A9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2</w:t>
                  </w:r>
                </w:p>
              </w:tc>
              <w:tc>
                <w:tcPr>
                  <w:tcW w:w="1212" w:type="dxa"/>
                  <w:vMerge w:val="continue"/>
                  <w:tcBorders>
                    <w:tl2br w:val="nil"/>
                    <w:tr2bl w:val="nil"/>
                  </w:tcBorders>
                  <w:noWrap w:val="0"/>
                  <w:vAlign w:val="center"/>
                </w:tcPr>
                <w:p w14:paraId="5648404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bottom w:val="single" w:color="auto" w:sz="4" w:space="0"/>
                    <w:tl2br w:val="nil"/>
                    <w:tr2bl w:val="nil"/>
                  </w:tcBorders>
                  <w:noWrap w:val="0"/>
                  <w:vAlign w:val="center"/>
                </w:tcPr>
                <w:p w14:paraId="1B3C8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780" w:type="dxa"/>
                  <w:tcBorders>
                    <w:top w:val="single" w:color="auto" w:sz="4" w:space="0"/>
                    <w:bottom w:val="single" w:color="auto" w:sz="4" w:space="0"/>
                    <w:tl2br w:val="nil"/>
                    <w:tr2bl w:val="nil"/>
                  </w:tcBorders>
                  <w:noWrap w:val="0"/>
                  <w:vAlign w:val="center"/>
                </w:tcPr>
                <w:p w14:paraId="5F76932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top w:val="single" w:color="auto" w:sz="4" w:space="0"/>
                    <w:tl2br w:val="nil"/>
                    <w:tr2bl w:val="nil"/>
                  </w:tcBorders>
                  <w:noWrap w:val="0"/>
                  <w:vAlign w:val="center"/>
                </w:tcPr>
                <w:p w14:paraId="2FEF642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17F8811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52" w:type="dxa"/>
                  <w:vMerge w:val="continue"/>
                  <w:tcBorders>
                    <w:tl2br w:val="nil"/>
                    <w:tr2bl w:val="nil"/>
                  </w:tcBorders>
                  <w:noWrap w:val="0"/>
                  <w:vAlign w:val="center"/>
                </w:tcPr>
                <w:p w14:paraId="385E9CC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65" w:type="dxa"/>
                  <w:tcBorders>
                    <w:tl2br w:val="nil"/>
                    <w:tr2bl w:val="nil"/>
                  </w:tcBorders>
                  <w:noWrap w:val="0"/>
                  <w:vAlign w:val="center"/>
                </w:tcPr>
                <w:p w14:paraId="59B2C34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tcBorders>
                    <w:tl2br w:val="nil"/>
                    <w:tr2bl w:val="nil"/>
                  </w:tcBorders>
                  <w:noWrap w:val="0"/>
                  <w:vAlign w:val="center"/>
                </w:tcPr>
                <w:p w14:paraId="4EE85D9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r>
                    <w:rPr>
                      <w:rFonts w:hint="eastAsia"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6E12479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269B791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16BE3AC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3</w:t>
                  </w:r>
                </w:p>
              </w:tc>
              <w:tc>
                <w:tcPr>
                  <w:tcW w:w="1212" w:type="dxa"/>
                  <w:vMerge w:val="continue"/>
                  <w:tcBorders>
                    <w:tl2br w:val="nil"/>
                    <w:tr2bl w:val="nil"/>
                  </w:tcBorders>
                  <w:noWrap w:val="0"/>
                  <w:vAlign w:val="center"/>
                </w:tcPr>
                <w:p w14:paraId="74D71D6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op w:val="single" w:color="auto" w:sz="4" w:space="0"/>
                    <w:tl2br w:val="nil"/>
                    <w:tr2bl w:val="nil"/>
                  </w:tcBorders>
                  <w:noWrap w:val="0"/>
                  <w:vAlign w:val="center"/>
                </w:tcPr>
                <w:p w14:paraId="6D742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780" w:type="dxa"/>
                  <w:tcBorders>
                    <w:top w:val="single" w:color="auto" w:sz="4" w:space="0"/>
                    <w:bottom w:val="single" w:color="auto" w:sz="4" w:space="0"/>
                    <w:tl2br w:val="nil"/>
                    <w:tr2bl w:val="nil"/>
                  </w:tcBorders>
                  <w:noWrap w:val="0"/>
                  <w:vAlign w:val="center"/>
                </w:tcPr>
                <w:p w14:paraId="1A4F87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bottom w:val="single" w:color="auto" w:sz="4" w:space="0"/>
                    <w:tl2br w:val="nil"/>
                    <w:tr2bl w:val="nil"/>
                  </w:tcBorders>
                  <w:noWrap w:val="0"/>
                  <w:vAlign w:val="center"/>
                </w:tcPr>
                <w:p w14:paraId="4E57E677">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4F7281B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7402CF9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11506E6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tcBorders>
                    <w:tl2br w:val="nil"/>
                    <w:tr2bl w:val="nil"/>
                  </w:tcBorders>
                  <w:noWrap w:val="0"/>
                  <w:vAlign w:val="center"/>
                </w:tcPr>
                <w:p w14:paraId="57F7DF8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48FDFFAB">
                  <w:pPr>
                    <w:widowControl/>
                    <w:spacing w:line="240" w:lineRule="auto"/>
                    <w:jc w:val="center"/>
                    <w:textAlignment w:val="center"/>
                    <w:rPr>
                      <w:rFonts w:hint="eastAsia" w:ascii="Times New Roman" w:hAnsi="Times New Roman" w:eastAsia="宋体" w:cs="Times New Roman"/>
                      <w:color w:val="auto"/>
                      <w:kern w:val="0"/>
                      <w:sz w:val="21"/>
                      <w:szCs w:val="21"/>
                      <w:highlight w:val="none"/>
                      <w:lang w:eastAsia="zh-CN" w:bidi="ar"/>
                    </w:rPr>
                  </w:pPr>
                  <w:r>
                    <w:rPr>
                      <w:rFonts w:hint="eastAsia" w:ascii="Times New Roman" w:hAnsi="Times New Roman" w:eastAsia="宋体" w:cs="Times New Roman"/>
                      <w:color w:val="auto"/>
                      <w:kern w:val="0"/>
                      <w:sz w:val="21"/>
                      <w:szCs w:val="21"/>
                      <w:highlight w:val="none"/>
                      <w:lang w:val="en-US" w:eastAsia="zh-CN" w:bidi="ar"/>
                    </w:rPr>
                    <w:t>半年</w:t>
                  </w:r>
                </w:p>
              </w:tc>
            </w:tr>
            <w:tr w14:paraId="22337F6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9F7EF3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w:t>
                  </w:r>
                </w:p>
              </w:tc>
              <w:tc>
                <w:tcPr>
                  <w:tcW w:w="1212" w:type="dxa"/>
                  <w:vMerge w:val="continue"/>
                  <w:tcBorders>
                    <w:tl2br w:val="nil"/>
                    <w:tr2bl w:val="nil"/>
                  </w:tcBorders>
                  <w:noWrap w:val="0"/>
                  <w:vAlign w:val="center"/>
                </w:tcPr>
                <w:p w14:paraId="24AAAA2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l2br w:val="nil"/>
                    <w:tr2bl w:val="nil"/>
                  </w:tcBorders>
                  <w:noWrap w:val="0"/>
                  <w:vAlign w:val="center"/>
                </w:tcPr>
                <w:p w14:paraId="28159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780" w:type="dxa"/>
                  <w:tcBorders>
                    <w:top w:val="single" w:color="auto" w:sz="4" w:space="0"/>
                    <w:bottom w:val="single" w:color="auto" w:sz="4" w:space="0"/>
                    <w:tl2br w:val="nil"/>
                    <w:tr2bl w:val="nil"/>
                  </w:tcBorders>
                  <w:noWrap w:val="0"/>
                  <w:vAlign w:val="center"/>
                </w:tcPr>
                <w:p w14:paraId="49345C9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top w:val="single" w:color="auto" w:sz="4" w:space="0"/>
                    <w:bottom w:val="single" w:color="auto" w:sz="4" w:space="0"/>
                    <w:tl2br w:val="nil"/>
                    <w:tr2bl w:val="nil"/>
                  </w:tcBorders>
                  <w:noWrap w:val="0"/>
                  <w:vAlign w:val="center"/>
                </w:tcPr>
                <w:p w14:paraId="30376AF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4A4EC00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2CDDFEC4">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3572E78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袋装</w:t>
                  </w:r>
                </w:p>
              </w:tc>
              <w:tc>
                <w:tcPr>
                  <w:tcW w:w="653" w:type="dxa"/>
                  <w:tcBorders>
                    <w:tl2br w:val="nil"/>
                    <w:tr2bl w:val="nil"/>
                  </w:tcBorders>
                  <w:noWrap w:val="0"/>
                  <w:vAlign w:val="center"/>
                </w:tcPr>
                <w:p w14:paraId="6B6A6F7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1ECEF3D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377972F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3358B52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w:t>
                  </w:r>
                </w:p>
              </w:tc>
              <w:tc>
                <w:tcPr>
                  <w:tcW w:w="1212" w:type="dxa"/>
                  <w:vMerge w:val="continue"/>
                  <w:tcBorders>
                    <w:tl2br w:val="nil"/>
                    <w:tr2bl w:val="nil"/>
                  </w:tcBorders>
                  <w:noWrap w:val="0"/>
                  <w:vAlign w:val="center"/>
                </w:tcPr>
                <w:p w14:paraId="529D3D9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bottom w:val="single" w:color="auto" w:sz="4" w:space="0"/>
                    <w:tl2br w:val="nil"/>
                    <w:tr2bl w:val="nil"/>
                  </w:tcBorders>
                  <w:noWrap w:val="0"/>
                  <w:vAlign w:val="center"/>
                </w:tcPr>
                <w:p w14:paraId="394A8E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780" w:type="dxa"/>
                  <w:tcBorders>
                    <w:top w:val="single" w:color="auto" w:sz="4" w:space="0"/>
                    <w:bottom w:val="single" w:color="auto" w:sz="4" w:space="0"/>
                    <w:tl2br w:val="nil"/>
                    <w:tr2bl w:val="nil"/>
                  </w:tcBorders>
                  <w:noWrap w:val="0"/>
                  <w:vAlign w:val="center"/>
                </w:tcPr>
                <w:p w14:paraId="7820DC1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top w:val="single" w:color="auto" w:sz="4" w:space="0"/>
                    <w:bottom w:val="single" w:color="auto" w:sz="4" w:space="0"/>
                    <w:tl2br w:val="nil"/>
                    <w:tr2bl w:val="nil"/>
                  </w:tcBorders>
                  <w:noWrap w:val="0"/>
                  <w:vAlign w:val="center"/>
                </w:tcPr>
                <w:p w14:paraId="61597881">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continue"/>
                  <w:tcBorders>
                    <w:tl2br w:val="nil"/>
                    <w:tr2bl w:val="nil"/>
                  </w:tcBorders>
                  <w:noWrap w:val="0"/>
                  <w:vAlign w:val="center"/>
                </w:tcPr>
                <w:p w14:paraId="46767C6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66DD09C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28EAD26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tcBorders>
                    <w:tl2br w:val="nil"/>
                    <w:tr2bl w:val="nil"/>
                  </w:tcBorders>
                  <w:noWrap w:val="0"/>
                  <w:vAlign w:val="center"/>
                </w:tcPr>
                <w:p w14:paraId="3303DA2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270EF6A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56376C6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0100E9B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6</w:t>
                  </w:r>
                </w:p>
              </w:tc>
              <w:tc>
                <w:tcPr>
                  <w:tcW w:w="1212" w:type="dxa"/>
                  <w:vMerge w:val="continue"/>
                  <w:tcBorders>
                    <w:tl2br w:val="nil"/>
                    <w:tr2bl w:val="nil"/>
                  </w:tcBorders>
                  <w:noWrap w:val="0"/>
                  <w:vAlign w:val="center"/>
                </w:tcPr>
                <w:p w14:paraId="363ACA1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op w:val="single" w:color="auto" w:sz="4" w:space="0"/>
                    <w:tl2br w:val="nil"/>
                    <w:tr2bl w:val="nil"/>
                  </w:tcBorders>
                  <w:noWrap w:val="0"/>
                  <w:vAlign w:val="center"/>
                </w:tcPr>
                <w:p w14:paraId="3A884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780" w:type="dxa"/>
                  <w:tcBorders>
                    <w:top w:val="single" w:color="auto" w:sz="4" w:space="0"/>
                    <w:tl2br w:val="nil"/>
                    <w:tr2bl w:val="nil"/>
                  </w:tcBorders>
                  <w:noWrap w:val="0"/>
                  <w:vAlign w:val="center"/>
                </w:tcPr>
                <w:p w14:paraId="572CE3B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top w:val="single" w:color="auto" w:sz="4" w:space="0"/>
                    <w:tl2br w:val="nil"/>
                    <w:tr2bl w:val="nil"/>
                  </w:tcBorders>
                  <w:noWrap w:val="0"/>
                  <w:vAlign w:val="center"/>
                </w:tcPr>
                <w:p w14:paraId="54B5746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tcBorders>
                    <w:tl2br w:val="nil"/>
                    <w:tr2bl w:val="nil"/>
                  </w:tcBorders>
                  <w:noWrap w:val="0"/>
                  <w:vAlign w:val="center"/>
                </w:tcPr>
                <w:p w14:paraId="3DB4AE2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4644DCA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22D1128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vMerge w:val="restart"/>
                  <w:tcBorders>
                    <w:tl2br w:val="nil"/>
                    <w:tr2bl w:val="nil"/>
                  </w:tcBorders>
                  <w:noWrap w:val="0"/>
                  <w:vAlign w:val="center"/>
                </w:tcPr>
                <w:p w14:paraId="21E3302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w:t>
                  </w:r>
                  <w:r>
                    <w:rPr>
                      <w:rFonts w:hint="default" w:ascii="Times New Roman" w:hAnsi="Times New Roman" w:eastAsia="宋体" w:cs="Times New Roman"/>
                      <w:color w:val="auto"/>
                      <w:kern w:val="0"/>
                      <w:sz w:val="21"/>
                      <w:szCs w:val="21"/>
                      <w:highlight w:val="none"/>
                      <w:lang w:val="en-US" w:eastAsia="zh-CN" w:bidi="ar"/>
                    </w:rPr>
                    <w:t>t</w:t>
                  </w:r>
                </w:p>
              </w:tc>
              <w:tc>
                <w:tcPr>
                  <w:tcW w:w="512" w:type="dxa"/>
                  <w:vMerge w:val="restart"/>
                  <w:tcBorders>
                    <w:tl2br w:val="nil"/>
                    <w:tr2bl w:val="nil"/>
                  </w:tcBorders>
                  <w:noWrap w:val="0"/>
                  <w:vAlign w:val="center"/>
                </w:tcPr>
                <w:p w14:paraId="29F1AC3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4B0DED6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9A68A0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7</w:t>
                  </w:r>
                </w:p>
              </w:tc>
              <w:tc>
                <w:tcPr>
                  <w:tcW w:w="1212" w:type="dxa"/>
                  <w:vMerge w:val="continue"/>
                  <w:noWrap w:val="0"/>
                  <w:vAlign w:val="center"/>
                </w:tcPr>
                <w:p w14:paraId="471C36C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45BAC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780" w:type="dxa"/>
                  <w:tcBorders>
                    <w:bottom w:val="single" w:color="auto" w:sz="4" w:space="0"/>
                  </w:tcBorders>
                  <w:noWrap w:val="0"/>
                  <w:vAlign w:val="center"/>
                </w:tcPr>
                <w:p w14:paraId="7D22173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bottom w:val="single" w:color="auto" w:sz="4" w:space="0"/>
                  </w:tcBorders>
                  <w:noWrap w:val="0"/>
                  <w:vAlign w:val="center"/>
                </w:tcPr>
                <w:p w14:paraId="25A88A8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7B527E7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0D477FF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364F478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vMerge w:val="continue"/>
                  <w:noWrap w:val="0"/>
                  <w:vAlign w:val="center"/>
                </w:tcPr>
                <w:p w14:paraId="10A550E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3087C1C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26EF629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5374C16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w:t>
                  </w:r>
                </w:p>
              </w:tc>
              <w:tc>
                <w:tcPr>
                  <w:tcW w:w="1212" w:type="dxa"/>
                  <w:vMerge w:val="continue"/>
                  <w:noWrap w:val="0"/>
                  <w:vAlign w:val="center"/>
                </w:tcPr>
                <w:p w14:paraId="5E9DED8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2F090B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780" w:type="dxa"/>
                  <w:tcBorders>
                    <w:top w:val="single" w:color="auto" w:sz="4" w:space="0"/>
                    <w:bottom w:val="single" w:color="auto" w:sz="4" w:space="0"/>
                  </w:tcBorders>
                  <w:noWrap w:val="0"/>
                  <w:vAlign w:val="center"/>
                </w:tcPr>
                <w:p w14:paraId="15D6340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top w:val="single" w:color="auto" w:sz="4" w:space="0"/>
                    <w:bottom w:val="single" w:color="auto" w:sz="4" w:space="0"/>
                  </w:tcBorders>
                  <w:noWrap w:val="0"/>
                  <w:vAlign w:val="center"/>
                </w:tcPr>
                <w:p w14:paraId="61F5F78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continue"/>
                  <w:noWrap w:val="0"/>
                  <w:vAlign w:val="center"/>
                </w:tcPr>
                <w:p w14:paraId="5A0EF46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6EE5F81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2130FDF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袋装</w:t>
                  </w:r>
                </w:p>
              </w:tc>
              <w:tc>
                <w:tcPr>
                  <w:tcW w:w="653" w:type="dxa"/>
                  <w:vMerge w:val="continue"/>
                  <w:noWrap w:val="0"/>
                  <w:vAlign w:val="center"/>
                </w:tcPr>
                <w:p w14:paraId="5070F89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0F0F72F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452A565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428BA1A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9</w:t>
                  </w:r>
                </w:p>
              </w:tc>
              <w:tc>
                <w:tcPr>
                  <w:tcW w:w="1212" w:type="dxa"/>
                  <w:vMerge w:val="continue"/>
                  <w:noWrap w:val="0"/>
                  <w:vAlign w:val="center"/>
                </w:tcPr>
                <w:p w14:paraId="7A02272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32DF1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780" w:type="dxa"/>
                  <w:tcBorders>
                    <w:top w:val="single" w:color="auto" w:sz="4" w:space="0"/>
                    <w:bottom w:val="single" w:color="auto" w:sz="4" w:space="0"/>
                  </w:tcBorders>
                  <w:noWrap w:val="0"/>
                  <w:vAlign w:val="center"/>
                </w:tcPr>
                <w:p w14:paraId="3FDA567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top w:val="single" w:color="auto" w:sz="4" w:space="0"/>
                    <w:bottom w:val="single" w:color="auto" w:sz="4" w:space="0"/>
                  </w:tcBorders>
                  <w:noWrap w:val="0"/>
                  <w:vAlign w:val="center"/>
                </w:tcPr>
                <w:p w14:paraId="2FE4E06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1B11BD5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76A1F05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71994E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vMerge w:val="continue"/>
                  <w:noWrap w:val="0"/>
                  <w:vAlign w:val="center"/>
                </w:tcPr>
                <w:p w14:paraId="127A4D6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479AD664">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3018C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51ACF0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w:t>
                  </w:r>
                </w:p>
              </w:tc>
              <w:tc>
                <w:tcPr>
                  <w:tcW w:w="1212" w:type="dxa"/>
                  <w:vMerge w:val="continue"/>
                  <w:noWrap w:val="0"/>
                  <w:vAlign w:val="center"/>
                </w:tcPr>
                <w:p w14:paraId="1ACCBED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7D2EC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780" w:type="dxa"/>
                  <w:noWrap w:val="0"/>
                  <w:vAlign w:val="center"/>
                </w:tcPr>
                <w:p w14:paraId="2384DD4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noWrap w:val="0"/>
                  <w:vAlign w:val="center"/>
                </w:tcPr>
                <w:p w14:paraId="235738B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4ADBF48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20F641B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4A9E5F5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vMerge w:val="continue"/>
                  <w:noWrap w:val="0"/>
                  <w:vAlign w:val="center"/>
                </w:tcPr>
                <w:p w14:paraId="48668B7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41EF2AA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1007EC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7D3C985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11</w:t>
                  </w:r>
                </w:p>
              </w:tc>
              <w:tc>
                <w:tcPr>
                  <w:tcW w:w="1212" w:type="dxa"/>
                  <w:vMerge w:val="continue"/>
                  <w:noWrap w:val="0"/>
                  <w:vAlign w:val="center"/>
                </w:tcPr>
                <w:p w14:paraId="5243574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EBA5B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780" w:type="dxa"/>
                  <w:shd w:val="clear" w:color="auto" w:fill="auto"/>
                  <w:noWrap w:val="0"/>
                  <w:vAlign w:val="center"/>
                </w:tcPr>
                <w:p w14:paraId="37AB28D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HW49</w:t>
                  </w:r>
                </w:p>
              </w:tc>
              <w:tc>
                <w:tcPr>
                  <w:tcW w:w="1087" w:type="dxa"/>
                  <w:shd w:val="clear" w:color="auto" w:fill="auto"/>
                  <w:noWrap w:val="0"/>
                  <w:vAlign w:val="center"/>
                </w:tcPr>
                <w:p w14:paraId="2CC5693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kern w:val="0"/>
                      <w:szCs w:val="21"/>
                    </w:rPr>
                    <w:t>900-041-49</w:t>
                  </w:r>
                </w:p>
              </w:tc>
              <w:tc>
                <w:tcPr>
                  <w:tcW w:w="571" w:type="dxa"/>
                  <w:vMerge w:val="continue"/>
                  <w:noWrap w:val="0"/>
                  <w:vAlign w:val="center"/>
                </w:tcPr>
                <w:p w14:paraId="6811B80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F58CA6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6B0C74E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noWrap w:val="0"/>
                  <w:vAlign w:val="center"/>
                </w:tcPr>
                <w:p w14:paraId="1332125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0.3t</w:t>
                  </w:r>
                </w:p>
              </w:tc>
              <w:tc>
                <w:tcPr>
                  <w:tcW w:w="512" w:type="dxa"/>
                  <w:noWrap w:val="0"/>
                  <w:vAlign w:val="center"/>
                </w:tcPr>
                <w:p w14:paraId="0290439F">
                  <w:pPr>
                    <w:widowControl/>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r w14:paraId="10CD0DD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6D463E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2</w:t>
                  </w:r>
                </w:p>
              </w:tc>
              <w:tc>
                <w:tcPr>
                  <w:tcW w:w="1212" w:type="dxa"/>
                  <w:vMerge w:val="continue"/>
                  <w:noWrap w:val="0"/>
                  <w:vAlign w:val="center"/>
                </w:tcPr>
                <w:p w14:paraId="3E51FDD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276FEC0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喷枪清洗液</w:t>
                  </w:r>
                </w:p>
              </w:tc>
              <w:tc>
                <w:tcPr>
                  <w:tcW w:w="780" w:type="dxa"/>
                  <w:shd w:val="clear" w:color="auto" w:fill="auto"/>
                  <w:noWrap w:val="0"/>
                  <w:vAlign w:val="center"/>
                </w:tcPr>
                <w:p w14:paraId="15BD30F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HW06</w:t>
                  </w:r>
                </w:p>
              </w:tc>
              <w:tc>
                <w:tcPr>
                  <w:tcW w:w="1087" w:type="dxa"/>
                  <w:shd w:val="clear" w:color="auto" w:fill="auto"/>
                  <w:noWrap w:val="0"/>
                  <w:vAlign w:val="center"/>
                </w:tcPr>
                <w:p w14:paraId="0013D2A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900-402-06</w:t>
                  </w:r>
                </w:p>
              </w:tc>
              <w:tc>
                <w:tcPr>
                  <w:tcW w:w="571" w:type="dxa"/>
                  <w:vMerge w:val="continue"/>
                  <w:noWrap w:val="0"/>
                  <w:vAlign w:val="center"/>
                </w:tcPr>
                <w:p w14:paraId="0F73B0C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05BE4C9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6741795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3735B49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0.1t</w:t>
                  </w:r>
                </w:p>
              </w:tc>
              <w:tc>
                <w:tcPr>
                  <w:tcW w:w="512" w:type="dxa"/>
                  <w:noWrap w:val="0"/>
                  <w:vAlign w:val="center"/>
                </w:tcPr>
                <w:p w14:paraId="3B35CD21">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半年</w:t>
                  </w:r>
                </w:p>
              </w:tc>
            </w:tr>
            <w:tr w14:paraId="3B0A9C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1E36E67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3</w:t>
                  </w:r>
                </w:p>
              </w:tc>
              <w:tc>
                <w:tcPr>
                  <w:tcW w:w="1212" w:type="dxa"/>
                  <w:vMerge w:val="continue"/>
                  <w:noWrap w:val="0"/>
                  <w:vAlign w:val="center"/>
                </w:tcPr>
                <w:p w14:paraId="6BDCB54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5BBE6BD">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废滤芯静电喷粉</w:t>
                  </w:r>
                </w:p>
              </w:tc>
              <w:tc>
                <w:tcPr>
                  <w:tcW w:w="780" w:type="dxa"/>
                  <w:shd w:val="clear" w:color="auto" w:fill="auto"/>
                  <w:noWrap w:val="0"/>
                  <w:vAlign w:val="center"/>
                </w:tcPr>
                <w:p w14:paraId="203BF0B7">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pacing w:val="-2"/>
                      <w:kern w:val="44"/>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4CD0F252">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pacing w:val="-2"/>
                      <w:kern w:val="44"/>
                      <w:sz w:val="21"/>
                      <w:szCs w:val="21"/>
                      <w:lang w:val="en-US" w:eastAsia="zh-CN" w:bidi="ar-SA"/>
                    </w:rPr>
                  </w:pPr>
                  <w:r>
                    <w:rPr>
                      <w:rFonts w:hint="default" w:ascii="Times New Roman" w:hAnsi="Times New Roman" w:cs="Times New Roman"/>
                      <w:color w:val="auto"/>
                      <w:szCs w:val="21"/>
                    </w:rPr>
                    <w:t>900-041-49</w:t>
                  </w:r>
                </w:p>
              </w:tc>
              <w:tc>
                <w:tcPr>
                  <w:tcW w:w="571" w:type="dxa"/>
                  <w:vMerge w:val="continue"/>
                  <w:noWrap w:val="0"/>
                  <w:vAlign w:val="center"/>
                </w:tcPr>
                <w:p w14:paraId="385F984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2E6D4FE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401CF6A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62A7D39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0.1t</w:t>
                  </w:r>
                </w:p>
              </w:tc>
              <w:tc>
                <w:tcPr>
                  <w:tcW w:w="512" w:type="dxa"/>
                  <w:noWrap w:val="0"/>
                  <w:vAlign w:val="center"/>
                </w:tcPr>
                <w:p w14:paraId="092119C4">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7EF3FE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ABA0DE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4</w:t>
                  </w:r>
                </w:p>
              </w:tc>
              <w:tc>
                <w:tcPr>
                  <w:tcW w:w="1212" w:type="dxa"/>
                  <w:vMerge w:val="continue"/>
                  <w:noWrap w:val="0"/>
                  <w:vAlign w:val="center"/>
                </w:tcPr>
                <w:p w14:paraId="57E1D2E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051D785">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废过滤棉</w:t>
                  </w:r>
                </w:p>
              </w:tc>
              <w:tc>
                <w:tcPr>
                  <w:tcW w:w="780" w:type="dxa"/>
                  <w:shd w:val="clear" w:color="auto" w:fill="auto"/>
                  <w:noWrap w:val="0"/>
                  <w:vAlign w:val="center"/>
                </w:tcPr>
                <w:p w14:paraId="2E78B76C">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36333CB8">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900-041-49</w:t>
                  </w:r>
                </w:p>
              </w:tc>
              <w:tc>
                <w:tcPr>
                  <w:tcW w:w="571" w:type="dxa"/>
                  <w:vMerge w:val="continue"/>
                  <w:noWrap w:val="0"/>
                  <w:vAlign w:val="center"/>
                </w:tcPr>
                <w:p w14:paraId="561D06A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746D4F9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7DC3B8A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193846D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0.2</w:t>
                  </w:r>
                </w:p>
              </w:tc>
              <w:tc>
                <w:tcPr>
                  <w:tcW w:w="512" w:type="dxa"/>
                  <w:noWrap w:val="0"/>
                  <w:vAlign w:val="center"/>
                </w:tcPr>
                <w:p w14:paraId="4E8B6A52">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半年</w:t>
                  </w:r>
                </w:p>
              </w:tc>
            </w:tr>
            <w:tr w14:paraId="6F00CB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F6FE54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5</w:t>
                  </w:r>
                </w:p>
              </w:tc>
              <w:tc>
                <w:tcPr>
                  <w:tcW w:w="1212" w:type="dxa"/>
                  <w:vMerge w:val="continue"/>
                  <w:noWrap w:val="0"/>
                  <w:vAlign w:val="center"/>
                </w:tcPr>
                <w:p w14:paraId="702ED97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24D01F74">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废活性炭</w:t>
                  </w:r>
                </w:p>
              </w:tc>
              <w:tc>
                <w:tcPr>
                  <w:tcW w:w="780" w:type="dxa"/>
                  <w:shd w:val="clear" w:color="auto" w:fill="auto"/>
                  <w:noWrap w:val="0"/>
                  <w:vAlign w:val="center"/>
                </w:tcPr>
                <w:p w14:paraId="5AFB1C73">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0AEB6AF4">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bCs/>
                      <w:color w:val="auto"/>
                      <w:szCs w:val="21"/>
                    </w:rPr>
                    <w:t>900-039-49</w:t>
                  </w:r>
                </w:p>
              </w:tc>
              <w:tc>
                <w:tcPr>
                  <w:tcW w:w="571" w:type="dxa"/>
                  <w:vMerge w:val="continue"/>
                  <w:noWrap w:val="0"/>
                  <w:vAlign w:val="center"/>
                </w:tcPr>
                <w:p w14:paraId="058FD67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6CD562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ACE044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noWrap w:val="0"/>
                  <w:vAlign w:val="center"/>
                </w:tcPr>
                <w:p w14:paraId="006B8C7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9t</w:t>
                  </w:r>
                </w:p>
              </w:tc>
              <w:tc>
                <w:tcPr>
                  <w:tcW w:w="512" w:type="dxa"/>
                  <w:noWrap w:val="0"/>
                  <w:vAlign w:val="center"/>
                </w:tcPr>
                <w:p w14:paraId="1C733869">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7575CB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7F7267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6</w:t>
                  </w:r>
                </w:p>
              </w:tc>
              <w:tc>
                <w:tcPr>
                  <w:tcW w:w="1212" w:type="dxa"/>
                  <w:vMerge w:val="continue"/>
                  <w:noWrap w:val="0"/>
                  <w:vAlign w:val="center"/>
                </w:tcPr>
                <w:p w14:paraId="77D2130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40F19A1C">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废粉末涂料</w:t>
                  </w:r>
                </w:p>
              </w:tc>
              <w:tc>
                <w:tcPr>
                  <w:tcW w:w="780" w:type="dxa"/>
                  <w:shd w:val="clear" w:color="auto" w:fill="auto"/>
                  <w:noWrap w:val="0"/>
                  <w:vAlign w:val="center"/>
                </w:tcPr>
                <w:p w14:paraId="24290229">
                  <w:pPr>
                    <w:keepNext w:val="0"/>
                    <w:keepLines w:val="0"/>
                    <w:widowControl/>
                    <w:suppressLineNumbers w:val="0"/>
                    <w:spacing w:line="240" w:lineRule="auto"/>
                    <w:jc w:val="center"/>
                    <w:textAlignment w:val="center"/>
                    <w:rPr>
                      <w:rFonts w:hint="default" w:ascii="Times New Roman" w:hAnsi="Times New Roman"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待鉴定</w:t>
                  </w:r>
                </w:p>
              </w:tc>
              <w:tc>
                <w:tcPr>
                  <w:tcW w:w="1087" w:type="dxa"/>
                  <w:shd w:val="clear" w:color="auto" w:fill="auto"/>
                  <w:noWrap w:val="0"/>
                  <w:vAlign w:val="center"/>
                </w:tcPr>
                <w:p w14:paraId="5D458E36">
                  <w:pPr>
                    <w:keepNext w:val="0"/>
                    <w:keepLines w:val="0"/>
                    <w:widowControl/>
                    <w:suppressLineNumbers w:val="0"/>
                    <w:spacing w:line="240" w:lineRule="auto"/>
                    <w:jc w:val="center"/>
                    <w:textAlignment w:val="center"/>
                    <w:rPr>
                      <w:rFonts w:hint="default" w:ascii="Times New Roman" w:hAnsi="Times New Roman"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待鉴定</w:t>
                  </w:r>
                </w:p>
              </w:tc>
              <w:tc>
                <w:tcPr>
                  <w:tcW w:w="571" w:type="dxa"/>
                  <w:vMerge w:val="continue"/>
                  <w:noWrap w:val="0"/>
                  <w:vAlign w:val="center"/>
                </w:tcPr>
                <w:p w14:paraId="680B9FE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2490D0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BC783C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3710AD5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2t</w:t>
                  </w:r>
                </w:p>
              </w:tc>
              <w:tc>
                <w:tcPr>
                  <w:tcW w:w="512" w:type="dxa"/>
                  <w:noWrap w:val="0"/>
                  <w:vAlign w:val="center"/>
                </w:tcPr>
                <w:p w14:paraId="478B5E4B">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518A9D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27A9E71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w:t>
                  </w:r>
                </w:p>
              </w:tc>
              <w:tc>
                <w:tcPr>
                  <w:tcW w:w="1212" w:type="dxa"/>
                  <w:vMerge w:val="continue"/>
                  <w:noWrap w:val="0"/>
                  <w:vAlign w:val="center"/>
                </w:tcPr>
                <w:p w14:paraId="02B7CE2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9CA844A">
                  <w:pPr>
                    <w:pStyle w:val="109"/>
                    <w:pageBreakBefore w:val="0"/>
                    <w:tabs>
                      <w:tab w:val="left" w:pos="-2848"/>
                    </w:tabs>
                    <w:wordWrap w:val="0"/>
                    <w:topLinePunct/>
                    <w:bidi w:val="0"/>
                    <w:spacing w:beforeAutospacing="0" w:afterAutospacing="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废催化剂</w:t>
                  </w:r>
                </w:p>
              </w:tc>
              <w:tc>
                <w:tcPr>
                  <w:tcW w:w="780" w:type="dxa"/>
                  <w:shd w:val="clear" w:color="auto" w:fill="auto"/>
                  <w:noWrap w:val="0"/>
                  <w:vAlign w:val="center"/>
                </w:tcPr>
                <w:p w14:paraId="7FFCE301">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HW50</w:t>
                  </w:r>
                </w:p>
              </w:tc>
              <w:tc>
                <w:tcPr>
                  <w:tcW w:w="1087" w:type="dxa"/>
                  <w:shd w:val="clear" w:color="auto" w:fill="auto"/>
                  <w:noWrap w:val="0"/>
                  <w:vAlign w:val="center"/>
                </w:tcPr>
                <w:p w14:paraId="45E9AC04">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900-049-50</w:t>
                  </w:r>
                </w:p>
              </w:tc>
              <w:tc>
                <w:tcPr>
                  <w:tcW w:w="571" w:type="dxa"/>
                  <w:vMerge w:val="continue"/>
                  <w:noWrap w:val="0"/>
                  <w:vAlign w:val="center"/>
                </w:tcPr>
                <w:p w14:paraId="2032A5F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66B31C1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shd w:val="clear" w:color="auto" w:fill="auto"/>
                  <w:noWrap w:val="0"/>
                  <w:vAlign w:val="center"/>
                </w:tcPr>
                <w:p w14:paraId="7360B2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堆存</w:t>
                  </w:r>
                </w:p>
              </w:tc>
              <w:tc>
                <w:tcPr>
                  <w:tcW w:w="653" w:type="dxa"/>
                  <w:shd w:val="clear" w:color="auto" w:fill="auto"/>
                  <w:noWrap w:val="0"/>
                  <w:vAlign w:val="center"/>
                </w:tcPr>
                <w:p w14:paraId="4298F72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0.5t</w:t>
                  </w:r>
                </w:p>
              </w:tc>
              <w:tc>
                <w:tcPr>
                  <w:tcW w:w="512" w:type="dxa"/>
                  <w:shd w:val="clear" w:color="auto" w:fill="auto"/>
                  <w:noWrap w:val="0"/>
                  <w:vAlign w:val="center"/>
                </w:tcPr>
                <w:p w14:paraId="771DCAFE">
                  <w:pPr>
                    <w:widowControl/>
                    <w:spacing w:line="240" w:lineRule="auto"/>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r w14:paraId="05F9037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3F34EE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18</w:t>
                  </w:r>
                </w:p>
              </w:tc>
              <w:tc>
                <w:tcPr>
                  <w:tcW w:w="1212" w:type="dxa"/>
                  <w:vMerge w:val="continue"/>
                  <w:noWrap w:val="0"/>
                  <w:vAlign w:val="center"/>
                </w:tcPr>
                <w:p w14:paraId="2EECDE8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0743357">
                  <w:pPr>
                    <w:pStyle w:val="109"/>
                    <w:pageBreakBefore w:val="0"/>
                    <w:tabs>
                      <w:tab w:val="left" w:pos="-2848"/>
                    </w:tabs>
                    <w:wordWrap w:val="0"/>
                    <w:topLinePunct/>
                    <w:bidi w:val="0"/>
                    <w:spacing w:beforeAutospacing="0" w:afterAutospacing="0"/>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喷淋废液及沉渣</w:t>
                  </w:r>
                </w:p>
              </w:tc>
              <w:tc>
                <w:tcPr>
                  <w:tcW w:w="780" w:type="dxa"/>
                  <w:shd w:val="clear" w:color="auto" w:fill="auto"/>
                  <w:noWrap w:val="0"/>
                  <w:vAlign w:val="center"/>
                </w:tcPr>
                <w:p w14:paraId="5266EC3E">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HW12</w:t>
                  </w:r>
                </w:p>
              </w:tc>
              <w:tc>
                <w:tcPr>
                  <w:tcW w:w="1087" w:type="dxa"/>
                  <w:shd w:val="clear" w:color="auto" w:fill="auto"/>
                  <w:noWrap w:val="0"/>
                  <w:vAlign w:val="center"/>
                </w:tcPr>
                <w:p w14:paraId="3A014DD3">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900-252-12</w:t>
                  </w:r>
                </w:p>
              </w:tc>
              <w:tc>
                <w:tcPr>
                  <w:tcW w:w="571" w:type="dxa"/>
                  <w:vMerge w:val="continue"/>
                  <w:noWrap w:val="0"/>
                  <w:vAlign w:val="center"/>
                </w:tcPr>
                <w:p w14:paraId="20B1F61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1DB19C0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3253D1F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466713E2">
                  <w:pPr>
                    <w:widowControl/>
                    <w:spacing w:line="240" w:lineRule="auto"/>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3t</w:t>
                  </w:r>
                </w:p>
              </w:tc>
              <w:tc>
                <w:tcPr>
                  <w:tcW w:w="512" w:type="dxa"/>
                  <w:noWrap w:val="0"/>
                  <w:vAlign w:val="center"/>
                </w:tcPr>
                <w:p w14:paraId="15171DD5">
                  <w:pPr>
                    <w:widowControl/>
                    <w:spacing w:line="240" w:lineRule="auto"/>
                    <w:jc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bl>
          <w:p w14:paraId="1B1264C7">
            <w:pPr>
              <w:pStyle w:val="112"/>
              <w:keepNext w:val="0"/>
              <w:keepLines w:val="0"/>
              <w:pageBreakBefore w:val="0"/>
              <w:widowControl w:val="0"/>
              <w:kinsoku/>
              <w:wordWrap/>
              <w:overflowPunct/>
              <w:topLinePunct w:val="0"/>
              <w:autoSpaceDE/>
              <w:autoSpaceDN/>
              <w:bidi w:val="0"/>
              <w:adjustRightInd/>
              <w:snapToGrid/>
              <w:spacing w:line="120" w:lineRule="exact"/>
              <w:ind w:left="595"/>
              <w:textAlignment w:val="auto"/>
              <w:rPr>
                <w:rFonts w:hint="default" w:ascii="Times New Roman" w:hAnsi="Times New Roman" w:eastAsia="宋体" w:cs="Times New Roman"/>
                <w:color w:val="auto"/>
                <w:sz w:val="24"/>
                <w:highlight w:val="none"/>
                <w:lang w:eastAsia="zh-CN"/>
              </w:rPr>
            </w:pPr>
          </w:p>
          <w:p w14:paraId="2BB1B5F8">
            <w:pPr>
              <w:spacing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 xml:space="preserve">3）危险废物运输要求 </w:t>
            </w:r>
          </w:p>
          <w:p w14:paraId="1C7B42A5">
            <w:pPr>
              <w:spacing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项目危险废物经收集后交由有危险废物处理资质的单位外运处理。危险废物须严格按照《广东省危险废物经营许可证管理暂行规定》和《广东省危险废物转移报告联单管理暂行规定》中的有关要求管理。建设单位应委托具有相应资质的运输单位和利用处置经营单位，签订委托合同，依法委托运输、利用处置危险废物。在委托时，应详细核实运输单位、车辆、驾驶员及押运员的资质，并根据废物特性，选择运输工具，严防二次污染；应详细核实经营单位资质，严禁委托不具资质或资质不符的单位处置。转移前，产生单位应制定转移计划，向</w:t>
            </w:r>
            <w:r>
              <w:rPr>
                <w:rFonts w:hint="eastAsia" w:cs="Times New Roman"/>
                <w:b w:val="0"/>
                <w:bCs w:val="0"/>
                <w:color w:val="auto"/>
                <w:sz w:val="24"/>
                <w:highlight w:val="none"/>
                <w:lang w:val="en-US" w:eastAsia="zh-CN"/>
              </w:rPr>
              <w:t>生态环境主管部门</w:t>
            </w:r>
            <w:r>
              <w:rPr>
                <w:rFonts w:hint="default" w:ascii="Times New Roman" w:hAnsi="Times New Roman" w:eastAsia="宋体" w:cs="Times New Roman"/>
                <w:b w:val="0"/>
                <w:bCs w:val="0"/>
                <w:color w:val="auto"/>
                <w:sz w:val="24"/>
                <w:highlight w:val="none"/>
                <w:lang w:val="en-US" w:eastAsia="zh-CN"/>
              </w:rPr>
              <w:t>报备并领取联单；转移后，应按照转移实际，做到一转移一联单，并及时向</w:t>
            </w:r>
            <w:r>
              <w:rPr>
                <w:rFonts w:hint="eastAsia" w:cs="Times New Roman"/>
                <w:b w:val="0"/>
                <w:bCs w:val="0"/>
                <w:color w:val="auto"/>
                <w:sz w:val="24"/>
                <w:highlight w:val="none"/>
                <w:lang w:val="en-US" w:eastAsia="zh-CN"/>
              </w:rPr>
              <w:t>生态环境主管部门</w:t>
            </w:r>
            <w:r>
              <w:rPr>
                <w:rFonts w:hint="default" w:ascii="Times New Roman" w:hAnsi="Times New Roman" w:eastAsia="宋体" w:cs="Times New Roman"/>
                <w:b w:val="0"/>
                <w:bCs w:val="0"/>
                <w:color w:val="auto"/>
                <w:sz w:val="24"/>
                <w:highlight w:val="none"/>
                <w:lang w:val="en-US" w:eastAsia="zh-CN"/>
              </w:rPr>
              <w:t>提交转移联单，联单保存应在五年以上。</w:t>
            </w:r>
          </w:p>
          <w:p w14:paraId="7E0A5AF1">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4.3环境影响评价结论</w:t>
            </w:r>
          </w:p>
          <w:p w14:paraId="4E6DDD4E">
            <w:pPr>
              <w:spacing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本项目产生的固体废物经上述措施处理后，项目产生的固废均能得到妥善处置，不会直接对环境造成明显不利影响。</w:t>
            </w:r>
          </w:p>
          <w:p w14:paraId="714AF595">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5、地下水、土壤</w:t>
            </w:r>
          </w:p>
          <w:p w14:paraId="35CFB153">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bookmarkStart w:id="35" w:name="bookmark4"/>
            <w:r>
              <w:rPr>
                <w:rFonts w:hint="default" w:ascii="Times New Roman" w:hAnsi="Times New Roman" w:eastAsia="宋体" w:cs="Times New Roman"/>
                <w:b/>
                <w:bCs/>
                <w:color w:val="auto"/>
                <w:sz w:val="24"/>
                <w:szCs w:val="24"/>
                <w:highlight w:val="none"/>
                <w:lang w:val="en-US" w:eastAsia="zh-CN"/>
              </w:rPr>
              <w:t>5.1地下水和土壤污染源及污染途径分析</w:t>
            </w:r>
          </w:p>
          <w:p w14:paraId="5A587D59">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地下水污染主要是由于污染物迁移穿过包气带进入含水层造成；土壤污染主要由大气沉降、地面漫流、垂直入渗等原因造成。</w:t>
            </w:r>
          </w:p>
          <w:p w14:paraId="5912D89E">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项目厂区地面已全部硬化，危废间、化学品仓地面硬化，并刷环氧树脂漆防渗层、设置围堰，地面防腐防渗措施良好，不存在露天生产或储存的情况，即不存受雨水冲刷、淋溶出污染物的情况。</w:t>
            </w:r>
          </w:p>
          <w:p w14:paraId="3257A191">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危险废物暂存仓按《危险废物贮存污染控制标准》（GB18597-2023）相关要求设置；污水处理站、生产车间均为硬底化地面，若生产设备发生渗漏可及时发现并检修，即使发生渗漏时也可以有效收集；事故废水设置导流沟连通事故应急池，以便收集事故废水，可有效避免消防废水流出厂外。因此，本项目不存在污染土壤和地下水环境的途径。</w:t>
            </w:r>
          </w:p>
          <w:p w14:paraId="5A8C8DC9">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5.2地下水和土壤污染防控措施</w:t>
            </w:r>
          </w:p>
          <w:p w14:paraId="75E2F632">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针对项目可能发生的地下水、土壤污染，按照“源头控制、末端防治、污染监控、应急响应”相结合的原则，从污染物的产生、入渗、扩散、应急响应全阶段进行控制；进行污染防治分区，按照要求进行分区防渗处理。为进一步降低项目运行过程对地下水、土壤环境的影响，本环评建议建设单位做好以下内容：</w:t>
            </w:r>
          </w:p>
          <w:p w14:paraId="7C7DB490">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（1）生产中严格落实废水收集、治理措施。生产中加强废水收集巡检，发现泄漏后采取堵截措施，将泄漏的废污水控制在厂区范围内，并妥善处理。</w:t>
            </w:r>
          </w:p>
          <w:p w14:paraId="1171F969">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（2）加强废气处理设备的管理和维护，确保设备处于良好的运行状态，做到源头控制，减少颗粒物的排放。</w:t>
            </w:r>
          </w:p>
          <w:p w14:paraId="7E51584F">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（3）车间地面做好防渗、防腐工作。地下水、土壤污染防治工作统筹考虑，项目生产厂房、</w:t>
            </w:r>
            <w:r>
              <w:rPr>
                <w:rFonts w:hint="eastAsia" w:cs="Times New Roman"/>
                <w:b w:val="0"/>
                <w:bCs w:val="0"/>
                <w:color w:val="auto"/>
                <w:sz w:val="24"/>
                <w:szCs w:val="24"/>
                <w:highlight w:val="none"/>
                <w:lang w:val="en-US" w:eastAsia="zh-CN"/>
              </w:rPr>
              <w:t>危险废物贮存间</w:t>
            </w:r>
            <w:r>
              <w:rPr>
                <w:rFonts w:hint="default" w:ascii="Times New Roman" w:hAnsi="Times New Roman" w:eastAsia="宋体" w:cs="Times New Roman"/>
                <w:b w:val="0"/>
                <w:bCs w:val="0"/>
                <w:color w:val="auto"/>
                <w:sz w:val="24"/>
                <w:szCs w:val="24"/>
                <w:highlight w:val="none"/>
                <w:lang w:val="en-US" w:eastAsia="zh-CN"/>
              </w:rPr>
              <w:t>、污水处理站属于重点污染区，做好各区域的地面防渗方案，采用符合防渗标准要求的防渗材料。</w:t>
            </w:r>
          </w:p>
          <w:p w14:paraId="681DCBF7">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原料及产品转运、贮存等各环节做好防风、防水、防渗措施，避免有害物质流失禁止随意弃置、堆放、填埋。固体废物应分类收集暂存，严格按照《危险废物贮存污染控制标准》（GB18597-2023）相关要求对危险废物进行收集、暂存，并委托持有《危险废物经营许可证》的单位进行无害化处理处置。化学品存放区应备有泄漏应急处理设备（防渗托盘）和合适的收容材料，储存、运输过程中应当进行密闭，采取塑料包装物进行密闭等措施，避免化学品泄漏。</w:t>
            </w:r>
          </w:p>
          <w:p w14:paraId="5BAD6BEF">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综上，本项目采取以上措施后，不会对地下水和土壤产生明显的不利影响。</w:t>
            </w:r>
            <w:bookmarkEnd w:id="35"/>
          </w:p>
          <w:p w14:paraId="68019EC1">
            <w:pPr>
              <w:numPr>
                <w:ilvl w:val="0"/>
                <w:numId w:val="15"/>
              </w:num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生态</w:t>
            </w:r>
          </w:p>
          <w:p w14:paraId="07DFA4E2">
            <w:pPr>
              <w:spacing w:line="360" w:lineRule="auto"/>
              <w:ind w:firstLine="480"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color w:val="auto"/>
                <w:sz w:val="24"/>
                <w:highlight w:val="none"/>
              </w:rPr>
              <w:t>本项目所在区域无特殊的生态环境和需特别保护的野生动植物，不属于生态环境敏感区。因此，本项目的建设不会对周边生态环境造成明显影响。</w:t>
            </w:r>
          </w:p>
          <w:p w14:paraId="5446807F">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7、环境风险</w:t>
            </w:r>
          </w:p>
          <w:p w14:paraId="1F472F84">
            <w:pPr>
              <w:pStyle w:val="43"/>
              <w:spacing w:after="0" w:line="360" w:lineRule="auto"/>
              <w:ind w:firstLine="482"/>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7.1环境风险物质识别</w:t>
            </w:r>
          </w:p>
          <w:p w14:paraId="0518E4A4">
            <w:pPr>
              <w:pStyle w:val="43"/>
              <w:spacing w:after="0" w:line="360" w:lineRule="auto"/>
              <w:ind w:firstLine="482"/>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本项目涉及《建设项目环境风险评价技术导则》（HJ169-2018）附录B表B.1及表B.2所列部分危险物质</w:t>
            </w:r>
            <w:r>
              <w:rPr>
                <w:rFonts w:hint="default" w:ascii="Times New Roman" w:hAnsi="Times New Roman" w:eastAsia="宋体" w:cs="Times New Roman"/>
                <w:color w:val="auto"/>
                <w:sz w:val="24"/>
                <w:szCs w:val="24"/>
                <w:highlight w:val="none"/>
                <w:lang w:val="en-US" w:eastAsia="zh-CN"/>
              </w:rPr>
              <w:t>包括无铬钝化剂、pH调整剂</w:t>
            </w:r>
            <w:r>
              <w:rPr>
                <w:rFonts w:hint="default" w:ascii="Times New Roman" w:hAnsi="Times New Roman" w:eastAsia="宋体" w:cs="Times New Roman"/>
                <w:color w:val="auto"/>
                <w:sz w:val="24"/>
                <w:szCs w:val="24"/>
                <w:highlight w:val="none"/>
                <w:lang w:eastAsia="zh-CN"/>
              </w:rPr>
              <w:t>、机油、</w:t>
            </w:r>
            <w:r>
              <w:rPr>
                <w:rFonts w:hint="default" w:ascii="Times New Roman" w:hAnsi="Times New Roman" w:eastAsia="宋体" w:cs="Times New Roman"/>
                <w:color w:val="auto"/>
                <w:sz w:val="24"/>
                <w:szCs w:val="24"/>
                <w:highlight w:val="none"/>
                <w:lang w:val="en-US" w:eastAsia="zh-CN"/>
              </w:rPr>
              <w:t>液压油、天然气以及</w:t>
            </w:r>
            <w:r>
              <w:rPr>
                <w:rFonts w:hint="default" w:ascii="Times New Roman" w:hAnsi="Times New Roman" w:eastAsia="宋体" w:cs="Times New Roman"/>
                <w:color w:val="auto"/>
                <w:sz w:val="24"/>
                <w:szCs w:val="24"/>
                <w:highlight w:val="none"/>
                <w:lang w:eastAsia="zh-CN"/>
              </w:rPr>
              <w:t>危险废物。根据《建设项目环境风险评价技术导则》（HJ169-2018）附录C（规范性附录）危险物质及工艺系统危险性（P）的分级，计算本项目涉及的危险物质最大存在总量与其在附录B中对应临界量的比值Q。当只涉及一种环境风险物质时，计算该物质的总数量与其临界量比值，即为Q；当存在多种环境风险物质时，则按下式计算物质数量与其临界量比值（Q）：</w:t>
            </w:r>
          </w:p>
          <w:p w14:paraId="4C6AABB0">
            <w:pPr>
              <w:pStyle w:val="43"/>
              <w:spacing w:after="0" w:line="360" w:lineRule="auto"/>
              <w:jc w:val="center"/>
              <w:rPr>
                <w:rFonts w:hint="default" w:ascii="Times New Roman" w:hAnsi="Times New Roman" w:eastAsia="宋体" w:cs="Times New Roman"/>
                <w:color w:val="auto"/>
                <w:spacing w:val="-5"/>
                <w:sz w:val="24"/>
                <w:szCs w:val="24"/>
                <w:highlight w:val="none"/>
                <w:lang w:eastAsia="zh-CN"/>
              </w:rPr>
            </w:pPr>
            <w:r>
              <w:rPr>
                <w:rFonts w:hint="default" w:ascii="Times New Roman" w:hAnsi="Times New Roman" w:eastAsia="宋体" w:cs="Times New Roman"/>
                <w:color w:val="auto"/>
                <w:spacing w:val="-5"/>
                <w:position w:val="-30"/>
                <w:sz w:val="24"/>
                <w:szCs w:val="24"/>
                <w:highlight w:val="none"/>
                <w:lang w:eastAsia="zh-CN"/>
              </w:rPr>
              <w:object>
                <v:shape id="_x0000_i1036" o:spt="75" type="#_x0000_t75" style="height:34pt;width:101pt;" o:ole="t" filled="f" o:preferrelative="t" stroked="f" coordsize="21600,21600">
                  <v:path/>
                  <v:fill on="f" focussize="0,0"/>
                  <v:stroke on="f"/>
                  <v:imagedata r:id="rId48" o:title=""/>
                  <o:lock v:ext="edit" aspectratio="t"/>
                  <w10:wrap type="none"/>
                  <w10:anchorlock/>
                </v:shape>
                <o:OLEObject Type="Embed" ProgID="Equation.KSEE3" ShapeID="_x0000_i1036" DrawAspect="Content" ObjectID="_1468075736" r:id="rId47">
                  <o:LockedField>false</o:LockedField>
                </o:OLEObject>
              </w:object>
            </w:r>
          </w:p>
          <w:p w14:paraId="3732F0A9">
            <w:pPr>
              <w:pStyle w:val="43"/>
              <w:spacing w:after="0" w:line="360" w:lineRule="auto"/>
              <w:ind w:firstLine="482"/>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5"/>
                <w:sz w:val="24"/>
                <w:szCs w:val="24"/>
                <w:highlight w:val="none"/>
              </w:rPr>
              <w:t>式中：</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1</w:t>
            </w:r>
            <w:r>
              <w:rPr>
                <w:rFonts w:hint="default" w:ascii="Times New Roman" w:hAnsi="Times New Roman" w:cs="Times New Roman"/>
                <w:color w:val="auto"/>
                <w:spacing w:val="-5"/>
                <w:sz w:val="24"/>
                <w:szCs w:val="24"/>
                <w:highlight w:val="none"/>
              </w:rPr>
              <w:t>，</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2</w:t>
            </w:r>
            <w:r>
              <w:rPr>
                <w:rFonts w:hint="default" w:ascii="Times New Roman" w:hAnsi="Times New Roman" w:cs="Times New Roman"/>
                <w:color w:val="auto"/>
                <w:spacing w:val="-5"/>
                <w:sz w:val="24"/>
                <w:szCs w:val="24"/>
                <w:highlight w:val="none"/>
              </w:rPr>
              <w:t>，</w:t>
            </w:r>
            <w:r>
              <w:rPr>
                <w:rFonts w:hint="default" w:ascii="Times New Roman" w:hAnsi="Times New Roman" w:cs="Times New Roman"/>
                <w:color w:val="auto"/>
                <w:spacing w:val="-5"/>
                <w:sz w:val="24"/>
                <w:szCs w:val="24"/>
                <w:highlight w:val="none"/>
                <w:lang w:val="en-US" w:eastAsia="zh-CN"/>
              </w:rPr>
              <w:t>...</w:t>
            </w:r>
            <w:r>
              <w:rPr>
                <w:rFonts w:hint="default" w:ascii="Times New Roman" w:hAnsi="Times New Roman" w:cs="Times New Roman"/>
                <w:color w:val="auto"/>
                <w:spacing w:val="-5"/>
                <w:sz w:val="24"/>
                <w:szCs w:val="24"/>
                <w:highlight w:val="none"/>
                <w:lang w:eastAsia="zh-CN"/>
              </w:rPr>
              <w:t>，</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n</w:t>
            </w:r>
            <w:r>
              <w:rPr>
                <w:rFonts w:hint="default" w:ascii="Times New Roman" w:hAnsi="Times New Roman" w:eastAsia="Times New Roman" w:cs="Times New Roman"/>
                <w:color w:val="auto"/>
                <w:spacing w:val="-5"/>
                <w:sz w:val="24"/>
                <w:szCs w:val="24"/>
                <w:highlight w:val="none"/>
              </w:rPr>
              <w:t>—</w:t>
            </w:r>
            <w:r>
              <w:rPr>
                <w:rFonts w:hint="default" w:ascii="Times New Roman" w:hAnsi="Times New Roman" w:cs="Times New Roman"/>
                <w:color w:val="auto"/>
                <w:spacing w:val="-5"/>
                <w:sz w:val="24"/>
                <w:szCs w:val="24"/>
                <w:highlight w:val="none"/>
              </w:rPr>
              <w:t>每种危险物质的最大存在总量，</w:t>
            </w:r>
            <w:r>
              <w:rPr>
                <w:rFonts w:hint="default" w:ascii="Times New Roman" w:hAnsi="Times New Roman" w:eastAsia="Times New Roman" w:cs="Times New Roman"/>
                <w:color w:val="auto"/>
                <w:spacing w:val="-5"/>
                <w:sz w:val="24"/>
                <w:szCs w:val="24"/>
                <w:highlight w:val="none"/>
              </w:rPr>
              <w:t>t</w:t>
            </w:r>
            <w:r>
              <w:rPr>
                <w:rFonts w:hint="default" w:ascii="Times New Roman" w:hAnsi="Times New Roman" w:cs="Times New Roman"/>
                <w:color w:val="auto"/>
                <w:spacing w:val="-5"/>
                <w:sz w:val="24"/>
                <w:szCs w:val="24"/>
                <w:highlight w:val="none"/>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1</w:t>
            </w:r>
            <w:r>
              <w:rPr>
                <w:rFonts w:hint="default" w:ascii="Times New Roman" w:hAnsi="Times New Roman" w:cs="Times New Roman"/>
                <w:color w:val="auto"/>
                <w:spacing w:val="-2"/>
                <w:sz w:val="24"/>
                <w:szCs w:val="24"/>
                <w:highlight w:val="none"/>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2</w:t>
            </w:r>
            <w:r>
              <w:rPr>
                <w:rFonts w:hint="default" w:ascii="Times New Roman" w:hAnsi="Times New Roman" w:cs="Times New Roman"/>
                <w:color w:val="auto"/>
                <w:spacing w:val="-2"/>
                <w:sz w:val="24"/>
                <w:szCs w:val="24"/>
                <w:highlight w:val="none"/>
              </w:rPr>
              <w:t>，</w:t>
            </w:r>
            <w:r>
              <w:rPr>
                <w:rFonts w:hint="default" w:ascii="Times New Roman" w:hAnsi="Times New Roman" w:eastAsia="宋体" w:cs="Times New Roman"/>
                <w:color w:val="auto"/>
                <w:spacing w:val="-2"/>
                <w:sz w:val="24"/>
                <w:szCs w:val="24"/>
                <w:highlight w:val="none"/>
                <w:lang w:val="en-US" w:eastAsia="zh-CN"/>
              </w:rPr>
              <w:t>...</w:t>
            </w:r>
            <w:r>
              <w:rPr>
                <w:rFonts w:hint="default" w:ascii="Times New Roman" w:hAnsi="Times New Roman" w:eastAsia="宋体" w:cs="Times New Roman"/>
                <w:color w:val="auto"/>
                <w:spacing w:val="-2"/>
                <w:sz w:val="24"/>
                <w:szCs w:val="24"/>
                <w:highlight w:val="none"/>
                <w:lang w:eastAsia="zh-CN"/>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n</w:t>
            </w:r>
            <w:r>
              <w:rPr>
                <w:rFonts w:hint="default" w:ascii="Times New Roman" w:hAnsi="Times New Roman" w:eastAsia="Times New Roman" w:cs="Times New Roman"/>
                <w:color w:val="auto"/>
                <w:spacing w:val="-2"/>
                <w:sz w:val="24"/>
                <w:szCs w:val="24"/>
                <w:highlight w:val="none"/>
              </w:rPr>
              <w:t>—</w:t>
            </w:r>
            <w:r>
              <w:rPr>
                <w:rFonts w:hint="default" w:ascii="Times New Roman" w:hAnsi="Times New Roman" w:cs="Times New Roman"/>
                <w:color w:val="auto"/>
                <w:spacing w:val="-2"/>
                <w:sz w:val="24"/>
                <w:szCs w:val="24"/>
                <w:highlight w:val="none"/>
              </w:rPr>
              <w:t>每种环境风险物质相</w:t>
            </w:r>
            <w:r>
              <w:rPr>
                <w:rFonts w:hint="default" w:ascii="Times New Roman" w:hAnsi="Times New Roman" w:cs="Times New Roman"/>
                <w:color w:val="auto"/>
                <w:spacing w:val="-3"/>
                <w:sz w:val="24"/>
                <w:szCs w:val="24"/>
                <w:highlight w:val="none"/>
              </w:rPr>
              <w:t>对应的临界量，</w:t>
            </w:r>
            <w:r>
              <w:rPr>
                <w:rFonts w:hint="default" w:ascii="Times New Roman" w:hAnsi="Times New Roman" w:eastAsia="Times New Roman" w:cs="Times New Roman"/>
                <w:color w:val="auto"/>
                <w:spacing w:val="-3"/>
                <w:sz w:val="24"/>
                <w:szCs w:val="24"/>
                <w:highlight w:val="none"/>
              </w:rPr>
              <w:t>t</w:t>
            </w:r>
            <w:r>
              <w:rPr>
                <w:rFonts w:hint="default" w:ascii="Times New Roman" w:hAnsi="Times New Roman" w:cs="Times New Roman"/>
                <w:color w:val="auto"/>
                <w:spacing w:val="-3"/>
                <w:sz w:val="24"/>
                <w:szCs w:val="24"/>
                <w:highlight w:val="none"/>
              </w:rPr>
              <w:t>。</w:t>
            </w:r>
          </w:p>
          <w:p w14:paraId="43CD6DE7">
            <w:pPr>
              <w:pStyle w:val="43"/>
              <w:spacing w:after="0" w:line="360" w:lineRule="auto"/>
              <w:ind w:firstLine="482"/>
              <w:rPr>
                <w:rFonts w:hint="default" w:ascii="Times New Roman" w:hAnsi="Times New Roman" w:cs="Times New Roman"/>
                <w:color w:val="auto"/>
                <w:spacing w:val="-1"/>
                <w:sz w:val="24"/>
                <w:szCs w:val="24"/>
                <w:highlight w:val="none"/>
              </w:rPr>
            </w:pPr>
            <w:r>
              <w:rPr>
                <w:rFonts w:hint="default" w:ascii="Times New Roman" w:hAnsi="Times New Roman" w:eastAsia="宋体" w:cs="Times New Roman"/>
                <w:color w:val="auto"/>
                <w:sz w:val="24"/>
                <w:szCs w:val="24"/>
                <w:highlight w:val="none"/>
              </w:rPr>
              <w:t>本项目建成投产后，风险物质</w:t>
            </w:r>
            <w:r>
              <w:rPr>
                <w:rFonts w:hint="default" w:ascii="Times New Roman" w:hAnsi="Times New Roman" w:cs="Times New Roman"/>
                <w:color w:val="auto"/>
                <w:spacing w:val="-1"/>
                <w:sz w:val="24"/>
                <w:szCs w:val="24"/>
                <w:highlight w:val="none"/>
              </w:rPr>
              <w:t>危险物质数量、分布情况及</w:t>
            </w:r>
            <w:r>
              <w:rPr>
                <w:rFonts w:hint="default" w:ascii="Times New Roman" w:hAnsi="Times New Roman" w:eastAsia="Times New Roman" w:cs="Times New Roman"/>
                <w:color w:val="auto"/>
                <w:spacing w:val="-1"/>
                <w:sz w:val="24"/>
                <w:szCs w:val="24"/>
                <w:highlight w:val="none"/>
              </w:rPr>
              <w:t>Q</w:t>
            </w:r>
            <w:r>
              <w:rPr>
                <w:rFonts w:hint="default" w:ascii="Times New Roman" w:hAnsi="Times New Roman" w:cs="Times New Roman"/>
                <w:color w:val="auto"/>
                <w:spacing w:val="-1"/>
                <w:sz w:val="24"/>
                <w:szCs w:val="24"/>
                <w:highlight w:val="none"/>
              </w:rPr>
              <w:t>值核算情况如下表所示。</w:t>
            </w:r>
          </w:p>
          <w:p w14:paraId="5CDDFAA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40 </w:t>
            </w:r>
            <w:r>
              <w:rPr>
                <w:rFonts w:hint="default" w:ascii="Times New Roman" w:hAnsi="Times New Roman" w:eastAsia="宋体" w:cs="Times New Roman"/>
                <w:b/>
                <w:bCs/>
                <w:color w:val="auto"/>
                <w:sz w:val="21"/>
                <w:szCs w:val="21"/>
                <w:highlight w:val="none"/>
                <w:lang w:val="en-US" w:eastAsia="zh-CN"/>
              </w:rPr>
              <w:t>全厂风险物质Q值表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6"/>
              <w:gridCol w:w="911"/>
              <w:gridCol w:w="1792"/>
              <w:gridCol w:w="1530"/>
              <w:gridCol w:w="1340"/>
              <w:gridCol w:w="943"/>
              <w:gridCol w:w="1284"/>
            </w:tblGrid>
            <w:tr w14:paraId="42C2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626" w:type="dxa"/>
                  <w:shd w:val="clear" w:color="auto" w:fill="auto"/>
                  <w:vAlign w:val="center"/>
                </w:tcPr>
                <w:p w14:paraId="4C88CF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序号</w:t>
                  </w:r>
                </w:p>
              </w:tc>
              <w:tc>
                <w:tcPr>
                  <w:tcW w:w="911" w:type="dxa"/>
                  <w:shd w:val="clear" w:color="auto" w:fill="auto"/>
                  <w:vAlign w:val="center"/>
                </w:tcPr>
                <w:p w14:paraId="6ACEE1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类别</w:t>
                  </w:r>
                </w:p>
              </w:tc>
              <w:tc>
                <w:tcPr>
                  <w:tcW w:w="1792" w:type="dxa"/>
                  <w:shd w:val="clear" w:color="auto" w:fill="auto"/>
                  <w:vAlign w:val="center"/>
                </w:tcPr>
                <w:p w14:paraId="2354C40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风险组份及含量</w:t>
                  </w:r>
                </w:p>
              </w:tc>
              <w:tc>
                <w:tcPr>
                  <w:tcW w:w="1530" w:type="dxa"/>
                  <w:shd w:val="clear" w:color="auto" w:fill="auto"/>
                  <w:vAlign w:val="center"/>
                </w:tcPr>
                <w:p w14:paraId="06C6BDF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CAS号</w:t>
                  </w:r>
                </w:p>
              </w:tc>
              <w:tc>
                <w:tcPr>
                  <w:tcW w:w="1340" w:type="dxa"/>
                  <w:shd w:val="clear" w:color="auto" w:fill="auto"/>
                  <w:vAlign w:val="center"/>
                </w:tcPr>
                <w:p w14:paraId="5F56182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最大储存量t</w:t>
                  </w:r>
                </w:p>
              </w:tc>
              <w:tc>
                <w:tcPr>
                  <w:tcW w:w="943" w:type="dxa"/>
                  <w:shd w:val="clear" w:color="auto" w:fill="auto"/>
                  <w:vAlign w:val="center"/>
                </w:tcPr>
                <w:p w14:paraId="633E6F2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临界值t</w:t>
                  </w:r>
                </w:p>
              </w:tc>
              <w:tc>
                <w:tcPr>
                  <w:tcW w:w="1284" w:type="dxa"/>
                  <w:shd w:val="clear" w:color="auto" w:fill="auto"/>
                  <w:vAlign w:val="center"/>
                </w:tcPr>
                <w:p w14:paraId="11BD69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比值/Q</w:t>
                  </w:r>
                </w:p>
              </w:tc>
            </w:tr>
            <w:tr w14:paraId="03BA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6BE356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11" w:type="dxa"/>
                  <w:shd w:val="clear" w:color="auto" w:fill="auto"/>
                  <w:vAlign w:val="center"/>
                </w:tcPr>
                <w:p w14:paraId="195A54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天然气</w:t>
                  </w:r>
                </w:p>
              </w:tc>
              <w:tc>
                <w:tcPr>
                  <w:tcW w:w="1792" w:type="dxa"/>
                  <w:shd w:val="clear" w:color="auto" w:fill="auto"/>
                  <w:vAlign w:val="center"/>
                </w:tcPr>
                <w:p w14:paraId="2E4293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甲烷</w:t>
                  </w:r>
                </w:p>
              </w:tc>
              <w:tc>
                <w:tcPr>
                  <w:tcW w:w="1530" w:type="dxa"/>
                  <w:shd w:val="clear" w:color="auto" w:fill="auto"/>
                  <w:vAlign w:val="center"/>
                </w:tcPr>
                <w:p w14:paraId="1DC96B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8006-14-2</w:t>
                  </w:r>
                </w:p>
              </w:tc>
              <w:tc>
                <w:tcPr>
                  <w:tcW w:w="1340" w:type="dxa"/>
                  <w:shd w:val="clear" w:color="auto" w:fill="auto"/>
                  <w:vAlign w:val="center"/>
                </w:tcPr>
                <w:p w14:paraId="1D8D9A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0.00032</w:t>
                  </w:r>
                </w:p>
              </w:tc>
              <w:tc>
                <w:tcPr>
                  <w:tcW w:w="943" w:type="dxa"/>
                  <w:shd w:val="clear" w:color="auto" w:fill="auto"/>
                  <w:vAlign w:val="center"/>
                </w:tcPr>
                <w:p w14:paraId="5FA05D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02AB7A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0.000032</w:t>
                  </w:r>
                </w:p>
              </w:tc>
            </w:tr>
            <w:tr w14:paraId="2FB7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33F9D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dxa"/>
                  <w:shd w:val="clear" w:color="auto" w:fill="auto"/>
                  <w:vAlign w:val="center"/>
                </w:tcPr>
                <w:p w14:paraId="62420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底漆</w:t>
                  </w:r>
                </w:p>
              </w:tc>
              <w:tc>
                <w:tcPr>
                  <w:tcW w:w="1792" w:type="dxa"/>
                  <w:shd w:val="clear" w:color="auto" w:fill="auto"/>
                  <w:vAlign w:val="center"/>
                </w:tcPr>
                <w:p w14:paraId="7B5810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二甲苯（33%）</w:t>
                  </w:r>
                </w:p>
              </w:tc>
              <w:tc>
                <w:tcPr>
                  <w:tcW w:w="1530" w:type="dxa"/>
                  <w:shd w:val="clear" w:color="auto" w:fill="auto"/>
                  <w:vAlign w:val="center"/>
                </w:tcPr>
                <w:p w14:paraId="596CAB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1CFC0F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0.018</w:t>
                  </w:r>
                </w:p>
              </w:tc>
              <w:tc>
                <w:tcPr>
                  <w:tcW w:w="943" w:type="dxa"/>
                  <w:shd w:val="clear" w:color="auto" w:fill="auto"/>
                  <w:vAlign w:val="center"/>
                </w:tcPr>
                <w:p w14:paraId="330B59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6F0716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w:t>
                  </w:r>
                </w:p>
              </w:tc>
            </w:tr>
            <w:tr w14:paraId="3F15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4555D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11" w:type="dxa"/>
                  <w:shd w:val="clear" w:color="auto" w:fill="auto"/>
                  <w:vAlign w:val="center"/>
                </w:tcPr>
                <w:p w14:paraId="708C78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面漆</w:t>
                  </w:r>
                </w:p>
              </w:tc>
              <w:tc>
                <w:tcPr>
                  <w:tcW w:w="1792" w:type="dxa"/>
                  <w:shd w:val="clear" w:color="auto" w:fill="auto"/>
                  <w:vAlign w:val="center"/>
                </w:tcPr>
                <w:p w14:paraId="338F91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二甲苯（27%）</w:t>
                  </w:r>
                </w:p>
              </w:tc>
              <w:tc>
                <w:tcPr>
                  <w:tcW w:w="1530" w:type="dxa"/>
                  <w:shd w:val="clear" w:color="auto" w:fill="auto"/>
                  <w:vAlign w:val="center"/>
                </w:tcPr>
                <w:p w14:paraId="6FF0CB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6D5875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0.0385</w:t>
                  </w:r>
                </w:p>
              </w:tc>
              <w:tc>
                <w:tcPr>
                  <w:tcW w:w="943" w:type="dxa"/>
                  <w:shd w:val="clear" w:color="auto" w:fill="auto"/>
                  <w:vAlign w:val="center"/>
                </w:tcPr>
                <w:p w14:paraId="68F557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834E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0.00385</w:t>
                  </w:r>
                </w:p>
              </w:tc>
            </w:tr>
            <w:tr w14:paraId="34A1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046CF9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11" w:type="dxa"/>
                  <w:shd w:val="clear" w:color="auto" w:fill="auto"/>
                  <w:vAlign w:val="center"/>
                </w:tcPr>
                <w:p w14:paraId="4F83EE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清漆</w:t>
                  </w:r>
                </w:p>
              </w:tc>
              <w:tc>
                <w:tcPr>
                  <w:tcW w:w="1792" w:type="dxa"/>
                  <w:shd w:val="clear" w:color="auto" w:fill="auto"/>
                  <w:vAlign w:val="center"/>
                </w:tcPr>
                <w:p w14:paraId="3D28ED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二甲苯（30%）</w:t>
                  </w:r>
                </w:p>
              </w:tc>
              <w:tc>
                <w:tcPr>
                  <w:tcW w:w="1530" w:type="dxa"/>
                  <w:shd w:val="clear" w:color="auto" w:fill="auto"/>
                  <w:vAlign w:val="center"/>
                </w:tcPr>
                <w:p w14:paraId="63CCB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663C00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0.01118</w:t>
                  </w:r>
                </w:p>
              </w:tc>
              <w:tc>
                <w:tcPr>
                  <w:tcW w:w="943" w:type="dxa"/>
                  <w:shd w:val="clear" w:color="auto" w:fill="auto"/>
                  <w:vAlign w:val="center"/>
                </w:tcPr>
                <w:p w14:paraId="4C0E57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5E5971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0.001118</w:t>
                  </w:r>
                </w:p>
              </w:tc>
            </w:tr>
            <w:tr w14:paraId="772E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786ADA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911" w:type="dxa"/>
                  <w:vMerge w:val="restart"/>
                  <w:shd w:val="clear" w:color="auto" w:fill="auto"/>
                  <w:vAlign w:val="center"/>
                </w:tcPr>
                <w:p w14:paraId="3477FA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稀释剂</w:t>
                  </w:r>
                </w:p>
              </w:tc>
              <w:tc>
                <w:tcPr>
                  <w:tcW w:w="1792" w:type="dxa"/>
                  <w:shd w:val="clear" w:color="auto" w:fill="auto"/>
                  <w:vAlign w:val="center"/>
                </w:tcPr>
                <w:p w14:paraId="703915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二甲苯（70%）</w:t>
                  </w:r>
                </w:p>
              </w:tc>
              <w:tc>
                <w:tcPr>
                  <w:tcW w:w="1530" w:type="dxa"/>
                  <w:shd w:val="clear" w:color="auto" w:fill="auto"/>
                  <w:vAlign w:val="center"/>
                </w:tcPr>
                <w:p w14:paraId="25A83C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59098E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0.077</w:t>
                  </w:r>
                </w:p>
              </w:tc>
              <w:tc>
                <w:tcPr>
                  <w:tcW w:w="943" w:type="dxa"/>
                  <w:shd w:val="clear" w:color="auto" w:fill="auto"/>
                  <w:vAlign w:val="center"/>
                </w:tcPr>
                <w:p w14:paraId="653B34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BC5CC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0.0077</w:t>
                  </w:r>
                </w:p>
              </w:tc>
            </w:tr>
            <w:tr w14:paraId="7F88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vMerge w:val="continue"/>
                  <w:shd w:val="clear" w:color="auto" w:fill="auto"/>
                  <w:vAlign w:val="center"/>
                </w:tcPr>
                <w:p w14:paraId="59857743">
                  <w:pPr>
                    <w:jc w:val="center"/>
                    <w:rPr>
                      <w:rFonts w:hint="default" w:ascii="Times New Roman" w:hAnsi="Times New Roman" w:eastAsia="宋体" w:cs="Times New Roman"/>
                      <w:i w:val="0"/>
                      <w:iCs w:val="0"/>
                      <w:color w:val="auto"/>
                      <w:sz w:val="21"/>
                      <w:szCs w:val="21"/>
                      <w:u w:val="none"/>
                    </w:rPr>
                  </w:pPr>
                </w:p>
              </w:tc>
              <w:tc>
                <w:tcPr>
                  <w:tcW w:w="911" w:type="dxa"/>
                  <w:vMerge w:val="continue"/>
                  <w:shd w:val="clear" w:color="auto" w:fill="auto"/>
                  <w:vAlign w:val="center"/>
                </w:tcPr>
                <w:p w14:paraId="4608BE8D">
                  <w:pPr>
                    <w:jc w:val="center"/>
                    <w:rPr>
                      <w:rFonts w:hint="default" w:ascii="Times New Roman" w:hAnsi="Times New Roman" w:eastAsia="宋体" w:cs="Times New Roman"/>
                      <w:i w:val="0"/>
                      <w:iCs w:val="0"/>
                      <w:color w:val="auto"/>
                      <w:sz w:val="21"/>
                      <w:szCs w:val="21"/>
                      <w:u w:val="none"/>
                    </w:rPr>
                  </w:pPr>
                </w:p>
              </w:tc>
              <w:tc>
                <w:tcPr>
                  <w:tcW w:w="1792" w:type="dxa"/>
                  <w:shd w:val="clear" w:color="auto" w:fill="auto"/>
                  <w:vAlign w:val="center"/>
                </w:tcPr>
                <w:p w14:paraId="07E050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乙二醇单丁醚（30%）</w:t>
                  </w:r>
                </w:p>
              </w:tc>
              <w:tc>
                <w:tcPr>
                  <w:tcW w:w="1530" w:type="dxa"/>
                  <w:shd w:val="clear" w:color="auto" w:fill="auto"/>
                  <w:vAlign w:val="center"/>
                </w:tcPr>
                <w:p w14:paraId="573D08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111-76-2</w:t>
                  </w:r>
                </w:p>
              </w:tc>
              <w:tc>
                <w:tcPr>
                  <w:tcW w:w="1340" w:type="dxa"/>
                  <w:shd w:val="clear" w:color="auto" w:fill="auto"/>
                  <w:vAlign w:val="center"/>
                </w:tcPr>
                <w:p w14:paraId="31F0EE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0.033</w:t>
                  </w:r>
                </w:p>
              </w:tc>
              <w:tc>
                <w:tcPr>
                  <w:tcW w:w="943" w:type="dxa"/>
                  <w:shd w:val="clear" w:color="auto" w:fill="auto"/>
                  <w:vAlign w:val="center"/>
                </w:tcPr>
                <w:p w14:paraId="78B8CB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8015C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0.0033</w:t>
                  </w:r>
                </w:p>
              </w:tc>
            </w:tr>
            <w:tr w14:paraId="3B14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CE372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11" w:type="dxa"/>
                  <w:shd w:val="clear" w:color="auto" w:fill="auto"/>
                  <w:vAlign w:val="center"/>
                </w:tcPr>
                <w:p w14:paraId="18D5B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pH调整剂</w:t>
                  </w:r>
                </w:p>
              </w:tc>
              <w:tc>
                <w:tcPr>
                  <w:tcW w:w="1792" w:type="dxa"/>
                  <w:shd w:val="clear" w:color="auto" w:fill="auto"/>
                  <w:vAlign w:val="center"/>
                </w:tcPr>
                <w:p w14:paraId="6CA1A8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70%硫酸</w:t>
                  </w:r>
                </w:p>
              </w:tc>
              <w:tc>
                <w:tcPr>
                  <w:tcW w:w="1530" w:type="dxa"/>
                  <w:shd w:val="clear" w:color="auto" w:fill="auto"/>
                  <w:vAlign w:val="center"/>
                </w:tcPr>
                <w:p w14:paraId="678BE1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7664-93-9</w:t>
                  </w:r>
                </w:p>
              </w:tc>
              <w:tc>
                <w:tcPr>
                  <w:tcW w:w="1340" w:type="dxa"/>
                  <w:shd w:val="clear" w:color="auto" w:fill="auto"/>
                  <w:vAlign w:val="center"/>
                </w:tcPr>
                <w:p w14:paraId="4293B8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0.14</w:t>
                  </w:r>
                </w:p>
              </w:tc>
              <w:tc>
                <w:tcPr>
                  <w:tcW w:w="943" w:type="dxa"/>
                  <w:shd w:val="clear" w:color="auto" w:fill="auto"/>
                  <w:vAlign w:val="center"/>
                </w:tcPr>
                <w:p w14:paraId="14F0AA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5C5EAA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0.014</w:t>
                  </w:r>
                </w:p>
              </w:tc>
            </w:tr>
            <w:tr w14:paraId="3E8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5510EB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911" w:type="dxa"/>
                  <w:shd w:val="clear" w:color="auto" w:fill="auto"/>
                  <w:vAlign w:val="center"/>
                </w:tcPr>
                <w:p w14:paraId="1247E3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危险废物</w:t>
                  </w:r>
                </w:p>
              </w:tc>
              <w:tc>
                <w:tcPr>
                  <w:tcW w:w="1792" w:type="dxa"/>
                  <w:shd w:val="clear" w:color="auto" w:fill="auto"/>
                  <w:vAlign w:val="center"/>
                </w:tcPr>
                <w:p w14:paraId="0A58DE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1FCC49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vAlign w:val="center"/>
                </w:tcPr>
                <w:p w14:paraId="23B146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943" w:type="dxa"/>
                  <w:shd w:val="clear" w:color="auto" w:fill="auto"/>
                  <w:vAlign w:val="center"/>
                </w:tcPr>
                <w:p w14:paraId="558B00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284" w:type="dxa"/>
                  <w:shd w:val="clear" w:color="auto" w:fill="auto"/>
                  <w:vAlign w:val="center"/>
                </w:tcPr>
                <w:p w14:paraId="178FB7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w:t>
                  </w:r>
                </w:p>
              </w:tc>
            </w:tr>
            <w:tr w14:paraId="3249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FCDD0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911" w:type="dxa"/>
                  <w:shd w:val="clear" w:color="auto" w:fill="auto"/>
                  <w:vAlign w:val="center"/>
                </w:tcPr>
                <w:p w14:paraId="101E5C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机油</w:t>
                  </w:r>
                </w:p>
              </w:tc>
              <w:tc>
                <w:tcPr>
                  <w:tcW w:w="1792" w:type="dxa"/>
                  <w:shd w:val="clear" w:color="auto" w:fill="auto"/>
                  <w:vAlign w:val="center"/>
                </w:tcPr>
                <w:p w14:paraId="24E290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54D48D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noWrap/>
                  <w:vAlign w:val="center"/>
                </w:tcPr>
                <w:p w14:paraId="427814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303A18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2500</w:t>
                  </w:r>
                </w:p>
              </w:tc>
              <w:tc>
                <w:tcPr>
                  <w:tcW w:w="1284" w:type="dxa"/>
                  <w:shd w:val="clear" w:color="auto" w:fill="auto"/>
                  <w:vAlign w:val="center"/>
                </w:tcPr>
                <w:p w14:paraId="11D61A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0.00004</w:t>
                  </w:r>
                </w:p>
              </w:tc>
            </w:tr>
            <w:tr w14:paraId="760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769D94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11" w:type="dxa"/>
                  <w:shd w:val="clear" w:color="auto" w:fill="auto"/>
                  <w:vAlign w:val="center"/>
                </w:tcPr>
                <w:p w14:paraId="20798F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液压油</w:t>
                  </w:r>
                </w:p>
              </w:tc>
              <w:tc>
                <w:tcPr>
                  <w:tcW w:w="1792" w:type="dxa"/>
                  <w:shd w:val="clear" w:color="auto" w:fill="auto"/>
                  <w:vAlign w:val="center"/>
                </w:tcPr>
                <w:p w14:paraId="6D7900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6FB934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vAlign w:val="center"/>
                </w:tcPr>
                <w:p w14:paraId="4FD94A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66CE1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2500</w:t>
                  </w:r>
                </w:p>
              </w:tc>
              <w:tc>
                <w:tcPr>
                  <w:tcW w:w="1284" w:type="dxa"/>
                  <w:shd w:val="clear" w:color="auto" w:fill="auto"/>
                  <w:vAlign w:val="center"/>
                </w:tcPr>
                <w:p w14:paraId="4572CE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0.00004</w:t>
                  </w:r>
                </w:p>
              </w:tc>
            </w:tr>
            <w:tr w14:paraId="19B1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360470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11" w:type="dxa"/>
                  <w:vMerge w:val="restart"/>
                  <w:shd w:val="clear" w:color="auto" w:fill="auto"/>
                  <w:vAlign w:val="center"/>
                </w:tcPr>
                <w:p w14:paraId="4264A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无铬钝化剂</w:t>
                  </w:r>
                </w:p>
              </w:tc>
              <w:tc>
                <w:tcPr>
                  <w:tcW w:w="1792" w:type="dxa"/>
                  <w:shd w:val="clear" w:color="auto" w:fill="auto"/>
                  <w:vAlign w:val="center"/>
                </w:tcPr>
                <w:p w14:paraId="183E5F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氟锆酸（10%）</w:t>
                  </w:r>
                </w:p>
              </w:tc>
              <w:tc>
                <w:tcPr>
                  <w:tcW w:w="1530" w:type="dxa"/>
                  <w:shd w:val="clear" w:color="auto" w:fill="auto"/>
                  <w:vAlign w:val="center"/>
                </w:tcPr>
                <w:p w14:paraId="3B49E6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12021-95-3</w:t>
                  </w:r>
                </w:p>
              </w:tc>
              <w:tc>
                <w:tcPr>
                  <w:tcW w:w="1340" w:type="dxa"/>
                  <w:shd w:val="clear" w:color="auto" w:fill="auto"/>
                  <w:vAlign w:val="center"/>
                </w:tcPr>
                <w:p w14:paraId="5E63A0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2D8CB9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122FAF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4A2C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continue"/>
                  <w:shd w:val="clear" w:color="auto" w:fill="auto"/>
                  <w:vAlign w:val="center"/>
                </w:tcPr>
                <w:p w14:paraId="65D9DC17">
                  <w:pPr>
                    <w:jc w:val="center"/>
                    <w:rPr>
                      <w:rFonts w:hint="default" w:ascii="Times New Roman" w:hAnsi="Times New Roman" w:eastAsia="宋体" w:cs="Times New Roman"/>
                      <w:i w:val="0"/>
                      <w:iCs w:val="0"/>
                      <w:color w:val="auto"/>
                      <w:sz w:val="21"/>
                      <w:szCs w:val="21"/>
                      <w:u w:val="none"/>
                    </w:rPr>
                  </w:pPr>
                </w:p>
              </w:tc>
              <w:tc>
                <w:tcPr>
                  <w:tcW w:w="911" w:type="dxa"/>
                  <w:vMerge w:val="continue"/>
                  <w:shd w:val="clear" w:color="auto" w:fill="auto"/>
                  <w:vAlign w:val="center"/>
                </w:tcPr>
                <w:p w14:paraId="5EC3B944">
                  <w:pPr>
                    <w:jc w:val="center"/>
                    <w:rPr>
                      <w:rFonts w:hint="default" w:ascii="Times New Roman" w:hAnsi="Times New Roman" w:eastAsia="宋体" w:cs="Times New Roman"/>
                      <w:i w:val="0"/>
                      <w:iCs w:val="0"/>
                      <w:color w:val="auto"/>
                      <w:sz w:val="21"/>
                      <w:szCs w:val="21"/>
                      <w:u w:val="none"/>
                    </w:rPr>
                  </w:pPr>
                </w:p>
              </w:tc>
              <w:tc>
                <w:tcPr>
                  <w:tcW w:w="1792" w:type="dxa"/>
                  <w:shd w:val="clear" w:color="auto" w:fill="auto"/>
                  <w:vAlign w:val="center"/>
                </w:tcPr>
                <w:p w14:paraId="1970AA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氟钛酸（10%）</w:t>
                  </w:r>
                </w:p>
              </w:tc>
              <w:tc>
                <w:tcPr>
                  <w:tcW w:w="1530" w:type="dxa"/>
                  <w:shd w:val="clear" w:color="auto" w:fill="auto"/>
                  <w:vAlign w:val="center"/>
                </w:tcPr>
                <w:p w14:paraId="5B8369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17439-11-1</w:t>
                  </w:r>
                </w:p>
              </w:tc>
              <w:tc>
                <w:tcPr>
                  <w:tcW w:w="1340" w:type="dxa"/>
                  <w:shd w:val="clear" w:color="auto" w:fill="auto"/>
                  <w:vAlign w:val="center"/>
                </w:tcPr>
                <w:p w14:paraId="350DE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7B7B11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1C0166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3541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5D37A7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911" w:type="dxa"/>
                  <w:shd w:val="clear" w:color="auto" w:fill="auto"/>
                  <w:vAlign w:val="center"/>
                </w:tcPr>
                <w:p w14:paraId="1F96F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除油</w:t>
                  </w:r>
                  <w:r>
                    <w:rPr>
                      <w:rFonts w:hint="default" w:ascii="Times New Roman" w:hAnsi="Times New Roman" w:eastAsia="宋体" w:cs="Times New Roman"/>
                      <w:i w:val="0"/>
                      <w:iCs w:val="0"/>
                      <w:color w:val="auto"/>
                      <w:kern w:val="0"/>
                      <w:sz w:val="21"/>
                      <w:szCs w:val="21"/>
                      <w:u w:val="none"/>
                      <w:lang w:val="en-US" w:eastAsia="zh-CN" w:bidi="ar"/>
                    </w:rPr>
                    <w:t>剂</w:t>
                  </w:r>
                </w:p>
              </w:tc>
              <w:tc>
                <w:tcPr>
                  <w:tcW w:w="1792" w:type="dxa"/>
                  <w:shd w:val="clear" w:color="auto" w:fill="auto"/>
                  <w:vAlign w:val="center"/>
                </w:tcPr>
                <w:p w14:paraId="4DCBC0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表面活性剂（5%）</w:t>
                  </w:r>
                </w:p>
              </w:tc>
              <w:tc>
                <w:tcPr>
                  <w:tcW w:w="1530" w:type="dxa"/>
                  <w:shd w:val="clear" w:color="auto" w:fill="auto"/>
                  <w:vAlign w:val="center"/>
                </w:tcPr>
                <w:p w14:paraId="7ED618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68084-34-4</w:t>
                  </w:r>
                </w:p>
              </w:tc>
              <w:tc>
                <w:tcPr>
                  <w:tcW w:w="1340" w:type="dxa"/>
                  <w:shd w:val="clear" w:color="auto" w:fill="auto"/>
                  <w:vAlign w:val="center"/>
                </w:tcPr>
                <w:p w14:paraId="3A2130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943" w:type="dxa"/>
                  <w:shd w:val="clear" w:color="auto" w:fill="auto"/>
                  <w:vAlign w:val="center"/>
                </w:tcPr>
                <w:p w14:paraId="7889FE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6B1728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w:t>
                  </w:r>
                </w:p>
              </w:tc>
            </w:tr>
            <w:tr w14:paraId="54C1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ADBDE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12</w:t>
                  </w:r>
                </w:p>
              </w:tc>
              <w:tc>
                <w:tcPr>
                  <w:tcW w:w="911" w:type="dxa"/>
                  <w:vMerge w:val="restart"/>
                  <w:shd w:val="clear" w:color="auto" w:fill="auto"/>
                  <w:vAlign w:val="center"/>
                </w:tcPr>
                <w:p w14:paraId="127382E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清洗剂</w:t>
                  </w:r>
                </w:p>
              </w:tc>
              <w:tc>
                <w:tcPr>
                  <w:tcW w:w="1792" w:type="dxa"/>
                  <w:shd w:val="clear" w:color="auto" w:fill="auto"/>
                  <w:vAlign w:val="center"/>
                </w:tcPr>
                <w:p w14:paraId="26CF1D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乙酸乙酯</w:t>
                  </w:r>
                </w:p>
              </w:tc>
              <w:tc>
                <w:tcPr>
                  <w:tcW w:w="1530" w:type="dxa"/>
                  <w:shd w:val="clear" w:color="auto" w:fill="auto"/>
                  <w:vAlign w:val="center"/>
                </w:tcPr>
                <w:p w14:paraId="145184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141</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78</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6</w:t>
                  </w:r>
                </w:p>
              </w:tc>
              <w:tc>
                <w:tcPr>
                  <w:tcW w:w="1340" w:type="dxa"/>
                  <w:shd w:val="clear" w:color="auto" w:fill="auto"/>
                  <w:vAlign w:val="center"/>
                </w:tcPr>
                <w:p w14:paraId="672482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943" w:type="dxa"/>
                  <w:shd w:val="clear" w:color="auto" w:fill="auto"/>
                  <w:vAlign w:val="center"/>
                </w:tcPr>
                <w:p w14:paraId="5D7F0A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1284" w:type="dxa"/>
                  <w:shd w:val="clear" w:color="auto" w:fill="auto"/>
                  <w:vAlign w:val="center"/>
                </w:tcPr>
                <w:p w14:paraId="1FCC0B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0.00005</w:t>
                  </w:r>
                </w:p>
              </w:tc>
            </w:tr>
            <w:tr w14:paraId="2127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BEE6A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13</w:t>
                  </w:r>
                </w:p>
              </w:tc>
              <w:tc>
                <w:tcPr>
                  <w:tcW w:w="911" w:type="dxa"/>
                  <w:vMerge w:val="continue"/>
                  <w:shd w:val="clear" w:color="auto" w:fill="auto"/>
                  <w:vAlign w:val="center"/>
                </w:tcPr>
                <w:p w14:paraId="2338322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p>
              </w:tc>
              <w:tc>
                <w:tcPr>
                  <w:tcW w:w="1792" w:type="dxa"/>
                  <w:shd w:val="clear" w:color="auto" w:fill="auto"/>
                  <w:vAlign w:val="center"/>
                </w:tcPr>
                <w:p w14:paraId="7773B4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乙酸正乙酯</w:t>
                  </w:r>
                </w:p>
              </w:tc>
              <w:tc>
                <w:tcPr>
                  <w:tcW w:w="1530" w:type="dxa"/>
                  <w:shd w:val="clear" w:color="auto" w:fill="auto"/>
                  <w:vAlign w:val="center"/>
                </w:tcPr>
                <w:p w14:paraId="38D7EE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123</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86</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4</w:t>
                  </w:r>
                </w:p>
              </w:tc>
              <w:tc>
                <w:tcPr>
                  <w:tcW w:w="1340" w:type="dxa"/>
                  <w:shd w:val="clear" w:color="auto" w:fill="auto"/>
                  <w:vAlign w:val="center"/>
                </w:tcPr>
                <w:p w14:paraId="47DB23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943" w:type="dxa"/>
                  <w:shd w:val="clear" w:color="auto" w:fill="auto"/>
                  <w:vAlign w:val="center"/>
                </w:tcPr>
                <w:p w14:paraId="25D36B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1284" w:type="dxa"/>
                  <w:shd w:val="clear" w:color="auto" w:fill="auto"/>
                  <w:vAlign w:val="center"/>
                </w:tcPr>
                <w:p w14:paraId="1743A8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0.00005</w:t>
                  </w:r>
                </w:p>
              </w:tc>
            </w:tr>
            <w:tr w14:paraId="33C8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142" w:type="dxa"/>
                  <w:gridSpan w:val="6"/>
                  <w:shd w:val="clear" w:color="auto" w:fill="auto"/>
                  <w:vAlign w:val="center"/>
                </w:tcPr>
                <w:p w14:paraId="550533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项目Q值</w:t>
                  </w:r>
                </w:p>
              </w:tc>
              <w:tc>
                <w:tcPr>
                  <w:tcW w:w="1284" w:type="dxa"/>
                  <w:shd w:val="clear" w:color="auto" w:fill="auto"/>
                  <w:vAlign w:val="center"/>
                </w:tcPr>
                <w:p w14:paraId="06C979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0.9</w:t>
                  </w:r>
                  <w:r>
                    <w:rPr>
                      <w:rFonts w:hint="default" w:ascii="Times New Roman" w:hAnsi="Times New Roman" w:cs="Times New Roman"/>
                      <w:i w:val="0"/>
                      <w:iCs w:val="0"/>
                      <w:color w:val="auto"/>
                      <w:kern w:val="0"/>
                      <w:sz w:val="21"/>
                      <w:szCs w:val="21"/>
                      <w:u w:val="none"/>
                      <w:lang w:val="en-US" w:eastAsia="zh-CN" w:bidi="ar"/>
                    </w:rPr>
                    <w:t>38</w:t>
                  </w:r>
                </w:p>
              </w:tc>
            </w:tr>
            <w:tr w14:paraId="6CDD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426" w:type="dxa"/>
                  <w:gridSpan w:val="7"/>
                  <w:shd w:val="clear" w:color="auto" w:fill="auto"/>
                  <w:vAlign w:val="center"/>
                </w:tcPr>
                <w:p w14:paraId="65558B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注：底漆（最大贮存量0.18t）、稀释剂（最大贮存量0.11t）、面漆（最大贮存量0.35t）、清漆（最大贮存量0.13t）原料中对应风险组份的最大储存量按其对应原料最大储存量折算得出；危险废物（最大贮存量以贮存能力计）临界量参考《建设项目环境风险评价技术导则》（HJ-2018）表b.2的健康危险急性毒性物质（类别2、类别3）进行计算；无铬钝化剂、</w:t>
                  </w:r>
                  <w:r>
                    <w:rPr>
                      <w:rFonts w:hint="default" w:ascii="Times New Roman" w:hAnsi="Times New Roman" w:cs="Times New Roman"/>
                      <w:i w:val="0"/>
                      <w:iCs w:val="0"/>
                      <w:color w:val="auto"/>
                      <w:kern w:val="0"/>
                      <w:sz w:val="21"/>
                      <w:szCs w:val="21"/>
                      <w:u w:val="none"/>
                      <w:lang w:val="en-US" w:eastAsia="zh-CN" w:bidi="ar"/>
                    </w:rPr>
                    <w:t>除油</w:t>
                  </w:r>
                  <w:r>
                    <w:rPr>
                      <w:rFonts w:hint="default" w:ascii="Times New Roman" w:hAnsi="Times New Roman" w:eastAsia="宋体" w:cs="Times New Roman"/>
                      <w:i w:val="0"/>
                      <w:iCs w:val="0"/>
                      <w:color w:val="auto"/>
                      <w:kern w:val="0"/>
                      <w:sz w:val="21"/>
                      <w:szCs w:val="21"/>
                      <w:u w:val="none"/>
                      <w:lang w:val="en-US" w:eastAsia="zh-CN" w:bidi="ar"/>
                    </w:rPr>
                    <w:t>剂参考表b.2危害水环境物质（类别3）进行计算；机油、液压油属于矿物质油，其临界量参考《建设项目环境风险评价技术导则》（HJ-2018）油类物质（矿物油类，如石油、汽油、柴油等；生物柴油等）的临界量；厂区内不设天然气储存装置，故本项目按管道中的天然气量计算最大储存量，厂区内天然气管道总长度约</w:t>
                  </w:r>
                  <w:r>
                    <w:rPr>
                      <w:rFonts w:hint="default" w:ascii="Times New Roman" w:hAnsi="Times New Roman" w:cs="Times New Roman"/>
                      <w:i w:val="0"/>
                      <w:iCs w:val="0"/>
                      <w:color w:val="auto"/>
                      <w:kern w:val="0"/>
                      <w:sz w:val="21"/>
                      <w:szCs w:val="21"/>
                      <w:u w:val="none"/>
                      <w:lang w:val="en-US" w:eastAsia="zh-CN" w:bidi="ar"/>
                    </w:rPr>
                    <w:t>360</w:t>
                  </w:r>
                  <w:r>
                    <w:rPr>
                      <w:rFonts w:hint="default" w:ascii="Times New Roman" w:hAnsi="Times New Roman" w:eastAsia="宋体" w:cs="Times New Roman"/>
                      <w:i w:val="0"/>
                      <w:iCs w:val="0"/>
                      <w:color w:val="auto"/>
                      <w:kern w:val="0"/>
                      <w:sz w:val="21"/>
                      <w:szCs w:val="21"/>
                      <w:u w:val="none"/>
                      <w:lang w:val="en-US" w:eastAsia="zh-CN" w:bidi="ar"/>
                    </w:rPr>
                    <w:t>m，管径40mm，密度0.7174kg/m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。则本项目厂区内最大储存量=天然气管道截面积×厂区内长度×密度，约为0.000</w:t>
                  </w:r>
                  <w:r>
                    <w:rPr>
                      <w:rFonts w:hint="default" w:ascii="Times New Roman" w:hAnsi="Times New Roman" w:cs="Times New Roman"/>
                      <w:i w:val="0"/>
                      <w:iCs w:val="0"/>
                      <w:color w:val="auto"/>
                      <w:kern w:val="0"/>
                      <w:sz w:val="21"/>
                      <w:szCs w:val="21"/>
                      <w:u w:val="none"/>
                      <w:lang w:val="en-US" w:eastAsia="zh-CN" w:bidi="ar"/>
                    </w:rPr>
                    <w:t>32t</w:t>
                  </w:r>
                  <w:r>
                    <w:rPr>
                      <w:rFonts w:hint="default" w:ascii="Times New Roman" w:hAnsi="Times New Roman" w:eastAsia="宋体" w:cs="Times New Roman"/>
                      <w:i w:val="0"/>
                      <w:iCs w:val="0"/>
                      <w:color w:val="auto"/>
                      <w:kern w:val="0"/>
                      <w:sz w:val="21"/>
                      <w:szCs w:val="21"/>
                      <w:u w:val="none"/>
                      <w:lang w:val="en-US" w:eastAsia="zh-CN" w:bidi="ar"/>
                    </w:rPr>
                    <w:t>/a。</w:t>
                  </w:r>
                </w:p>
              </w:tc>
            </w:tr>
          </w:tbl>
          <w:p w14:paraId="3ED8DB9D">
            <w:pPr>
              <w:keepNext w:val="0"/>
              <w:keepLines w:val="0"/>
              <w:pageBreakBefore w:val="0"/>
              <w:widowControl w:val="0"/>
              <w:kinsoku/>
              <w:wordWrap/>
              <w:overflowPunct/>
              <w:topLinePunct w:val="0"/>
              <w:autoSpaceDE/>
              <w:autoSpaceDN/>
              <w:bidi w:val="0"/>
              <w:adjustRightInd/>
              <w:snapToGrid/>
              <w:spacing w:line="120" w:lineRule="exact"/>
              <w:textAlignment w:val="auto"/>
              <w:rPr>
                <w:rFonts w:hint="default" w:ascii="Times New Roman" w:hAnsi="Times New Roman" w:cs="Times New Roman"/>
                <w:color w:val="auto"/>
                <w:highlight w:val="none"/>
              </w:rPr>
            </w:pPr>
          </w:p>
          <w:p w14:paraId="1C928166">
            <w:pPr>
              <w:pStyle w:val="43"/>
              <w:spacing w:after="0"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套入公式所得结果为（Q）=∑q</w:t>
            </w:r>
            <w:r>
              <w:rPr>
                <w:rFonts w:hint="default" w:ascii="Times New Roman" w:hAnsi="Times New Roman" w:eastAsia="宋体" w:cs="Times New Roman"/>
                <w:color w:val="auto"/>
                <w:sz w:val="24"/>
                <w:szCs w:val="24"/>
                <w:highlight w:val="none"/>
                <w:lang w:val="en-US" w:eastAsia="zh-CN"/>
              </w:rPr>
              <w:t>n</w:t>
            </w: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val="en-US" w:eastAsia="zh-CN"/>
              </w:rPr>
              <w:t>n</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b w:val="0"/>
                <w:bCs/>
                <w:color w:val="auto"/>
                <w:sz w:val="24"/>
                <w:szCs w:val="24"/>
                <w:highlight w:val="none"/>
                <w:lang w:val="en-US" w:eastAsia="zh-CN"/>
              </w:rPr>
              <w:t>0.</w:t>
            </w:r>
            <w:r>
              <w:rPr>
                <w:rFonts w:hint="eastAsia" w:cs="Times New Roman"/>
                <w:b w:val="0"/>
                <w:bCs/>
                <w:color w:val="auto"/>
                <w:sz w:val="24"/>
                <w:szCs w:val="24"/>
                <w:highlight w:val="none"/>
                <w:lang w:val="en-US" w:eastAsia="zh-CN"/>
              </w:rPr>
              <w:t>937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Q</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p>
          <w:p w14:paraId="712CBF0B">
            <w:pPr>
              <w:pStyle w:val="43"/>
              <w:spacing w:after="0" w:line="360" w:lineRule="auto"/>
              <w:ind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7.2</w:t>
            </w:r>
            <w:r>
              <w:rPr>
                <w:rFonts w:hint="default" w:ascii="Times New Roman" w:hAnsi="Times New Roman" w:eastAsia="宋体" w:cs="Times New Roman"/>
                <w:b/>
                <w:bCs/>
                <w:color w:val="auto"/>
                <w:sz w:val="24"/>
                <w:szCs w:val="24"/>
                <w:highlight w:val="none"/>
              </w:rPr>
              <w:t>风险源分布情况及可能影响途径</w:t>
            </w:r>
          </w:p>
          <w:p w14:paraId="01A2DAA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cs="Times New Roman"/>
                <w:b/>
                <w:bCs/>
                <w:color w:val="auto"/>
                <w:kern w:val="2"/>
                <w:sz w:val="21"/>
                <w:szCs w:val="21"/>
                <w:lang w:val="en-US" w:eastAsia="zh-CN" w:bidi="ar-SA"/>
              </w:rPr>
              <w:t>1</w:t>
            </w:r>
            <w:r>
              <w:rPr>
                <w:rFonts w:hint="default" w:ascii="Times New Roman" w:hAnsi="Times New Roman" w:eastAsia="宋体" w:cs="Times New Roman"/>
                <w:b/>
                <w:bCs/>
                <w:color w:val="auto"/>
                <w:sz w:val="21"/>
                <w:szCs w:val="21"/>
                <w:highlight w:val="none"/>
                <w:lang w:val="en-US" w:eastAsia="zh-CN"/>
              </w:rPr>
              <w:t>危险单元风险类型识别</w:t>
            </w:r>
          </w:p>
          <w:tbl>
            <w:tblPr>
              <w:tblStyle w:val="132"/>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4"/>
              <w:gridCol w:w="1021"/>
              <w:gridCol w:w="1064"/>
              <w:gridCol w:w="1965"/>
              <w:gridCol w:w="1551"/>
              <w:gridCol w:w="1842"/>
            </w:tblGrid>
            <w:tr w14:paraId="0013D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l2br w:val="nil"/>
                    <w:tr2bl w:val="nil"/>
                  </w:tcBorders>
                  <w:noWrap w:val="0"/>
                  <w:vAlign w:val="center"/>
                </w:tcPr>
                <w:p w14:paraId="3CB6383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val="en-US" w:eastAsia="zh-CN" w:bidi="ar"/>
                    </w:rPr>
                    <w:t>风险</w:t>
                  </w:r>
                  <w:r>
                    <w:rPr>
                      <w:rFonts w:hint="default" w:ascii="Times New Roman" w:hAnsi="Times New Roman" w:eastAsia="宋体" w:cs="Times New Roman"/>
                      <w:b/>
                      <w:bCs/>
                      <w:color w:val="auto"/>
                      <w:kern w:val="0"/>
                      <w:sz w:val="21"/>
                      <w:szCs w:val="21"/>
                      <w:highlight w:val="none"/>
                      <w:lang w:bidi="ar"/>
                    </w:rPr>
                    <w:t>单元</w:t>
                  </w:r>
                </w:p>
              </w:tc>
              <w:tc>
                <w:tcPr>
                  <w:tcW w:w="614" w:type="pct"/>
                  <w:tcBorders>
                    <w:tl2br w:val="nil"/>
                    <w:tr2bl w:val="nil"/>
                  </w:tcBorders>
                  <w:noWrap w:val="0"/>
                  <w:vAlign w:val="center"/>
                </w:tcPr>
                <w:p w14:paraId="77938C34">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风险源</w:t>
                  </w:r>
                </w:p>
              </w:tc>
              <w:tc>
                <w:tcPr>
                  <w:tcW w:w="640" w:type="pct"/>
                  <w:tcBorders>
                    <w:tl2br w:val="nil"/>
                    <w:tr2bl w:val="nil"/>
                  </w:tcBorders>
                  <w:noWrap w:val="0"/>
                  <w:vAlign w:val="center"/>
                </w:tcPr>
                <w:p w14:paraId="22D6311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val="en-US" w:eastAsia="zh-CN" w:bidi="ar"/>
                    </w:rPr>
                    <w:t>风险</w:t>
                  </w:r>
                  <w:r>
                    <w:rPr>
                      <w:rFonts w:hint="default" w:ascii="Times New Roman" w:hAnsi="Times New Roman" w:eastAsia="宋体" w:cs="Times New Roman"/>
                      <w:b/>
                      <w:bCs/>
                      <w:color w:val="auto"/>
                      <w:kern w:val="0"/>
                      <w:sz w:val="21"/>
                      <w:szCs w:val="21"/>
                      <w:highlight w:val="none"/>
                      <w:lang w:bidi="ar"/>
                    </w:rPr>
                    <w:t>物质</w:t>
                  </w:r>
                </w:p>
              </w:tc>
              <w:tc>
                <w:tcPr>
                  <w:tcW w:w="1182" w:type="pct"/>
                  <w:tcBorders>
                    <w:tl2br w:val="nil"/>
                    <w:tr2bl w:val="nil"/>
                  </w:tcBorders>
                  <w:noWrap w:val="0"/>
                  <w:vAlign w:val="center"/>
                </w:tcPr>
                <w:p w14:paraId="12E50592">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环境风险类型</w:t>
                  </w:r>
                </w:p>
              </w:tc>
              <w:tc>
                <w:tcPr>
                  <w:tcW w:w="933" w:type="pct"/>
                  <w:tcBorders>
                    <w:tl2br w:val="nil"/>
                    <w:tr2bl w:val="nil"/>
                  </w:tcBorders>
                  <w:noWrap w:val="0"/>
                  <w:vAlign w:val="center"/>
                </w:tcPr>
                <w:p w14:paraId="00532FB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环境影响途径</w:t>
                  </w:r>
                </w:p>
              </w:tc>
              <w:tc>
                <w:tcPr>
                  <w:tcW w:w="1108" w:type="pct"/>
                  <w:tcBorders>
                    <w:tl2br w:val="nil"/>
                    <w:tr2bl w:val="nil"/>
                  </w:tcBorders>
                  <w:noWrap w:val="0"/>
                  <w:vAlign w:val="center"/>
                </w:tcPr>
                <w:p w14:paraId="03079E47">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可能受影响的环境敏感目标</w:t>
                  </w:r>
                </w:p>
              </w:tc>
            </w:tr>
            <w:tr w14:paraId="240D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bottom w:val="single" w:color="auto" w:sz="4" w:space="0"/>
                    <w:tl2br w:val="nil"/>
                    <w:tr2bl w:val="nil"/>
                  </w:tcBorders>
                  <w:noWrap w:val="0"/>
                  <w:vAlign w:val="center"/>
                </w:tcPr>
                <w:p w14:paraId="7627CFF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生产装置</w:t>
                  </w:r>
                </w:p>
              </w:tc>
              <w:tc>
                <w:tcPr>
                  <w:tcW w:w="614" w:type="pct"/>
                  <w:tcBorders>
                    <w:bottom w:val="single" w:color="auto" w:sz="4" w:space="0"/>
                    <w:tl2br w:val="nil"/>
                    <w:tr2bl w:val="nil"/>
                  </w:tcBorders>
                  <w:noWrap w:val="0"/>
                  <w:vAlign w:val="center"/>
                </w:tcPr>
                <w:p w14:paraId="5CEFB25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工件表面预处理</w:t>
                  </w:r>
                  <w:r>
                    <w:rPr>
                      <w:rFonts w:hint="default" w:ascii="Times New Roman" w:hAnsi="Times New Roman" w:eastAsia="宋体" w:cs="Times New Roman"/>
                      <w:color w:val="auto"/>
                      <w:kern w:val="0"/>
                      <w:sz w:val="21"/>
                      <w:szCs w:val="21"/>
                      <w:highlight w:val="none"/>
                      <w:lang w:val="en-US" w:eastAsia="zh-CN" w:bidi="ar"/>
                    </w:rPr>
                    <w:t>生产线</w:t>
                  </w:r>
                </w:p>
              </w:tc>
              <w:tc>
                <w:tcPr>
                  <w:tcW w:w="640" w:type="pct"/>
                  <w:tcBorders>
                    <w:tl2br w:val="nil"/>
                    <w:tr2bl w:val="nil"/>
                  </w:tcBorders>
                  <w:noWrap w:val="0"/>
                  <w:vAlign w:val="center"/>
                </w:tcPr>
                <w:p w14:paraId="753831C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表面处理废水</w:t>
                  </w:r>
                </w:p>
              </w:tc>
              <w:tc>
                <w:tcPr>
                  <w:tcW w:w="1182" w:type="pct"/>
                  <w:tcBorders>
                    <w:tl2br w:val="nil"/>
                    <w:tr2bl w:val="nil"/>
                  </w:tcBorders>
                  <w:noWrap w:val="0"/>
                  <w:vAlign w:val="center"/>
                </w:tcPr>
                <w:p w14:paraId="3CDB99A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531EFF9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7A4790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1EF13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bottom w:val="single" w:color="auto" w:sz="4" w:space="0"/>
                    <w:tl2br w:val="nil"/>
                    <w:tr2bl w:val="nil"/>
                  </w:tcBorders>
                  <w:noWrap w:val="0"/>
                  <w:vAlign w:val="center"/>
                </w:tcPr>
                <w:p w14:paraId="232E6C8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辅助生产设施</w:t>
                  </w:r>
                </w:p>
              </w:tc>
              <w:tc>
                <w:tcPr>
                  <w:tcW w:w="614" w:type="pct"/>
                  <w:tcBorders>
                    <w:top w:val="single" w:color="auto" w:sz="4" w:space="0"/>
                    <w:bottom w:val="single" w:color="auto" w:sz="4" w:space="0"/>
                    <w:tl2br w:val="nil"/>
                    <w:tr2bl w:val="nil"/>
                  </w:tcBorders>
                  <w:noWrap w:val="0"/>
                  <w:vAlign w:val="center"/>
                </w:tcPr>
                <w:p w14:paraId="2F8FCBC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天然气管道</w:t>
                  </w:r>
                </w:p>
              </w:tc>
              <w:tc>
                <w:tcPr>
                  <w:tcW w:w="640" w:type="pct"/>
                  <w:tcBorders>
                    <w:tl2br w:val="nil"/>
                    <w:tr2bl w:val="nil"/>
                  </w:tcBorders>
                  <w:noWrap w:val="0"/>
                  <w:vAlign w:val="center"/>
                </w:tcPr>
                <w:p w14:paraId="1E8082F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甲烷</w:t>
                  </w:r>
                </w:p>
              </w:tc>
              <w:tc>
                <w:tcPr>
                  <w:tcW w:w="1182" w:type="pct"/>
                  <w:tcBorders>
                    <w:tl2br w:val="nil"/>
                    <w:tr2bl w:val="nil"/>
                  </w:tcBorders>
                  <w:noWrap w:val="0"/>
                  <w:vAlign w:val="center"/>
                </w:tcPr>
                <w:p w14:paraId="4BC5A00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泄漏、火灾引发的伴生/次生污染</w:t>
                  </w:r>
                </w:p>
              </w:tc>
              <w:tc>
                <w:tcPr>
                  <w:tcW w:w="933" w:type="pct"/>
                  <w:tcBorders>
                    <w:tl2br w:val="nil"/>
                    <w:tr2bl w:val="nil"/>
                  </w:tcBorders>
                  <w:noWrap w:val="0"/>
                  <w:vAlign w:val="center"/>
                </w:tcPr>
                <w:p w14:paraId="30ADC22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大气扩散</w:t>
                  </w:r>
                </w:p>
              </w:tc>
              <w:tc>
                <w:tcPr>
                  <w:tcW w:w="1108" w:type="pct"/>
                  <w:tcBorders>
                    <w:tl2br w:val="nil"/>
                    <w:tr2bl w:val="nil"/>
                  </w:tcBorders>
                  <w:noWrap w:val="0"/>
                  <w:vAlign w:val="center"/>
                </w:tcPr>
                <w:p w14:paraId="382606D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大气环境</w:t>
                  </w:r>
                </w:p>
              </w:tc>
            </w:tr>
            <w:tr w14:paraId="67D0D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tl2br w:val="nil"/>
                    <w:tr2bl w:val="nil"/>
                  </w:tcBorders>
                  <w:noWrap w:val="0"/>
                  <w:vAlign w:val="center"/>
                </w:tcPr>
                <w:p w14:paraId="035B98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储运设施</w:t>
                  </w:r>
                </w:p>
              </w:tc>
              <w:tc>
                <w:tcPr>
                  <w:tcW w:w="614" w:type="pct"/>
                  <w:tcBorders>
                    <w:top w:val="single" w:color="auto" w:sz="4" w:space="0"/>
                    <w:tl2br w:val="nil"/>
                    <w:tr2bl w:val="nil"/>
                  </w:tcBorders>
                  <w:noWrap w:val="0"/>
                  <w:vAlign w:val="center"/>
                </w:tcPr>
                <w:p w14:paraId="20A5237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化学品仓库</w:t>
                  </w:r>
                </w:p>
              </w:tc>
              <w:tc>
                <w:tcPr>
                  <w:tcW w:w="640" w:type="pct"/>
                  <w:tcBorders>
                    <w:tl2br w:val="nil"/>
                    <w:tr2bl w:val="nil"/>
                  </w:tcBorders>
                  <w:noWrap w:val="0"/>
                  <w:vAlign w:val="center"/>
                </w:tcPr>
                <w:p w14:paraId="4CEF8C2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pH调整剂、无铬钝化剂、机油、润滑油</w:t>
                  </w:r>
                  <w:r>
                    <w:rPr>
                      <w:rFonts w:hint="eastAsia" w:cs="Times New Roman"/>
                      <w:color w:val="auto"/>
                      <w:kern w:val="0"/>
                      <w:sz w:val="21"/>
                      <w:szCs w:val="21"/>
                      <w:highlight w:val="none"/>
                      <w:lang w:val="en-US" w:eastAsia="zh-CN" w:bidi="ar"/>
                    </w:rPr>
                    <w:t>、油漆、稀释剂、清洗剂等</w:t>
                  </w:r>
                </w:p>
              </w:tc>
              <w:tc>
                <w:tcPr>
                  <w:tcW w:w="1182" w:type="pct"/>
                  <w:tcBorders>
                    <w:tl2br w:val="nil"/>
                    <w:tr2bl w:val="nil"/>
                  </w:tcBorders>
                  <w:noWrap w:val="0"/>
                  <w:vAlign w:val="center"/>
                </w:tcPr>
                <w:p w14:paraId="5342457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泄漏</w:t>
                  </w:r>
                </w:p>
              </w:tc>
              <w:tc>
                <w:tcPr>
                  <w:tcW w:w="933" w:type="pct"/>
                  <w:tcBorders>
                    <w:tl2br w:val="nil"/>
                    <w:tr2bl w:val="nil"/>
                  </w:tcBorders>
                  <w:noWrap w:val="0"/>
                  <w:vAlign w:val="center"/>
                </w:tcPr>
                <w:p w14:paraId="5B0D517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r>
                    <w:rPr>
                      <w:rFonts w:hint="default" w:ascii="Times New Roman" w:hAnsi="Times New Roman" w:eastAsia="宋体" w:cs="Times New Roman"/>
                      <w:color w:val="auto"/>
                      <w:kern w:val="0"/>
                      <w:sz w:val="21"/>
                      <w:szCs w:val="21"/>
                      <w:highlight w:val="none"/>
                      <w:lang w:eastAsia="zh-CN" w:bidi="ar"/>
                    </w:rPr>
                    <w:t>、</w:t>
                  </w:r>
                </w:p>
              </w:tc>
              <w:tc>
                <w:tcPr>
                  <w:tcW w:w="1108" w:type="pct"/>
                  <w:tcBorders>
                    <w:tl2br w:val="nil"/>
                    <w:tr2bl w:val="nil"/>
                  </w:tcBorders>
                  <w:noWrap w:val="0"/>
                  <w:vAlign w:val="center"/>
                </w:tcPr>
                <w:p w14:paraId="5AA744E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598D4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6C1F6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color w:val="auto"/>
                      <w:kern w:val="0"/>
                      <w:sz w:val="21"/>
                      <w:szCs w:val="21"/>
                      <w:highlight w:val="none"/>
                      <w:lang w:val="en-US" w:eastAsia="zh-CN" w:bidi="ar"/>
                    </w:rPr>
                    <w:t>储运设施</w:t>
                  </w:r>
                </w:p>
              </w:tc>
              <w:tc>
                <w:tcPr>
                  <w:tcW w:w="614" w:type="pct"/>
                  <w:vMerge w:val="restart"/>
                  <w:tcBorders>
                    <w:tl2br w:val="nil"/>
                    <w:tr2bl w:val="nil"/>
                  </w:tcBorders>
                  <w:noWrap w:val="0"/>
                  <w:vAlign w:val="center"/>
                </w:tcPr>
                <w:p w14:paraId="0C4B879C">
                  <w:pPr>
                    <w:widowControl/>
                    <w:spacing w:line="240" w:lineRule="auto"/>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eastAsia="zh-CN" w:bidi="ar"/>
                    </w:rPr>
                    <w:t>危险废物贮存间</w:t>
                  </w:r>
                </w:p>
              </w:tc>
              <w:tc>
                <w:tcPr>
                  <w:tcW w:w="640" w:type="pct"/>
                  <w:tcBorders>
                    <w:tl2br w:val="nil"/>
                    <w:tr2bl w:val="nil"/>
                  </w:tcBorders>
                  <w:noWrap w:val="0"/>
                  <w:vAlign w:val="center"/>
                </w:tcPr>
                <w:p w14:paraId="3D2A445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废机油</w:t>
                  </w:r>
                </w:p>
              </w:tc>
              <w:tc>
                <w:tcPr>
                  <w:tcW w:w="1182" w:type="pct"/>
                  <w:tcBorders>
                    <w:tl2br w:val="nil"/>
                    <w:tr2bl w:val="nil"/>
                  </w:tcBorders>
                  <w:noWrap w:val="0"/>
                  <w:vAlign w:val="center"/>
                </w:tcPr>
                <w:p w14:paraId="5D10810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6D6EB9A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14DBB14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64DDF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44A61FE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vMerge w:val="continue"/>
                  <w:tcBorders>
                    <w:tl2br w:val="nil"/>
                    <w:tr2bl w:val="nil"/>
                  </w:tcBorders>
                  <w:noWrap w:val="0"/>
                  <w:vAlign w:val="center"/>
                </w:tcPr>
                <w:p w14:paraId="16122C2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40" w:type="pct"/>
                  <w:tcBorders>
                    <w:tl2br w:val="nil"/>
                    <w:tr2bl w:val="nil"/>
                  </w:tcBorders>
                  <w:noWrap w:val="0"/>
                  <w:vAlign w:val="center"/>
                </w:tcPr>
                <w:p w14:paraId="3B8A185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废润滑油</w:t>
                  </w:r>
                </w:p>
              </w:tc>
              <w:tc>
                <w:tcPr>
                  <w:tcW w:w="1182" w:type="pct"/>
                  <w:tcBorders>
                    <w:tl2br w:val="nil"/>
                    <w:tr2bl w:val="nil"/>
                  </w:tcBorders>
                  <w:noWrap w:val="0"/>
                  <w:vAlign w:val="center"/>
                </w:tcPr>
                <w:p w14:paraId="0453ACC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761A05F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533ED13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5827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6F125F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vMerge w:val="continue"/>
                  <w:tcBorders>
                    <w:tl2br w:val="nil"/>
                    <w:tr2bl w:val="nil"/>
                  </w:tcBorders>
                  <w:noWrap w:val="0"/>
                  <w:vAlign w:val="center"/>
                </w:tcPr>
                <w:p w14:paraId="6A740D2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40" w:type="pct"/>
                  <w:tcBorders>
                    <w:tl2br w:val="nil"/>
                    <w:tr2bl w:val="nil"/>
                  </w:tcBorders>
                  <w:noWrap w:val="0"/>
                  <w:vAlign w:val="center"/>
                </w:tcPr>
                <w:p w14:paraId="088976E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无铬钝化池废槽液</w:t>
                  </w:r>
                  <w:r>
                    <w:rPr>
                      <w:rFonts w:hint="eastAsia" w:cs="Times New Roman"/>
                      <w:color w:val="auto"/>
                      <w:kern w:val="0"/>
                      <w:sz w:val="21"/>
                      <w:szCs w:val="21"/>
                      <w:highlight w:val="none"/>
                      <w:lang w:val="en-US" w:eastAsia="zh-CN" w:bidi="ar"/>
                    </w:rPr>
                    <w:t>等</w:t>
                  </w:r>
                </w:p>
              </w:tc>
              <w:tc>
                <w:tcPr>
                  <w:tcW w:w="1182" w:type="pct"/>
                  <w:tcBorders>
                    <w:tl2br w:val="nil"/>
                    <w:tr2bl w:val="nil"/>
                  </w:tcBorders>
                  <w:noWrap w:val="0"/>
                  <w:vAlign w:val="center"/>
                </w:tcPr>
                <w:p w14:paraId="58FCA47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04923F7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3DEE492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地表水、地下水环境</w:t>
                  </w:r>
                </w:p>
              </w:tc>
            </w:tr>
            <w:tr w14:paraId="04CA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207A8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环境保护设施</w:t>
                  </w:r>
                </w:p>
              </w:tc>
              <w:tc>
                <w:tcPr>
                  <w:tcW w:w="614" w:type="pct"/>
                  <w:tcBorders>
                    <w:tl2br w:val="nil"/>
                    <w:tr2bl w:val="nil"/>
                  </w:tcBorders>
                  <w:noWrap w:val="0"/>
                  <w:vAlign w:val="center"/>
                </w:tcPr>
                <w:p w14:paraId="35AC7BA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污水处理站</w:t>
                  </w:r>
                </w:p>
              </w:tc>
              <w:tc>
                <w:tcPr>
                  <w:tcW w:w="640" w:type="pct"/>
                  <w:tcBorders>
                    <w:tl2br w:val="nil"/>
                    <w:tr2bl w:val="nil"/>
                  </w:tcBorders>
                  <w:noWrap w:val="0"/>
                  <w:vAlign w:val="center"/>
                </w:tcPr>
                <w:p w14:paraId="5C1941C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表面处理废水</w:t>
                  </w:r>
                </w:p>
              </w:tc>
              <w:tc>
                <w:tcPr>
                  <w:tcW w:w="1182" w:type="pct"/>
                  <w:tcBorders>
                    <w:tl2br w:val="nil"/>
                    <w:tr2bl w:val="nil"/>
                  </w:tcBorders>
                  <w:noWrap w:val="0"/>
                  <w:vAlign w:val="center"/>
                </w:tcPr>
                <w:p w14:paraId="053B53A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泄漏</w:t>
                  </w:r>
                </w:p>
              </w:tc>
              <w:tc>
                <w:tcPr>
                  <w:tcW w:w="933" w:type="pct"/>
                  <w:tcBorders>
                    <w:tl2br w:val="nil"/>
                    <w:tr2bl w:val="nil"/>
                  </w:tcBorders>
                  <w:noWrap w:val="0"/>
                  <w:vAlign w:val="center"/>
                </w:tcPr>
                <w:p w14:paraId="16A9AE0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r>
                    <w:rPr>
                      <w:rFonts w:hint="default" w:ascii="Times New Roman" w:hAnsi="Times New Roman" w:eastAsia="宋体" w:cs="Times New Roman"/>
                      <w:color w:val="auto"/>
                      <w:kern w:val="0"/>
                      <w:sz w:val="21"/>
                      <w:szCs w:val="21"/>
                      <w:highlight w:val="none"/>
                      <w:lang w:eastAsia="zh-CN" w:bidi="ar"/>
                    </w:rPr>
                    <w:t>、</w:t>
                  </w:r>
                </w:p>
              </w:tc>
              <w:tc>
                <w:tcPr>
                  <w:tcW w:w="1108" w:type="pct"/>
                  <w:tcBorders>
                    <w:tl2br w:val="nil"/>
                    <w:tr2bl w:val="nil"/>
                  </w:tcBorders>
                  <w:noWrap w:val="0"/>
                  <w:vAlign w:val="center"/>
                </w:tcPr>
                <w:p w14:paraId="7E7ADA5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3367F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378811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tcBorders>
                    <w:tl2br w:val="nil"/>
                    <w:tr2bl w:val="nil"/>
                  </w:tcBorders>
                  <w:noWrap w:val="0"/>
                  <w:vAlign w:val="center"/>
                </w:tcPr>
                <w:p w14:paraId="02813EB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废气处理</w:t>
                  </w:r>
                  <w:r>
                    <w:rPr>
                      <w:rFonts w:hint="default" w:ascii="Times New Roman" w:hAnsi="Times New Roman" w:eastAsia="宋体" w:cs="Times New Roman"/>
                      <w:color w:val="auto"/>
                      <w:kern w:val="0"/>
                      <w:sz w:val="21"/>
                      <w:szCs w:val="21"/>
                      <w:highlight w:val="none"/>
                      <w:lang w:bidi="ar"/>
                    </w:rPr>
                    <w:t>系统</w:t>
                  </w:r>
                </w:p>
              </w:tc>
              <w:tc>
                <w:tcPr>
                  <w:tcW w:w="640" w:type="pct"/>
                  <w:tcBorders>
                    <w:tl2br w:val="nil"/>
                    <w:tr2bl w:val="nil"/>
                  </w:tcBorders>
                  <w:noWrap w:val="0"/>
                  <w:vAlign w:val="center"/>
                </w:tcPr>
                <w:p w14:paraId="41DB7C4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182" w:type="pct"/>
                  <w:tcBorders>
                    <w:tl2br w:val="nil"/>
                    <w:tr2bl w:val="nil"/>
                  </w:tcBorders>
                  <w:noWrap w:val="0"/>
                  <w:vAlign w:val="center"/>
                </w:tcPr>
                <w:p w14:paraId="0983CE1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系统故障导致废气超标排放</w:t>
                  </w:r>
                </w:p>
              </w:tc>
              <w:tc>
                <w:tcPr>
                  <w:tcW w:w="933" w:type="pct"/>
                  <w:tcBorders>
                    <w:tl2br w:val="nil"/>
                    <w:tr2bl w:val="nil"/>
                  </w:tcBorders>
                  <w:noWrap w:val="0"/>
                  <w:vAlign w:val="center"/>
                </w:tcPr>
                <w:p w14:paraId="0101E8B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大气扩散</w:t>
                  </w:r>
                </w:p>
              </w:tc>
              <w:tc>
                <w:tcPr>
                  <w:tcW w:w="1108" w:type="pct"/>
                  <w:tcBorders>
                    <w:tl2br w:val="nil"/>
                    <w:tr2bl w:val="nil"/>
                  </w:tcBorders>
                  <w:noWrap w:val="0"/>
                  <w:vAlign w:val="center"/>
                </w:tcPr>
                <w:p w14:paraId="075A69A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大气环境</w:t>
                  </w:r>
                </w:p>
              </w:tc>
            </w:tr>
          </w:tbl>
          <w:p w14:paraId="01B55E8D">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auto"/>
                <w:highlight w:val="none"/>
              </w:rPr>
            </w:pPr>
          </w:p>
          <w:p w14:paraId="4610E157">
            <w:pPr>
              <w:pStyle w:val="43"/>
              <w:spacing w:after="0" w:line="360" w:lineRule="auto"/>
              <w:ind w:firstLine="482"/>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1"/>
                <w:sz w:val="24"/>
                <w:szCs w:val="24"/>
                <w:highlight w:val="none"/>
              </w:rPr>
              <w:t>地表水环境风险：可能发生泄漏的环节主要在</w:t>
            </w:r>
            <w:r>
              <w:rPr>
                <w:rFonts w:hint="eastAsia" w:cs="Times New Roman"/>
                <w:color w:val="auto"/>
                <w:spacing w:val="-1"/>
                <w:sz w:val="24"/>
                <w:szCs w:val="24"/>
                <w:highlight w:val="none"/>
                <w:lang w:val="en-US" w:eastAsia="zh-CN"/>
              </w:rPr>
              <w:t>工件表面预处理</w:t>
            </w:r>
            <w:r>
              <w:rPr>
                <w:rFonts w:hint="default" w:ascii="Times New Roman" w:hAnsi="Times New Roman" w:cs="Times New Roman"/>
                <w:color w:val="auto"/>
                <w:spacing w:val="-1"/>
                <w:sz w:val="24"/>
                <w:szCs w:val="24"/>
                <w:highlight w:val="none"/>
                <w:lang w:val="en-US" w:eastAsia="zh-CN"/>
              </w:rPr>
              <w:t>生产线、化学品</w:t>
            </w:r>
            <w:r>
              <w:rPr>
                <w:rFonts w:hint="default" w:ascii="Times New Roman" w:hAnsi="Times New Roman" w:cs="Times New Roman"/>
                <w:color w:val="auto"/>
                <w:spacing w:val="-1"/>
                <w:sz w:val="24"/>
                <w:szCs w:val="24"/>
                <w:highlight w:val="none"/>
              </w:rPr>
              <w:t>仓库、</w:t>
            </w:r>
            <w:r>
              <w:rPr>
                <w:rFonts w:hint="eastAsia" w:cs="Times New Roman"/>
                <w:color w:val="auto"/>
                <w:spacing w:val="-1"/>
                <w:sz w:val="24"/>
                <w:szCs w:val="24"/>
                <w:highlight w:val="none"/>
                <w:lang w:eastAsia="zh-CN"/>
              </w:rPr>
              <w:t>危险废物贮存间</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污水处理站</w:t>
            </w:r>
            <w:r>
              <w:rPr>
                <w:rFonts w:hint="default" w:ascii="Times New Roman" w:hAnsi="Times New Roman" w:cs="Times New Roman"/>
                <w:color w:val="auto"/>
                <w:spacing w:val="-1"/>
                <w:sz w:val="24"/>
                <w:szCs w:val="24"/>
                <w:highlight w:val="none"/>
              </w:rPr>
              <w:t>等，根据前文分析可知，厂区按照规范和要求对</w:t>
            </w:r>
            <w:r>
              <w:rPr>
                <w:rFonts w:hint="default" w:ascii="Times New Roman" w:hAnsi="Times New Roman" w:cs="Times New Roman"/>
                <w:color w:val="auto"/>
                <w:spacing w:val="-1"/>
                <w:sz w:val="24"/>
                <w:szCs w:val="24"/>
                <w:highlight w:val="none"/>
                <w:lang w:val="en-US" w:eastAsia="zh-CN"/>
              </w:rPr>
              <w:t>生产厂房、化学品</w:t>
            </w:r>
            <w:r>
              <w:rPr>
                <w:rFonts w:hint="default" w:ascii="Times New Roman" w:hAnsi="Times New Roman" w:cs="Times New Roman"/>
                <w:color w:val="auto"/>
                <w:spacing w:val="-1"/>
                <w:sz w:val="24"/>
                <w:szCs w:val="24"/>
                <w:highlight w:val="none"/>
              </w:rPr>
              <w:t>仓库、</w:t>
            </w:r>
            <w:r>
              <w:rPr>
                <w:rFonts w:hint="eastAsia" w:cs="Times New Roman"/>
                <w:color w:val="auto"/>
                <w:spacing w:val="-1"/>
                <w:sz w:val="24"/>
                <w:szCs w:val="24"/>
                <w:highlight w:val="none"/>
                <w:lang w:eastAsia="zh-CN"/>
              </w:rPr>
              <w:t>危险废物贮存间</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污水处理站</w:t>
            </w:r>
            <w:r>
              <w:rPr>
                <w:rFonts w:hint="default" w:ascii="Times New Roman" w:hAnsi="Times New Roman" w:cs="Times New Roman"/>
                <w:color w:val="auto"/>
                <w:spacing w:val="-1"/>
                <w:sz w:val="24"/>
                <w:szCs w:val="24"/>
                <w:highlight w:val="none"/>
              </w:rPr>
              <w:t>等采取有效的防雨、防渗漏、防溢流等措施；厂区地面均已进行场地硬化，因操作不当发生少量泄漏后，可</w:t>
            </w:r>
            <w:r>
              <w:rPr>
                <w:rFonts w:hint="default" w:ascii="Times New Roman" w:hAnsi="Times New Roman" w:cs="Times New Roman"/>
                <w:color w:val="auto"/>
                <w:spacing w:val="-1"/>
                <w:sz w:val="24"/>
                <w:szCs w:val="24"/>
                <w:highlight w:val="none"/>
                <w:lang w:eastAsia="zh-CN"/>
              </w:rPr>
              <w:t>截止</w:t>
            </w:r>
            <w:r>
              <w:rPr>
                <w:rFonts w:hint="default" w:ascii="Times New Roman" w:hAnsi="Times New Roman" w:cs="Times New Roman"/>
                <w:color w:val="auto"/>
                <w:spacing w:val="-1"/>
                <w:sz w:val="24"/>
                <w:szCs w:val="24"/>
                <w:highlight w:val="none"/>
              </w:rPr>
              <w:t>在厂区内，且厂区内危险物质的总储存量不大，危险单元中的物质存放量较少，局部泄漏量较少。</w:t>
            </w:r>
          </w:p>
          <w:p w14:paraId="67F87E35">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地下水环境风险：各种泄漏事件，导致通过地表下渗污染地下水水质，比如，项目有毒有害物质在运输、装卸、储存和使用过程中发生渗漏，仓库防渗层损坏等。</w:t>
            </w:r>
          </w:p>
          <w:p w14:paraId="5759ED51">
            <w:pPr>
              <w:pStyle w:val="43"/>
              <w:spacing w:after="0" w:line="360" w:lineRule="auto"/>
              <w:ind w:firstLine="482"/>
              <w:rPr>
                <w:rFonts w:hint="default" w:ascii="Times New Roman" w:hAnsi="Times New Roman" w:eastAsia="宋体" w:cs="Times New Roman"/>
                <w:color w:val="auto"/>
                <w:spacing w:val="-1"/>
                <w:sz w:val="24"/>
                <w:szCs w:val="24"/>
                <w:highlight w:val="none"/>
                <w:lang w:val="en-US" w:eastAsia="zh-CN"/>
              </w:rPr>
            </w:pPr>
            <w:r>
              <w:rPr>
                <w:rFonts w:hint="default" w:ascii="Times New Roman" w:hAnsi="Times New Roman" w:eastAsia="宋体" w:cs="Times New Roman"/>
                <w:color w:val="auto"/>
                <w:spacing w:val="-1"/>
                <w:sz w:val="24"/>
                <w:szCs w:val="24"/>
                <w:highlight w:val="none"/>
              </w:rPr>
              <w:t>大气环境风险：</w:t>
            </w:r>
            <w:r>
              <w:rPr>
                <w:rFonts w:hint="default" w:ascii="Times New Roman" w:hAnsi="Times New Roman" w:eastAsia="宋体" w:cs="Times New Roman"/>
                <w:color w:val="auto"/>
                <w:spacing w:val="-1"/>
                <w:sz w:val="24"/>
                <w:szCs w:val="24"/>
                <w:highlight w:val="none"/>
                <w:lang w:val="en-US" w:eastAsia="zh-CN"/>
              </w:rPr>
              <w:t>天然气</w:t>
            </w:r>
            <w:r>
              <w:rPr>
                <w:rFonts w:hint="default" w:ascii="Times New Roman" w:hAnsi="Times New Roman" w:eastAsia="宋体" w:cs="Times New Roman"/>
                <w:color w:val="auto"/>
                <w:spacing w:val="-1"/>
                <w:sz w:val="24"/>
                <w:szCs w:val="24"/>
                <w:highlight w:val="none"/>
              </w:rPr>
              <w:t>管道破裂而泄漏</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遇明火发生火灾或爆炸，产生大量燃烧废气</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lang w:val="en-US" w:eastAsia="zh-CN"/>
              </w:rPr>
              <w:t>一旦发生火灾事故，硫酸铵燃烧过程中产生的有毒有害气体、燃烧烟尘、颗粒物对区域的大气环境会造成不利影响，导致区域环境空气质量下降，且短时间内不易恢复。</w:t>
            </w:r>
            <w:r>
              <w:rPr>
                <w:rFonts w:hint="default" w:ascii="Times New Roman" w:hAnsi="Times New Roman" w:eastAsia="宋体" w:cs="Times New Roman"/>
                <w:color w:val="auto"/>
                <w:spacing w:val="-1"/>
                <w:sz w:val="24"/>
                <w:szCs w:val="24"/>
                <w:highlight w:val="none"/>
              </w:rPr>
              <w:t>项目废气处理设施正常运行时，可保证废气达标排放，当废气处理设施发生故障时，会造成未处理的废气直接排入空气中，对环境空气造成一定的影响。</w:t>
            </w:r>
          </w:p>
          <w:p w14:paraId="714BB506">
            <w:pPr>
              <w:pStyle w:val="43"/>
              <w:spacing w:after="0" w:line="360" w:lineRule="auto"/>
              <w:ind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7.3环境风险防范措施</w:t>
            </w:r>
          </w:p>
          <w:p w14:paraId="1ED71A24">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①严格执行应急管理、消防等相关规范，从总图布置和建筑安全方面进行风险防范，预留疏散通道或安置场所。</w:t>
            </w:r>
          </w:p>
          <w:p w14:paraId="66569C1E">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②从优化改进生产工艺、减少储存量、改善储存条件等方面降低风险程度。</w:t>
            </w:r>
          </w:p>
          <w:p w14:paraId="2F7E3842">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③加强日常管理，降低管理失误而出现的风险事故，提高员工规范性操作水平，减少误操作引发的风险事故。</w:t>
            </w:r>
          </w:p>
          <w:p w14:paraId="3706C220">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④根据贮存的相关要求进行贮存、使用，设置满足要求的围堰区。遵循“源头控制，分区防渗”的原则，做好仓库、车间、</w:t>
            </w:r>
            <w:r>
              <w:rPr>
                <w:rFonts w:hint="eastAsia" w:cs="Times New Roman"/>
                <w:color w:val="auto"/>
                <w:spacing w:val="-1"/>
                <w:sz w:val="24"/>
                <w:szCs w:val="24"/>
                <w:highlight w:val="none"/>
                <w:lang w:eastAsia="zh-CN"/>
              </w:rPr>
              <w:t>危险废物贮存间</w:t>
            </w:r>
            <w:r>
              <w:rPr>
                <w:rFonts w:hint="default" w:ascii="Times New Roman" w:hAnsi="Times New Roman" w:eastAsia="宋体" w:cs="Times New Roman"/>
                <w:color w:val="auto"/>
                <w:spacing w:val="-1"/>
                <w:sz w:val="24"/>
                <w:szCs w:val="24"/>
                <w:highlight w:val="none"/>
              </w:rPr>
              <w:t>的防渗措施，满足相应标准要求。危废间在建筑物内部，达到防风防雨防晒要求，地面硬化并刷环氧树脂漆防渗，四周设置围堰，满足四防要求。</w:t>
            </w:r>
          </w:p>
          <w:p w14:paraId="3DDA48D6">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项目风险防范措施详见下表：</w:t>
            </w:r>
          </w:p>
          <w:p w14:paraId="3AFD058E">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cs="Times New Roman"/>
                <w:b/>
                <w:bCs/>
                <w:color w:val="auto"/>
                <w:kern w:val="2"/>
                <w:sz w:val="21"/>
                <w:szCs w:val="21"/>
                <w:lang w:val="en-US" w:eastAsia="zh-CN" w:bidi="ar-SA"/>
              </w:rPr>
              <w:t>2</w:t>
            </w:r>
            <w:r>
              <w:rPr>
                <w:rFonts w:hint="default" w:ascii="Times New Roman" w:hAnsi="Times New Roman" w:eastAsia="宋体" w:cs="Times New Roman"/>
                <w:b/>
                <w:bCs/>
                <w:color w:val="auto"/>
                <w:sz w:val="21"/>
                <w:szCs w:val="21"/>
                <w:highlight w:val="none"/>
                <w:lang w:val="en-US" w:eastAsia="zh-CN"/>
              </w:rPr>
              <w:t>项目风险防范措施一览表</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917"/>
              <w:gridCol w:w="3437"/>
              <w:gridCol w:w="3379"/>
            </w:tblGrid>
            <w:tr w14:paraId="1F98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902" w:type="pct"/>
                  <w:gridSpan w:val="2"/>
                  <w:noWrap w:val="0"/>
                  <w:vAlign w:val="center"/>
                </w:tcPr>
                <w:p w14:paraId="5F1291AD">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环境风险因素</w:t>
                  </w:r>
                </w:p>
              </w:tc>
              <w:tc>
                <w:tcPr>
                  <w:tcW w:w="2066" w:type="pct"/>
                  <w:noWrap w:val="0"/>
                  <w:vAlign w:val="center"/>
                </w:tcPr>
                <w:p w14:paraId="68DC2428">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环境风险影响</w:t>
                  </w:r>
                </w:p>
              </w:tc>
              <w:tc>
                <w:tcPr>
                  <w:tcW w:w="2031" w:type="pct"/>
                  <w:noWrap w:val="0"/>
                  <w:vAlign w:val="center"/>
                </w:tcPr>
                <w:p w14:paraId="3311A824">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风险防范措施</w:t>
                  </w:r>
                </w:p>
              </w:tc>
            </w:tr>
            <w:tr w14:paraId="4624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0B78B478">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天然气管道</w:t>
                  </w:r>
                </w:p>
              </w:tc>
              <w:tc>
                <w:tcPr>
                  <w:tcW w:w="2066" w:type="pct"/>
                  <w:noWrap w:val="0"/>
                  <w:vAlign w:val="center"/>
                </w:tcPr>
                <w:p w14:paraId="0C4AB191">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火灾爆炸事故次生环境事件</w:t>
                  </w:r>
                </w:p>
              </w:tc>
              <w:tc>
                <w:tcPr>
                  <w:tcW w:w="2031" w:type="pct"/>
                  <w:noWrap w:val="0"/>
                  <w:vAlign w:val="center"/>
                </w:tcPr>
                <w:p w14:paraId="7212BC0A">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定期维护检修，安排专人巡检，配备一定的消防、环境应急物资</w:t>
                  </w:r>
                </w:p>
              </w:tc>
            </w:tr>
            <w:tr w14:paraId="2477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7EEC0D57">
                  <w:pPr>
                    <w:pStyle w:val="56"/>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表面处理区域</w:t>
                  </w:r>
                </w:p>
              </w:tc>
              <w:tc>
                <w:tcPr>
                  <w:tcW w:w="2066" w:type="pct"/>
                  <w:noWrap w:val="0"/>
                  <w:vAlign w:val="center"/>
                </w:tcPr>
                <w:p w14:paraId="26330080">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预处理槽槽液存储、使用过程发生泄漏</w:t>
                  </w:r>
                </w:p>
              </w:tc>
              <w:tc>
                <w:tcPr>
                  <w:tcW w:w="2031" w:type="pct"/>
                  <w:noWrap w:val="0"/>
                  <w:vAlign w:val="center"/>
                </w:tcPr>
                <w:p w14:paraId="130874E9">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表面处理区域</w:t>
                  </w:r>
                  <w:r>
                    <w:rPr>
                      <w:rFonts w:hint="default" w:ascii="Times New Roman" w:hAnsi="Times New Roman"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lang w:val="en-US" w:eastAsia="zh-CN"/>
                    </w:rPr>
                    <w:t>化学品仓</w:t>
                  </w:r>
                  <w:r>
                    <w:rPr>
                      <w:rFonts w:hint="default" w:ascii="Times New Roman" w:hAnsi="Times New Roman" w:cs="Times New Roman"/>
                      <w:b w:val="0"/>
                      <w:bCs w:val="0"/>
                      <w:color w:val="auto"/>
                      <w:sz w:val="21"/>
                      <w:szCs w:val="21"/>
                      <w:highlight w:val="none"/>
                    </w:rPr>
                    <w:t>设置围堰并对其地面设置防渗层，防止</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液体渗透至土壤。</w:t>
                  </w:r>
                </w:p>
              </w:tc>
            </w:tr>
            <w:tr w14:paraId="1EAB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17A27DC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储运工程</w:t>
                  </w:r>
                </w:p>
              </w:tc>
              <w:tc>
                <w:tcPr>
                  <w:tcW w:w="550" w:type="pct"/>
                  <w:noWrap w:val="0"/>
                  <w:vAlign w:val="center"/>
                </w:tcPr>
                <w:p w14:paraId="2BD5F523">
                  <w:pPr>
                    <w:pStyle w:val="5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原辅材料</w:t>
                  </w:r>
                  <w:r>
                    <w:rPr>
                      <w:rFonts w:hint="default" w:ascii="Times New Roman" w:hAnsi="Times New Roman" w:cs="Times New Roman"/>
                      <w:b w:val="0"/>
                      <w:bCs w:val="0"/>
                      <w:color w:val="auto"/>
                      <w:sz w:val="21"/>
                      <w:szCs w:val="21"/>
                      <w:highlight w:val="none"/>
                      <w:lang w:eastAsia="zh-CN"/>
                    </w:rPr>
                    <w:t>泄漏</w:t>
                  </w:r>
                </w:p>
              </w:tc>
              <w:tc>
                <w:tcPr>
                  <w:tcW w:w="2066" w:type="pct"/>
                  <w:noWrap w:val="0"/>
                  <w:vAlign w:val="center"/>
                </w:tcPr>
                <w:p w14:paraId="095E1352">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表面处理添加剂等物质在存储、使用、转运过程中</w:t>
                  </w:r>
                </w:p>
              </w:tc>
              <w:tc>
                <w:tcPr>
                  <w:tcW w:w="2031" w:type="pct"/>
                  <w:noWrap w:val="0"/>
                  <w:vAlign w:val="center"/>
                </w:tcPr>
                <w:p w14:paraId="2BBE0BC5">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原料区</w:t>
                  </w:r>
                  <w:r>
                    <w:rPr>
                      <w:rFonts w:hint="default" w:ascii="Times New Roman" w:hAnsi="Times New Roman" w:cs="Times New Roman"/>
                      <w:b w:val="0"/>
                      <w:bCs w:val="0"/>
                      <w:color w:val="auto"/>
                      <w:sz w:val="21"/>
                      <w:szCs w:val="21"/>
                      <w:highlight w:val="none"/>
                      <w:lang w:val="en-US" w:eastAsia="zh-CN"/>
                    </w:rPr>
                    <w:t>中用于储存危险化学品的化学品仓</w:t>
                  </w:r>
                  <w:r>
                    <w:rPr>
                      <w:rFonts w:hint="default" w:ascii="Times New Roman" w:hAnsi="Times New Roman" w:cs="Times New Roman"/>
                      <w:b w:val="0"/>
                      <w:bCs w:val="0"/>
                      <w:color w:val="auto"/>
                      <w:sz w:val="21"/>
                      <w:szCs w:val="21"/>
                      <w:highlight w:val="none"/>
                    </w:rPr>
                    <w:t>进行</w:t>
                  </w:r>
                  <w:r>
                    <w:rPr>
                      <w:rFonts w:hint="default" w:ascii="Times New Roman" w:hAnsi="Times New Roman" w:cs="Times New Roman"/>
                      <w:b w:val="0"/>
                      <w:bCs w:val="0"/>
                      <w:color w:val="auto"/>
                      <w:sz w:val="21"/>
                      <w:szCs w:val="21"/>
                      <w:highlight w:val="none"/>
                      <w:lang w:val="en-US" w:eastAsia="zh-CN"/>
                    </w:rPr>
                    <w:t>重点防渗，并设置围堰，其余区域作</w:t>
                  </w:r>
                  <w:r>
                    <w:rPr>
                      <w:rFonts w:hint="default" w:ascii="Times New Roman" w:hAnsi="Times New Roman" w:cs="Times New Roman"/>
                      <w:b w:val="0"/>
                      <w:bCs w:val="0"/>
                      <w:color w:val="auto"/>
                      <w:sz w:val="21"/>
                      <w:szCs w:val="21"/>
                      <w:highlight w:val="none"/>
                    </w:rPr>
                    <w:t>一般防渗，安全操作；配备一定的环境应急物资</w:t>
                  </w:r>
                </w:p>
              </w:tc>
            </w:tr>
            <w:tr w14:paraId="5BB9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39E9AAC2">
                  <w:pPr>
                    <w:pStyle w:val="56"/>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auto"/>
                      <w:sz w:val="21"/>
                      <w:szCs w:val="21"/>
                      <w:highlight w:val="none"/>
                    </w:rPr>
                  </w:pPr>
                </w:p>
              </w:tc>
              <w:tc>
                <w:tcPr>
                  <w:tcW w:w="550" w:type="pct"/>
                  <w:noWrap w:val="0"/>
                  <w:vAlign w:val="center"/>
                </w:tcPr>
                <w:p w14:paraId="53312067">
                  <w:pPr>
                    <w:pStyle w:val="5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危险废物</w:t>
                  </w:r>
                  <w:r>
                    <w:rPr>
                      <w:rFonts w:hint="default" w:ascii="Times New Roman" w:hAnsi="Times New Roman" w:cs="Times New Roman"/>
                      <w:b w:val="0"/>
                      <w:bCs w:val="0"/>
                      <w:color w:val="auto"/>
                      <w:sz w:val="21"/>
                      <w:szCs w:val="21"/>
                      <w:highlight w:val="none"/>
                      <w:lang w:eastAsia="zh-CN"/>
                    </w:rPr>
                    <w:t>泄漏</w:t>
                  </w:r>
                </w:p>
              </w:tc>
              <w:tc>
                <w:tcPr>
                  <w:tcW w:w="2066" w:type="pct"/>
                  <w:noWrap w:val="0"/>
                  <w:vAlign w:val="center"/>
                </w:tcPr>
                <w:p w14:paraId="39124C3B">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无铬钝化废槽液</w:t>
                  </w:r>
                  <w:r>
                    <w:rPr>
                      <w:rFonts w:hint="default" w:ascii="Times New Roman" w:hAnsi="Times New Roman" w:cs="Times New Roman"/>
                      <w:b w:val="0"/>
                      <w:bCs w:val="0"/>
                      <w:color w:val="auto"/>
                      <w:sz w:val="21"/>
                      <w:szCs w:val="21"/>
                      <w:highlight w:val="none"/>
                    </w:rPr>
                    <w:t>、废活性炭等危险废物在存储、转运过程中发生</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事件，导致项目有毒有害物质经地表径流或雨水管道进入周边水体或通过地表下渗污染地下水水质</w:t>
                  </w:r>
                </w:p>
              </w:tc>
              <w:tc>
                <w:tcPr>
                  <w:tcW w:w="2031" w:type="pct"/>
                  <w:noWrap w:val="0"/>
                  <w:vAlign w:val="center"/>
                </w:tcPr>
                <w:p w14:paraId="37E1927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危废间进行重点防渗，安全操作配备一定的环境应急物资</w:t>
                  </w:r>
                </w:p>
              </w:tc>
            </w:tr>
            <w:tr w14:paraId="7DD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7CC87884">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环保工程</w:t>
                  </w:r>
                </w:p>
              </w:tc>
              <w:tc>
                <w:tcPr>
                  <w:tcW w:w="550" w:type="pct"/>
                  <w:noWrap w:val="0"/>
                  <w:vAlign w:val="center"/>
                </w:tcPr>
                <w:p w14:paraId="721FE66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废气处理措施故障</w:t>
                  </w:r>
                </w:p>
              </w:tc>
              <w:tc>
                <w:tcPr>
                  <w:tcW w:w="2066" w:type="pct"/>
                  <w:noWrap w:val="0"/>
                  <w:vAlign w:val="center"/>
                </w:tcPr>
                <w:p w14:paraId="39C99F63">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废气超标排放，影响区域大气环境</w:t>
                  </w:r>
                </w:p>
              </w:tc>
              <w:tc>
                <w:tcPr>
                  <w:tcW w:w="2031" w:type="pct"/>
                  <w:noWrap w:val="0"/>
                  <w:vAlign w:val="center"/>
                </w:tcPr>
                <w:p w14:paraId="37D9B7F9">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定期进行检修，及时排除故障，废气处理设施故障时及时停产检修</w:t>
                  </w:r>
                </w:p>
              </w:tc>
            </w:tr>
            <w:tr w14:paraId="70C7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56580420">
                  <w:pPr>
                    <w:pStyle w:val="56"/>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auto"/>
                      <w:sz w:val="21"/>
                      <w:szCs w:val="21"/>
                      <w:highlight w:val="none"/>
                    </w:rPr>
                  </w:pPr>
                </w:p>
              </w:tc>
              <w:tc>
                <w:tcPr>
                  <w:tcW w:w="550" w:type="pct"/>
                  <w:noWrap w:val="0"/>
                  <w:vAlign w:val="center"/>
                </w:tcPr>
                <w:p w14:paraId="1241B7B0">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废水处理措施故障</w:t>
                  </w:r>
                </w:p>
              </w:tc>
              <w:tc>
                <w:tcPr>
                  <w:tcW w:w="2066" w:type="pct"/>
                  <w:noWrap w:val="0"/>
                  <w:vAlign w:val="center"/>
                </w:tcPr>
                <w:p w14:paraId="25CC4216">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废水超标排放，影响地表水环境；发生</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事故，导致废水经地表径流或雨水管道进入周边水体或通过地表下渗污染地下水水质</w:t>
                  </w:r>
                </w:p>
              </w:tc>
              <w:tc>
                <w:tcPr>
                  <w:tcW w:w="2031" w:type="pct"/>
                  <w:noWrap w:val="0"/>
                  <w:vAlign w:val="center"/>
                </w:tcPr>
                <w:p w14:paraId="00C6E4AB">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废水收集管网均采用加厚 PVC材质制成，减少发生破损的情况;污水泵一用一备，确保废水处理系统稳定运行，</w:t>
                  </w:r>
                  <w:r>
                    <w:rPr>
                      <w:rFonts w:hint="eastAsia" w:ascii="Times New Roman" w:cs="Times New Roman"/>
                      <w:b w:val="0"/>
                      <w:bCs w:val="0"/>
                      <w:color w:val="auto"/>
                      <w:sz w:val="21"/>
                      <w:szCs w:val="21"/>
                      <w:highlight w:val="none"/>
                      <w:lang w:val="en-US" w:eastAsia="zh-CN"/>
                    </w:rPr>
                    <w:t>外排</w:t>
                  </w:r>
                  <w:r>
                    <w:rPr>
                      <w:rFonts w:hint="default" w:ascii="Times New Roman" w:hAnsi="Times New Roman" w:cs="Times New Roman"/>
                      <w:b w:val="0"/>
                      <w:bCs w:val="0"/>
                      <w:color w:val="auto"/>
                      <w:sz w:val="21"/>
                      <w:szCs w:val="21"/>
                      <w:highlight w:val="none"/>
                    </w:rPr>
                    <w:t>生产废水排放口设切断控制阀，防止事故生产废水外排</w:t>
                  </w:r>
                  <w:r>
                    <w:rPr>
                      <w:rFonts w:hint="eastAsia" w:ascii="Times New Roman" w:hAnsi="Times New Roman"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rPr>
                    <w:t>定期进行检修，及时排除故障，废水处理设施故障时及时停产检修。</w:t>
                  </w:r>
                </w:p>
              </w:tc>
            </w:tr>
          </w:tbl>
          <w:p w14:paraId="4D88E455">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⑤事故应急池：</w:t>
            </w:r>
          </w:p>
          <w:p w14:paraId="1E0F1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事故应急池容积计算参考《事故状态下水体污染的预防与控制技术要求》（Q/SY 1190-2013）的规定进行核算。</w:t>
            </w:r>
          </w:p>
          <w:p w14:paraId="00CCD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vertAlign w:val="subscript"/>
              </w:rPr>
              <w:t>max</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p>
          <w:p w14:paraId="0DE512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—收集系统范围内发生事故的一个罐组或一套装置的物料量。</w:t>
            </w:r>
          </w:p>
          <w:p w14:paraId="579D1CF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项目所用化学品、原辅材料等不使用时封闭储存于化学品仓或原料仓中，化学品仓和危废间已做好防渗措施，</w:t>
            </w:r>
            <w:r>
              <w:rPr>
                <w:rFonts w:hint="default" w:ascii="Times New Roman" w:hAnsi="Times New Roman" w:cs="Times New Roman"/>
                <w:color w:val="auto"/>
                <w:sz w:val="24"/>
                <w:szCs w:val="24"/>
                <w:highlight w:val="none"/>
                <w:lang w:val="en-US" w:eastAsia="zh-CN"/>
              </w:rPr>
              <w:t>取各构筑物内最大一个液态物料储存容器的容积，本项目取11.2m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（预脱脂/脱脂池），即</w:t>
            </w:r>
            <w:r>
              <w:rPr>
                <w:rFonts w:hint="default" w:ascii="Times New Roman" w:hAnsi="Times New Roman" w:cs="Times New Roman"/>
                <w:color w:val="auto"/>
                <w:sz w:val="24"/>
                <w:szCs w:val="24"/>
                <w:highlight w:val="none"/>
                <w:lang w:eastAsia="zh-CN"/>
              </w:rPr>
              <w:t>V</w:t>
            </w:r>
            <w:r>
              <w:rPr>
                <w:rFonts w:hint="default" w:ascii="Times New Roman" w:hAnsi="Times New Roman" w:cs="Times New Roman"/>
                <w:color w:val="auto"/>
                <w:sz w:val="24"/>
                <w:szCs w:val="24"/>
                <w:highlight w:val="none"/>
                <w:vertAlign w:val="subscript"/>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11.2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5D151C69">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—发生事故的储罐或装置的消防水量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5D78F8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根据《消防给水及消火栓系统技术规范》（GB50974-2014），“1 工厂、堆场和储罐区等，当占地面积小于等于 100hm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 xml:space="preserve">，且附有居住区人数小于等于 1.5 万人时，同一时间内的火灾起数应按 1 起确定”，因此，确定项目同一时间内的火灾起数为 1，按最不利原则，建筑面积最大的生产楼火灾事故计。 </w:t>
            </w:r>
          </w:p>
          <w:p w14:paraId="4C4326F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本项目生产楼总高度约为</w:t>
            </w:r>
            <w:r>
              <w:rPr>
                <w:rFonts w:hint="eastAsia" w:asci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m，占地面积为</w:t>
            </w:r>
            <w:r>
              <w:rPr>
                <w:rFonts w:hint="eastAsia" w:ascii="Times New Roman" w:eastAsia="宋体" w:cs="Times New Roman"/>
                <w:color w:val="auto"/>
                <w:sz w:val="24"/>
                <w:szCs w:val="24"/>
                <w:highlight w:val="none"/>
                <w:lang w:val="en-US" w:eastAsia="zh-CN"/>
              </w:rPr>
              <w:t>6780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，建筑体积为</w:t>
            </w:r>
            <w:r>
              <w:rPr>
                <w:rFonts w:hint="eastAsia" w:ascii="Times New Roman" w:eastAsia="宋体" w:cs="Times New Roman"/>
                <w:color w:val="auto"/>
                <w:sz w:val="24"/>
                <w:szCs w:val="24"/>
                <w:highlight w:val="none"/>
                <w:lang w:val="en-US" w:eastAsia="zh-CN"/>
              </w:rPr>
              <w:t>81360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。根据《</w:t>
            </w:r>
            <w:r>
              <w:rPr>
                <w:rFonts w:hint="eastAsia" w:ascii="Times New Roman" w:eastAsia="宋体" w:cs="Times New Roman"/>
                <w:color w:val="auto"/>
                <w:sz w:val="24"/>
                <w:szCs w:val="24"/>
                <w:highlight w:val="none"/>
                <w:lang w:val="en-US" w:eastAsia="zh-CN"/>
              </w:rPr>
              <w:t>消防给水及消火栓系统技术规范</w:t>
            </w:r>
            <w:r>
              <w:rPr>
                <w:rFonts w:hint="default" w:ascii="Times New Roman" w:hAnsi="Times New Roman" w:eastAsia="宋体" w:cs="Times New Roman"/>
                <w:color w:val="auto"/>
                <w:sz w:val="24"/>
                <w:szCs w:val="24"/>
                <w:highlight w:val="none"/>
                <w:lang w:val="en-US" w:eastAsia="zh-CN"/>
              </w:rPr>
              <w:t xml:space="preserve">》（GB50974-2014）表 3.6.2，本项目厂房为丁类厂房的火灾延续时间按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h 计，根据消防用水量计算值，室外消防栓设计流量为 20L/s，火灾延续时间为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小时；室内消防栓设计流量为25L/s，火灾延续时间为 3 小时，V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（室外）=20/1000*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*3600=</w:t>
            </w:r>
            <w:r>
              <w:rPr>
                <w:rFonts w:hint="eastAsia" w:ascii="Times New Roman" w:eastAsia="宋体" w:cs="Times New Roman"/>
                <w:color w:val="auto"/>
                <w:sz w:val="24"/>
                <w:szCs w:val="24"/>
                <w:highlight w:val="none"/>
                <w:lang w:val="en-US" w:eastAsia="zh-CN"/>
              </w:rPr>
              <w:t>216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（室内）25/1000*3600*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r>
              <w:rPr>
                <w:rFonts w:hint="eastAsia" w:asci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216+270=486</w:t>
            </w:r>
            <w:r>
              <w:rPr>
                <w:rFonts w:hint="default" w:ascii="Times New Roman" w:hAnsi="Times New Roman" w:cs="Times New Roman"/>
                <w:color w:val="auto"/>
                <w:sz w:val="24"/>
                <w:szCs w:val="24"/>
                <w:highlight w:val="none"/>
                <w:lang w:eastAsia="zh-CN"/>
              </w:rPr>
              <w:t>m</w:t>
            </w:r>
            <w:r>
              <w:rPr>
                <w:rFonts w:hint="default" w:ascii="Times New Roman" w:hAnsi="Times New Roman" w:cs="Times New Roman"/>
                <w:color w:val="auto"/>
                <w:sz w:val="24"/>
                <w:szCs w:val="24"/>
                <w:highlight w:val="none"/>
                <w:vertAlign w:val="superscript"/>
                <w:lang w:eastAsia="zh-CN"/>
              </w:rPr>
              <w:t>3</w:t>
            </w:r>
            <w:r>
              <w:rPr>
                <w:rFonts w:hint="eastAsia" w:ascii="Times New Roman" w:cs="Times New Roman"/>
                <w:color w:val="auto"/>
                <w:sz w:val="24"/>
                <w:szCs w:val="24"/>
                <w:highlight w:val="none"/>
                <w:lang w:val="en-US" w:eastAsia="zh-CN"/>
              </w:rPr>
              <w:t>。</w:t>
            </w:r>
          </w:p>
          <w:p w14:paraId="7B0361D7">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—发生事故时可以转输到其他储存或处理设施的物料量，m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 xml:space="preserve">；①本项目生产车间设缓坡的方式对消防废水进行暂存，合计面积约 </w:t>
            </w:r>
            <w:r>
              <w:rPr>
                <w:rFonts w:hint="eastAsia" w:ascii="Times New Roman" w:eastAsia="宋体" w:cs="Times New Roman"/>
                <w:color w:val="auto"/>
                <w:sz w:val="24"/>
                <w:szCs w:val="24"/>
                <w:highlight w:val="none"/>
                <w:lang w:val="en-US" w:eastAsia="zh-CN"/>
              </w:rPr>
              <w:t>6780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，取 80%为有效暂存面积（即</w:t>
            </w:r>
            <w:r>
              <w:rPr>
                <w:rFonts w:hint="eastAsia" w:ascii="Times New Roman" w:eastAsia="宋体" w:cs="Times New Roman"/>
                <w:color w:val="auto"/>
                <w:sz w:val="24"/>
                <w:szCs w:val="24"/>
                <w:highlight w:val="none"/>
                <w:lang w:val="en-US" w:eastAsia="zh-CN"/>
              </w:rPr>
              <w:t>5424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），缓坡高度为 10cm，则可容纳废水量约为</w:t>
            </w:r>
            <w:r>
              <w:rPr>
                <w:rFonts w:hint="eastAsia" w:ascii="Times New Roman" w:eastAsia="宋体" w:cs="Times New Roman"/>
                <w:color w:val="auto"/>
                <w:sz w:val="24"/>
                <w:szCs w:val="24"/>
                <w:highlight w:val="none"/>
                <w:lang w:val="en-US" w:eastAsia="zh-CN"/>
              </w:rPr>
              <w:t>542.4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lang w:val="en-US" w:eastAsia="zh-CN"/>
              </w:rPr>
              <w:t>本项目V</w:t>
            </w:r>
            <w:r>
              <w:rPr>
                <w:rFonts w:hint="default" w:ascii="Times New Roman" w:hAnsi="Times New Roman" w:cs="Times New Roman"/>
                <w:color w:val="auto"/>
                <w:kern w:val="0"/>
                <w:sz w:val="24"/>
                <w:szCs w:val="24"/>
                <w:highlight w:val="none"/>
                <w:vertAlign w:val="subscript"/>
                <w:lang w:val="en-US" w:eastAsia="zh-CN"/>
              </w:rPr>
              <w:t>3</w:t>
            </w:r>
            <w:r>
              <w:rPr>
                <w:rFonts w:hint="default" w:ascii="Times New Roman" w:hAnsi="Times New Roman" w:cs="Times New Roman"/>
                <w:color w:val="auto"/>
                <w:kern w:val="0"/>
                <w:sz w:val="24"/>
                <w:szCs w:val="24"/>
                <w:highlight w:val="none"/>
                <w:lang w:val="en-US" w:eastAsia="zh-CN"/>
              </w:rPr>
              <w:t>=</w:t>
            </w:r>
            <w:r>
              <w:rPr>
                <w:rFonts w:hint="eastAsia" w:ascii="Times New Roman" w:cs="Times New Roman"/>
                <w:color w:val="auto"/>
                <w:kern w:val="0"/>
                <w:sz w:val="24"/>
                <w:szCs w:val="24"/>
                <w:highlight w:val="none"/>
                <w:lang w:val="en-US" w:eastAsia="zh-CN"/>
              </w:rPr>
              <w:t>542.4</w:t>
            </w:r>
            <w:r>
              <w:rPr>
                <w:rFonts w:hint="default" w:ascii="Times New Roman" w:hAnsi="Times New Roman" w:cs="Times New Roman"/>
                <w:color w:val="auto"/>
                <w:kern w:val="0"/>
                <w:sz w:val="24"/>
                <w:szCs w:val="24"/>
                <w:highlight w:val="none"/>
                <w:lang w:val="en-US" w:eastAsia="zh-CN"/>
              </w:rPr>
              <w:t>m</w:t>
            </w:r>
            <w:r>
              <w:rPr>
                <w:rFonts w:hint="default"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vertAlign w:val="baseline"/>
                <w:lang w:val="en-US" w:eastAsia="zh-CN"/>
              </w:rPr>
              <w:t>。</w:t>
            </w:r>
          </w:p>
          <w:p w14:paraId="3C2C31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—发生事故时仍必须进入该收集系统的生产废水量，m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事故发生时即停止生产，不会持续产生生产废水，</w:t>
            </w:r>
            <w:r>
              <w:rPr>
                <w:rFonts w:hint="default" w:ascii="Times New Roman" w:hAnsi="Times New Roman" w:cs="Times New Roman"/>
                <w:color w:val="auto"/>
                <w:sz w:val="24"/>
                <w:szCs w:val="24"/>
                <w:highlight w:val="none"/>
                <w:lang w:val="en-US" w:eastAsia="zh-CN"/>
              </w:rPr>
              <w:t>且本项目</w:t>
            </w:r>
            <w:r>
              <w:rPr>
                <w:rFonts w:hint="eastAsia" w:cs="Times New Roman"/>
                <w:color w:val="auto"/>
                <w:sz w:val="24"/>
                <w:szCs w:val="24"/>
                <w:highlight w:val="none"/>
                <w:lang w:val="en-US" w:eastAsia="zh-CN"/>
              </w:rPr>
              <w:t>工件表面预处理</w:t>
            </w:r>
            <w:r>
              <w:rPr>
                <w:rFonts w:hint="default" w:ascii="Times New Roman" w:hAnsi="Times New Roman" w:cs="Times New Roman"/>
                <w:color w:val="auto"/>
                <w:sz w:val="24"/>
                <w:szCs w:val="24"/>
                <w:highlight w:val="none"/>
                <w:lang w:val="en-US" w:eastAsia="zh-CN"/>
              </w:rPr>
              <w:t>生产线中各水池均设置有截流阀门，可在发生事故时关闭生产废水排放管道，</w:t>
            </w:r>
            <w:r>
              <w:rPr>
                <w:rFonts w:hint="default" w:ascii="Times New Roman" w:hAnsi="Times New Roman" w:cs="Times New Roman"/>
                <w:color w:val="auto"/>
                <w:sz w:val="24"/>
                <w:szCs w:val="24"/>
                <w:highlight w:val="none"/>
                <w:lang w:eastAsia="zh-CN"/>
              </w:rPr>
              <w:t>故</w:t>
            </w:r>
            <w:r>
              <w:rPr>
                <w:rFonts w:hint="default" w:ascii="Times New Roman" w:hAnsi="Times New Roman" w:cs="Times New Roman"/>
                <w:color w:val="auto"/>
                <w:sz w:val="24"/>
                <w:szCs w:val="24"/>
                <w:highlight w:val="none"/>
                <w:lang w:val="en-US" w:eastAsia="zh-CN"/>
              </w:rPr>
              <w:t>V</w:t>
            </w:r>
            <w:r>
              <w:rPr>
                <w:rFonts w:hint="default" w:ascii="Times New Roman" w:hAnsi="Times New Roman" w:cs="Times New Roman"/>
                <w:color w:val="auto"/>
                <w:sz w:val="24"/>
                <w:szCs w:val="24"/>
                <w:highlight w:val="none"/>
                <w:vertAlign w:val="subscript"/>
                <w:lang w:val="en-US" w:eastAsia="zh-CN"/>
              </w:rPr>
              <w:t>4</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21DD1C9E">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—发生事故时可能进入该收集系统的降雨量，m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759D3C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V</w:t>
            </w:r>
            <w:r>
              <w:rPr>
                <w:rFonts w:hint="default" w:ascii="Times New Roman" w:hAnsi="Times New Roman" w:eastAsia="宋体" w:cs="Times New Roman"/>
                <w:color w:val="auto"/>
                <w:kern w:val="0"/>
                <w:sz w:val="24"/>
                <w:szCs w:val="24"/>
                <w:highlight w:val="none"/>
                <w:vertAlign w:val="subscript"/>
              </w:rPr>
              <w:t>5</w:t>
            </w:r>
            <w:r>
              <w:rPr>
                <w:rFonts w:hint="default" w:ascii="Times New Roman" w:hAnsi="Times New Roman" w:eastAsia="宋体" w:cs="Times New Roman"/>
                <w:color w:val="auto"/>
                <w:kern w:val="0"/>
                <w:sz w:val="24"/>
                <w:szCs w:val="24"/>
                <w:highlight w:val="none"/>
              </w:rPr>
              <w:t>=10qF</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p>
          <w:p w14:paraId="3380FA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q——降雨强度，按平均日降雨量</w:t>
            </w:r>
            <w:r>
              <w:rPr>
                <w:rFonts w:hint="default" w:ascii="Times New Roman" w:hAnsi="Times New Roman" w:eastAsia="宋体" w:cs="Times New Roman"/>
                <w:color w:val="auto"/>
                <w:kern w:val="0"/>
                <w:sz w:val="24"/>
                <w:szCs w:val="24"/>
                <w:highlight w:val="none"/>
                <w:lang w:eastAsia="zh-CN"/>
              </w:rPr>
              <w:t>，mm；</w:t>
            </w: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rPr>
              <w:t>《水体污染防控紧急措施设计导则》，降雨强度按一年内降雨天数内的平均日降雨强度计</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q=q</w:t>
            </w:r>
            <w:r>
              <w:rPr>
                <w:rFonts w:hint="default" w:ascii="Times New Roman" w:hAnsi="Times New Roman" w:eastAsia="宋体" w:cs="Times New Roman"/>
                <w:color w:val="auto"/>
                <w:kern w:val="0"/>
                <w:sz w:val="24"/>
                <w:szCs w:val="24"/>
                <w:highlight w:val="none"/>
                <w:vertAlign w:val="subscript"/>
                <w:lang w:val="en-US" w:eastAsia="zh-CN"/>
              </w:rPr>
              <w:t>a</w:t>
            </w:r>
            <w:r>
              <w:rPr>
                <w:rFonts w:hint="default" w:ascii="Times New Roman" w:hAnsi="Times New Roman" w:eastAsia="宋体" w:cs="Times New Roman"/>
                <w:color w:val="auto"/>
                <w:kern w:val="0"/>
                <w:sz w:val="24"/>
                <w:szCs w:val="24"/>
                <w:highlight w:val="none"/>
                <w:lang w:val="en-US" w:eastAsia="zh-CN"/>
              </w:rPr>
              <w:t>/n；</w:t>
            </w:r>
          </w:p>
          <w:p w14:paraId="4526E2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qa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年平均降雨量，mm；</w:t>
            </w:r>
          </w:p>
          <w:p w14:paraId="211FCE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n</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年平均降雨天数；</w:t>
            </w:r>
          </w:p>
          <w:p w14:paraId="3B52C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F——必须进入事故废水收集系统的雨水汇水面积，ha；</w:t>
            </w:r>
          </w:p>
          <w:p w14:paraId="51078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径流系数，取0.9。</w:t>
            </w:r>
          </w:p>
          <w:p w14:paraId="24BC7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可查询乐昌市生态环境状况公开数据</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乐昌市全市多年平均降雨量在1300</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1550毫米之间，雨水多集中在4~6月。2023年全市一般年平均降雨量1531.9毫米，降雨天数为145天，本项目以此作为计算依据，</w:t>
            </w:r>
            <w:r>
              <w:rPr>
                <w:rFonts w:hint="eastAsia" w:cs="Times New Roman"/>
                <w:color w:val="auto"/>
                <w:kern w:val="0"/>
                <w:sz w:val="24"/>
                <w:szCs w:val="24"/>
                <w:highlight w:val="none"/>
                <w:lang w:val="en-US" w:eastAsia="zh-CN"/>
              </w:rPr>
              <w:t>项目已实施雨污分流，项目所有原辅材料和物料均存放在车间内，厂区外不设置物料暂存堆放区。本项目汇水面积按照厂区外空地面积约 13668.34m</w:t>
            </w:r>
            <w:r>
              <w:rPr>
                <w:rFonts w:hint="eastAsia" w:cs="Times New Roman"/>
                <w:color w:val="auto"/>
                <w:kern w:val="0"/>
                <w:sz w:val="24"/>
                <w:szCs w:val="24"/>
                <w:highlight w:val="none"/>
                <w:vertAlign w:val="superscript"/>
                <w:lang w:val="en-US" w:eastAsia="zh-CN"/>
              </w:rPr>
              <w:t>2</w:t>
            </w:r>
            <w:r>
              <w:rPr>
                <w:rFonts w:hint="eastAsia" w:cs="Times New Roman"/>
                <w:color w:val="auto"/>
                <w:kern w:val="0"/>
                <w:sz w:val="24"/>
                <w:szCs w:val="24"/>
                <w:highlight w:val="none"/>
                <w:lang w:val="en-US" w:eastAsia="zh-CN"/>
              </w:rPr>
              <w:t>计算（项目有屋面的雨水通过单独的管道进入雨水管网，事故时通过屋面的雨水未被污染，因此本次不计屋面面积），则项目雨水汇水面积为 13668.34m</w:t>
            </w:r>
            <w:r>
              <w:rPr>
                <w:rFonts w:hint="eastAsia" w:cs="Times New Roman"/>
                <w:color w:val="auto"/>
                <w:kern w:val="0"/>
                <w:sz w:val="24"/>
                <w:szCs w:val="24"/>
                <w:highlight w:val="none"/>
                <w:vertAlign w:val="superscript"/>
                <w:lang w:val="en-US" w:eastAsia="zh-CN"/>
              </w:rPr>
              <w:t>2</w:t>
            </w:r>
            <w:r>
              <w:rPr>
                <w:rFonts w:hint="eastAsia" w:cs="Times New Roman"/>
                <w:color w:val="auto"/>
                <w:kern w:val="0"/>
                <w:sz w:val="24"/>
                <w:szCs w:val="24"/>
                <w:highlight w:val="none"/>
                <w:lang w:val="en-US" w:eastAsia="zh-CN"/>
              </w:rPr>
              <w:t>，V</w:t>
            </w:r>
            <w:r>
              <w:rPr>
                <w:rFonts w:hint="eastAsia" w:cs="Times New Roman"/>
                <w:color w:val="auto"/>
                <w:kern w:val="0"/>
                <w:sz w:val="24"/>
                <w:szCs w:val="24"/>
                <w:highlight w:val="none"/>
                <w:vertAlign w:val="subscript"/>
                <w:lang w:val="en-US" w:eastAsia="zh-CN"/>
              </w:rPr>
              <w:t>5</w:t>
            </w:r>
            <w:r>
              <w:rPr>
                <w:rFonts w:hint="eastAsia" w:cs="Times New Roman"/>
                <w:color w:val="auto"/>
                <w:kern w:val="0"/>
                <w:sz w:val="24"/>
                <w:szCs w:val="24"/>
                <w:highlight w:val="none"/>
                <w:lang w:val="en-US" w:eastAsia="zh-CN"/>
              </w:rPr>
              <w:t>≈129.6m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（10*1531.9/145*13668.34/10000*0.9=129.6）。</w:t>
            </w:r>
          </w:p>
          <w:p w14:paraId="5774312A">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综上，</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11.2</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486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542.4</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max=0。</w:t>
            </w:r>
            <w:r>
              <w:rPr>
                <w:rFonts w:hint="default" w:ascii="Times New Roman" w:hAnsi="Times New Roman" w:eastAsia="宋体" w:cs="Times New Roman"/>
                <w:color w:val="auto"/>
                <w:sz w:val="24"/>
                <w:szCs w:val="24"/>
                <w:highlight w:val="none"/>
              </w:rPr>
              <w:t>为满足消防或其他事故时废水收集需要，</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所需的事故储存设施总有效容积V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0+</w:t>
            </w:r>
            <w:r>
              <w:rPr>
                <w:rFonts w:hint="eastAsia" w:cs="Times New Roman"/>
                <w:color w:val="auto"/>
                <w:sz w:val="24"/>
                <w:szCs w:val="24"/>
                <w:highlight w:val="none"/>
                <w:lang w:val="en-US" w:eastAsia="zh-CN"/>
              </w:rPr>
              <w:t>129.6</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129.6</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rPr>
              <w:t>。</w:t>
            </w:r>
          </w:p>
          <w:p w14:paraId="7C095B7E">
            <w:pPr>
              <w:pStyle w:val="34"/>
              <w:spacing w:line="360" w:lineRule="auto"/>
              <w:ind w:firstLine="480" w:firstLineChars="200"/>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b w:val="0"/>
                <w:bCs w:val="0"/>
                <w:color w:val="auto"/>
                <w:sz w:val="24"/>
                <w:szCs w:val="24"/>
                <w:highlight w:val="none"/>
              </w:rPr>
              <w:t>本项目事故废水依托自建事故应急池，厂区设有1个有效容积为</w:t>
            </w:r>
            <w:r>
              <w:rPr>
                <w:rFonts w:hint="eastAsia" w:ascii="Times New Roman" w:hAnsi="Times New Roman" w:cs="Times New Roman"/>
                <w:b w:val="0"/>
                <w:bCs w:val="0"/>
                <w:color w:val="auto"/>
                <w:sz w:val="24"/>
                <w:szCs w:val="24"/>
                <w:highlight w:val="none"/>
                <w:lang w:val="en-US" w:eastAsia="zh-CN"/>
              </w:rPr>
              <w:t>15</w:t>
            </w:r>
            <w:r>
              <w:rPr>
                <w:rFonts w:hint="default" w:ascii="Times New Roman" w:hAnsi="Times New Roman" w:cs="Times New Roman"/>
                <w:b w:val="0"/>
                <w:bCs w:val="0"/>
                <w:color w:val="auto"/>
                <w:sz w:val="24"/>
                <w:szCs w:val="24"/>
                <w:highlight w:val="none"/>
                <w:lang w:val="en-US" w:eastAsia="zh-CN"/>
              </w:rPr>
              <w:t>0</w:t>
            </w:r>
            <w:r>
              <w:rPr>
                <w:rFonts w:hint="default" w:ascii="Times New Roman" w:hAnsi="Times New Roman" w:cs="Times New Roman"/>
                <w:b w:val="0"/>
                <w:bCs w:val="0"/>
                <w:color w:val="auto"/>
                <w:sz w:val="24"/>
                <w:szCs w:val="24"/>
                <w:highlight w:val="none"/>
              </w:rPr>
              <w:t>m</w:t>
            </w:r>
            <w:r>
              <w:rPr>
                <w:rFonts w:hint="default" w:ascii="Times New Roman" w:hAnsi="Times New Roman" w:cs="Times New Roman"/>
                <w:b w:val="0"/>
                <w:bCs w:val="0"/>
                <w:color w:val="auto"/>
                <w:sz w:val="24"/>
                <w:szCs w:val="24"/>
                <w:highlight w:val="none"/>
                <w:vertAlign w:val="superscript"/>
              </w:rPr>
              <w:t>3</w:t>
            </w:r>
            <w:r>
              <w:rPr>
                <w:rFonts w:hint="default" w:ascii="Times New Roman" w:hAnsi="Times New Roman" w:cs="Times New Roman"/>
                <w:b w:val="0"/>
                <w:bCs w:val="0"/>
                <w:color w:val="auto"/>
                <w:sz w:val="24"/>
                <w:szCs w:val="24"/>
                <w:highlight w:val="none"/>
              </w:rPr>
              <w:t>的事故应急池</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且本项目厂房设有围堰及沙包等应急措施及物资。当发生事故时，泄漏物料、消防废水等事故废水均能截留在厂区内。园区定期对事故应急系统进行排查，发现存在问题，马上进行检修，确保事故时能有效运行</w:t>
            </w:r>
            <w:r>
              <w:rPr>
                <w:rFonts w:hint="default" w:ascii="Times New Roman" w:hAnsi="Times New Roman" w:cs="Times New Roman"/>
                <w:b w:val="0"/>
                <w:bCs w:val="0"/>
                <w:color w:val="auto"/>
                <w:sz w:val="24"/>
                <w:szCs w:val="24"/>
                <w:highlight w:val="none"/>
                <w:lang w:eastAsia="zh-CN"/>
              </w:rPr>
              <w:t>。</w:t>
            </w:r>
          </w:p>
          <w:p w14:paraId="56287403">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7.4</w:t>
            </w:r>
            <w:r>
              <w:rPr>
                <w:rFonts w:hint="default" w:ascii="Times New Roman" w:hAnsi="Times New Roman" w:eastAsia="宋体" w:cs="Times New Roman"/>
                <w:b/>
                <w:bCs/>
                <w:color w:val="auto"/>
                <w:sz w:val="24"/>
                <w:highlight w:val="none"/>
              </w:rPr>
              <w:t>企业环境风险应急体系</w:t>
            </w:r>
          </w:p>
          <w:p w14:paraId="48E9EB1F">
            <w:pPr>
              <w:pStyle w:val="43"/>
              <w:spacing w:after="0" w:line="360" w:lineRule="auto"/>
              <w:ind w:firstLine="482"/>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项目投入运行后，运营单位应及时组织编制突发环境应急预案，建立</w:t>
            </w:r>
            <w:r>
              <w:rPr>
                <w:rFonts w:hint="default" w:ascii="Times New Roman" w:hAnsi="Times New Roman" w:eastAsia="宋体" w:cs="Times New Roman"/>
                <w:b w:val="0"/>
                <w:bCs w:val="0"/>
                <w:color w:val="auto"/>
                <w:sz w:val="24"/>
                <w:highlight w:val="none"/>
                <w:lang w:val="en-US" w:eastAsia="zh-CN"/>
              </w:rPr>
              <w:t>单元-厂区-园区三级环境</w:t>
            </w:r>
            <w:r>
              <w:rPr>
                <w:rFonts w:hint="default" w:ascii="Times New Roman" w:hAnsi="Times New Roman" w:eastAsia="宋体" w:cs="Times New Roman"/>
                <w:b w:val="0"/>
                <w:bCs w:val="0"/>
                <w:color w:val="auto"/>
                <w:sz w:val="24"/>
                <w:highlight w:val="none"/>
              </w:rPr>
              <w:t>风险防控体系。建设单位应按照《建设项目环境风险评价技术导则》（HJ169-2018）</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《广东省企事业单位突发环境事件应急预案编制指南（试行）》(2020年8月施行）</w:t>
            </w:r>
            <w:r>
              <w:rPr>
                <w:rFonts w:hint="default" w:ascii="Times New Roman" w:hAnsi="Times New Roman" w:eastAsia="宋体" w:cs="Times New Roman"/>
                <w:b w:val="0"/>
                <w:bCs w:val="0"/>
                <w:color w:val="auto"/>
                <w:sz w:val="24"/>
                <w:highlight w:val="none"/>
              </w:rPr>
              <w:t>编制突发环境事件应急预案，做好监控和预警、应急响应、应急保障、善后处置、预案演练等，减小事故排放对周边</w:t>
            </w:r>
            <w:r>
              <w:rPr>
                <w:rFonts w:hint="default" w:ascii="Times New Roman" w:hAnsi="Times New Roman" w:eastAsia="宋体" w:cs="Times New Roman"/>
                <w:b w:val="0"/>
                <w:bCs w:val="0"/>
                <w:color w:val="auto"/>
                <w:sz w:val="24"/>
                <w:highlight w:val="none"/>
                <w:lang w:val="en-US" w:eastAsia="zh-CN"/>
              </w:rPr>
              <w:t>环境敏感点</w:t>
            </w:r>
            <w:r>
              <w:rPr>
                <w:rFonts w:hint="default" w:ascii="Times New Roman" w:hAnsi="Times New Roman" w:eastAsia="宋体" w:cs="Times New Roman"/>
                <w:b w:val="0"/>
                <w:bCs w:val="0"/>
                <w:color w:val="auto"/>
                <w:sz w:val="24"/>
                <w:highlight w:val="none"/>
              </w:rPr>
              <w:t>的影响。</w:t>
            </w:r>
          </w:p>
          <w:p w14:paraId="1C891670">
            <w:pPr>
              <w:pStyle w:val="43"/>
              <w:spacing w:after="0" w:line="360" w:lineRule="auto"/>
              <w:ind w:firstLine="482"/>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综上，建设单位须做好应急措施，采取有针对性的环境风险防范措施及应急预案后，可降低项目未经处理排放的风险概率。本次工程项目从环境风险角度可行。</w:t>
            </w:r>
          </w:p>
          <w:p w14:paraId="6CB3A6CF">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8、电磁辐射</w:t>
            </w:r>
          </w:p>
          <w:p w14:paraId="012B003B">
            <w:pPr>
              <w:pStyle w:val="76"/>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w:t>
            </w:r>
          </w:p>
          <w:p w14:paraId="1D8740E4">
            <w:pPr>
              <w:pStyle w:val="76"/>
              <w:rPr>
                <w:rFonts w:hint="default" w:ascii="Times New Roman" w:hAnsi="Times New Roman" w:eastAsia="宋体" w:cs="Times New Roman"/>
                <w:color w:val="auto"/>
                <w:sz w:val="24"/>
                <w:highlight w:val="none"/>
              </w:rPr>
            </w:pPr>
          </w:p>
          <w:p w14:paraId="10706D82">
            <w:pPr>
              <w:pStyle w:val="43"/>
              <w:spacing w:after="0" w:line="360" w:lineRule="auto"/>
              <w:ind w:firstLine="482"/>
              <w:rPr>
                <w:rFonts w:hint="default"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9、</w:t>
            </w:r>
            <w:r>
              <w:rPr>
                <w:rFonts w:hint="default" w:ascii="Times New Roman" w:hAnsi="Times New Roman" w:eastAsia="宋体" w:cs="Times New Roman"/>
                <w:b/>
                <w:bCs/>
                <w:color w:val="auto"/>
                <w:sz w:val="24"/>
                <w:highlight w:val="none"/>
                <w:lang w:eastAsia="zh-CN"/>
              </w:rPr>
              <w:t>建设项目竣工环保验收“三同时”一览表</w:t>
            </w:r>
          </w:p>
          <w:p w14:paraId="163DA09A">
            <w:pPr>
              <w:widowControl w:val="0"/>
              <w:kinsoku/>
              <w:autoSpaceDE/>
              <w:autoSpaceDN/>
              <w:adjustRightInd/>
              <w:snapToGrid/>
              <w:spacing w:line="360" w:lineRule="auto"/>
              <w:ind w:firstLine="420" w:firstLineChars="200"/>
              <w:jc w:val="both"/>
              <w:textAlignment w:val="auto"/>
              <w:rPr>
                <w:rFonts w:ascii="Times New Roman" w:hAnsi="Times New Roman" w:eastAsia="宋体" w:cs="Times New Roman"/>
                <w:b w:val="0"/>
                <w:bCs w:val="0"/>
                <w:color w:val="auto"/>
                <w:highlight w:val="none"/>
              </w:rPr>
            </w:pPr>
            <w:r>
              <w:rPr>
                <w:rFonts w:ascii="Times New Roman" w:hAnsi="Times New Roman" w:eastAsia="宋体" w:cs="Times New Roman"/>
                <w:b w:val="0"/>
                <w:bCs w:val="0"/>
                <w:color w:val="auto"/>
                <w:highlight w:val="none"/>
              </w:rPr>
              <w:t>竣工环境保护验收“三同时”一览表如下所示：</w:t>
            </w:r>
          </w:p>
          <w:p w14:paraId="407D0F0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43 </w:t>
            </w:r>
            <w:r>
              <w:rPr>
                <w:rFonts w:hint="default" w:ascii="Times New Roman" w:hAnsi="Times New Roman" w:eastAsia="宋体" w:cs="Times New Roman"/>
                <w:b/>
                <w:bCs/>
                <w:color w:val="auto"/>
                <w:sz w:val="21"/>
                <w:szCs w:val="21"/>
                <w:highlight w:val="none"/>
                <w:lang w:val="en-US" w:eastAsia="zh-CN"/>
              </w:rPr>
              <w:t>项目环保“三同时”竣工验收一览表</w:t>
            </w:r>
          </w:p>
          <w:tbl>
            <w:tblPr>
              <w:tblStyle w:val="4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19"/>
              <w:gridCol w:w="1461"/>
              <w:gridCol w:w="2262"/>
              <w:gridCol w:w="2557"/>
            </w:tblGrid>
            <w:tr w14:paraId="5FC4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07BC2C1B">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项目</w:t>
                  </w:r>
                </w:p>
              </w:tc>
              <w:tc>
                <w:tcPr>
                  <w:tcW w:w="914" w:type="pct"/>
                  <w:noWrap w:val="0"/>
                  <w:vAlign w:val="center"/>
                </w:tcPr>
                <w:p w14:paraId="0B9D6C8D">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污染源</w:t>
                  </w:r>
                </w:p>
              </w:tc>
              <w:tc>
                <w:tcPr>
                  <w:tcW w:w="879" w:type="pct"/>
                  <w:noWrap w:val="0"/>
                  <w:vAlign w:val="center"/>
                </w:tcPr>
                <w:p w14:paraId="1AAB2B7A">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w:t>
                  </w:r>
                </w:p>
              </w:tc>
              <w:tc>
                <w:tcPr>
                  <w:tcW w:w="1361" w:type="pct"/>
                  <w:noWrap w:val="0"/>
                  <w:vAlign w:val="center"/>
                </w:tcPr>
                <w:p w14:paraId="493483BC">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防治措施</w:t>
                  </w:r>
                </w:p>
              </w:tc>
              <w:tc>
                <w:tcPr>
                  <w:tcW w:w="1538" w:type="pct"/>
                  <w:noWrap w:val="0"/>
                  <w:vAlign w:val="center"/>
                </w:tcPr>
                <w:p w14:paraId="230F5A3F">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验收标准</w:t>
                  </w:r>
                </w:p>
              </w:tc>
            </w:tr>
            <w:tr w14:paraId="2E1D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138F29CF">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废水</w:t>
                  </w:r>
                </w:p>
              </w:tc>
              <w:tc>
                <w:tcPr>
                  <w:tcW w:w="914" w:type="pct"/>
                  <w:noWrap w:val="0"/>
                  <w:vAlign w:val="center"/>
                </w:tcPr>
                <w:p w14:paraId="44F531EC">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DW001</w:t>
                  </w:r>
                  <w:r>
                    <w:rPr>
                      <w:rFonts w:hint="eastAsia" w:ascii="Times New Roman" w:hAnsi="Times New Roman" w:eastAsia="宋体" w:cs="Times New Roman"/>
                      <w:color w:val="auto"/>
                      <w:sz w:val="21"/>
                      <w:szCs w:val="21"/>
                      <w:highlight w:val="none"/>
                      <w:lang w:val="en-US" w:eastAsia="zh-CN"/>
                    </w:rPr>
                    <w:t>生活污水</w:t>
                  </w:r>
                  <w:r>
                    <w:rPr>
                      <w:rFonts w:hint="default" w:ascii="Times New Roman" w:hAnsi="Times New Roman" w:eastAsia="宋体" w:cs="Times New Roman"/>
                      <w:color w:val="auto"/>
                      <w:sz w:val="21"/>
                      <w:szCs w:val="21"/>
                      <w:highlight w:val="none"/>
                      <w:lang w:val="en-US" w:eastAsia="zh-CN"/>
                    </w:rPr>
                    <w:t>排放口</w:t>
                  </w:r>
                </w:p>
              </w:tc>
              <w:tc>
                <w:tcPr>
                  <w:tcW w:w="879" w:type="pct"/>
                  <w:noWrap w:val="0"/>
                  <w:vAlign w:val="center"/>
                </w:tcPr>
                <w:p w14:paraId="494D297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pH、CODCr、BOD</w:t>
                  </w:r>
                  <w:r>
                    <w:rPr>
                      <w:rFonts w:hint="default" w:ascii="Times New Roman" w:hAnsi="Times New Roman" w:eastAsia="宋体" w:cs="Times New Roman"/>
                      <w:color w:val="auto"/>
                      <w:kern w:val="2"/>
                      <w:sz w:val="21"/>
                      <w:szCs w:val="21"/>
                      <w:highlight w:val="none"/>
                      <w:vertAlign w:val="sub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、SS、氨氮、总磷、动植物油</w:t>
                  </w:r>
                </w:p>
              </w:tc>
              <w:tc>
                <w:tcPr>
                  <w:tcW w:w="1361" w:type="pct"/>
                  <w:noWrap w:val="0"/>
                  <w:vAlign w:val="center"/>
                </w:tcPr>
                <w:p w14:paraId="3066EC9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生活污水经三级化粪池+隔油隔渣池处理</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经园区污水管网排入园区污水处理厂进一步处理后，排入武江</w:t>
                  </w:r>
                </w:p>
              </w:tc>
              <w:tc>
                <w:tcPr>
                  <w:tcW w:w="1538" w:type="pct"/>
                  <w:noWrap w:val="0"/>
                  <w:vAlign w:val="center"/>
                </w:tcPr>
                <w:p w14:paraId="1CCFD1AA">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广东省《水污染物排放限值》（DB44/26-2001）第二时段三级标准</w:t>
                  </w:r>
                  <w:r>
                    <w:rPr>
                      <w:rFonts w:hint="eastAsia" w:ascii="Times New Roman" w:hAnsi="Times New Roman" w:eastAsia="宋体" w:cs="Times New Roman"/>
                      <w:color w:val="auto"/>
                      <w:sz w:val="21"/>
                      <w:szCs w:val="21"/>
                      <w:highlight w:val="none"/>
                      <w:lang w:val="en-US" w:eastAsia="zh-CN"/>
                    </w:rPr>
                    <w:t>及</w:t>
                  </w:r>
                  <w:r>
                    <w:rPr>
                      <w:rFonts w:hint="default" w:ascii="Times New Roman" w:hAnsi="Times New Roman" w:eastAsia="宋体" w:cs="Times New Roman"/>
                      <w:color w:val="auto"/>
                      <w:sz w:val="21"/>
                      <w:szCs w:val="21"/>
                      <w:highlight w:val="none"/>
                      <w:lang w:val="en-US" w:eastAsia="zh-CN"/>
                    </w:rPr>
                    <w:t>园区污水处理厂接管水质要求</w:t>
                  </w:r>
                  <w:r>
                    <w:rPr>
                      <w:rFonts w:hint="eastAsia" w:ascii="Times New Roman" w:hAnsi="Times New Roman" w:eastAsia="宋体" w:cs="Times New Roman"/>
                      <w:color w:val="auto"/>
                      <w:sz w:val="21"/>
                      <w:szCs w:val="21"/>
                      <w:highlight w:val="none"/>
                      <w:lang w:val="en-US" w:eastAsia="zh-CN"/>
                    </w:rPr>
                    <w:t>两</w:t>
                  </w:r>
                  <w:r>
                    <w:rPr>
                      <w:rFonts w:hint="default" w:ascii="Times New Roman" w:hAnsi="Times New Roman" w:eastAsia="宋体" w:cs="Times New Roman"/>
                      <w:color w:val="auto"/>
                      <w:sz w:val="21"/>
                      <w:szCs w:val="21"/>
                      <w:highlight w:val="none"/>
                      <w:lang w:val="en-US" w:eastAsia="zh-CN"/>
                    </w:rPr>
                    <w:t>者较严值要求</w:t>
                  </w:r>
                </w:p>
              </w:tc>
            </w:tr>
            <w:tr w14:paraId="2DA9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D97399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97125E4">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w:t>
                  </w:r>
                  <w:r>
                    <w:rPr>
                      <w:rFonts w:hint="eastAsia" w:ascii="Times New Roman" w:hAnsi="Times New Roman" w:eastAsia="宋体" w:cs="Times New Roman"/>
                      <w:color w:val="auto"/>
                      <w:sz w:val="21"/>
                      <w:szCs w:val="21"/>
                      <w:highlight w:val="none"/>
                      <w:lang w:val="en-US" w:eastAsia="zh-CN"/>
                    </w:rPr>
                    <w:t>2生产废水</w:t>
                  </w:r>
                  <w:r>
                    <w:rPr>
                      <w:rFonts w:hint="default" w:ascii="Times New Roman" w:hAnsi="Times New Roman" w:eastAsia="宋体" w:cs="Times New Roman"/>
                      <w:color w:val="auto"/>
                      <w:sz w:val="21"/>
                      <w:szCs w:val="21"/>
                      <w:highlight w:val="none"/>
                      <w:lang w:val="en-US" w:eastAsia="zh-CN"/>
                    </w:rPr>
                    <w:t>排放口</w:t>
                  </w:r>
                </w:p>
              </w:tc>
              <w:tc>
                <w:tcPr>
                  <w:tcW w:w="879" w:type="pct"/>
                  <w:noWrap w:val="0"/>
                  <w:vAlign w:val="center"/>
                </w:tcPr>
                <w:p w14:paraId="56D0CB4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pH、COD</w:t>
                  </w:r>
                  <w:r>
                    <w:rPr>
                      <w:rFonts w:hint="default" w:ascii="Times New Roman" w:hAnsi="Times New Roman" w:eastAsia="宋体" w:cs="Times New Roman"/>
                      <w:color w:val="auto"/>
                      <w:kern w:val="2"/>
                      <w:sz w:val="21"/>
                      <w:szCs w:val="21"/>
                      <w:highlight w:val="none"/>
                      <w:vertAlign w:val="subscript"/>
                      <w:lang w:val="en-US" w:eastAsia="zh-CN" w:bidi="ar-SA"/>
                    </w:rPr>
                    <w:t>Cr</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BOD</w:t>
                  </w:r>
                  <w:r>
                    <w:rPr>
                      <w:rFonts w:hint="eastAsia" w:ascii="Times New Roman" w:hAnsi="Times New Roman" w:eastAsia="宋体" w:cs="Times New Roman"/>
                      <w:color w:val="auto"/>
                      <w:kern w:val="2"/>
                      <w:sz w:val="21"/>
                      <w:szCs w:val="21"/>
                      <w:highlight w:val="none"/>
                      <w:vertAlign w:val="subscript"/>
                      <w:lang w:val="en-US" w:eastAsia="zh-CN" w:bidi="ar-SA"/>
                    </w:rPr>
                    <w:t>5</w:t>
                  </w:r>
                  <w:r>
                    <w:rPr>
                      <w:rFonts w:hint="eastAsia" w:ascii="Times New Roman" w:hAnsi="Times New Roman" w:eastAsia="宋体" w:cs="Times New Roman"/>
                      <w:color w:val="auto"/>
                      <w:kern w:val="2"/>
                      <w:sz w:val="21"/>
                      <w:szCs w:val="21"/>
                      <w:highlight w:val="none"/>
                      <w:lang w:val="en-US" w:eastAsia="zh-CN" w:bidi="ar-SA"/>
                    </w:rPr>
                    <w:t>、NH</w:t>
                  </w:r>
                  <w:r>
                    <w:rPr>
                      <w:rFonts w:hint="eastAsia" w:ascii="Times New Roman" w:hAnsi="Times New Roman" w:eastAsia="宋体" w:cs="Times New Roman"/>
                      <w:color w:val="auto"/>
                      <w:kern w:val="2"/>
                      <w:sz w:val="21"/>
                      <w:szCs w:val="21"/>
                      <w:highlight w:val="none"/>
                      <w:vertAlign w:val="subscript"/>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-N、</w:t>
                  </w:r>
                  <w:r>
                    <w:rPr>
                      <w:rFonts w:hint="default" w:ascii="Times New Roman" w:hAnsi="Times New Roman" w:eastAsia="宋体" w:cs="Times New Roman"/>
                      <w:color w:val="auto"/>
                      <w:kern w:val="2"/>
                      <w:sz w:val="21"/>
                      <w:szCs w:val="21"/>
                      <w:highlight w:val="none"/>
                      <w:lang w:val="en-US" w:eastAsia="zh-CN" w:bidi="ar-SA"/>
                    </w:rPr>
                    <w:t>SS、石油类、阴离子表面活性剂、氟化物</w:t>
                  </w:r>
                  <w:r>
                    <w:rPr>
                      <w:rFonts w:hint="eastAsia" w:cs="Times New Roman"/>
                      <w:color w:val="auto"/>
                      <w:kern w:val="2"/>
                      <w:sz w:val="21"/>
                      <w:szCs w:val="21"/>
                      <w:highlight w:val="none"/>
                      <w:lang w:val="en-US" w:eastAsia="zh-CN" w:bidi="ar-SA"/>
                    </w:rPr>
                    <w:t>、TP、TN、总铝</w:t>
                  </w:r>
                </w:p>
              </w:tc>
              <w:tc>
                <w:tcPr>
                  <w:tcW w:w="1361" w:type="pct"/>
                  <w:noWrap w:val="0"/>
                  <w:vAlign w:val="center"/>
                </w:tcPr>
                <w:p w14:paraId="5327F48F">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外排生产废水经企业自建污水处理站（工艺为“</w:t>
                  </w:r>
                  <w:r>
                    <w:rPr>
                      <w:rFonts w:hint="eastAsia" w:cs="Times New Roman"/>
                      <w:color w:val="auto"/>
                      <w:kern w:val="2"/>
                      <w:sz w:val="21"/>
                      <w:szCs w:val="21"/>
                      <w:highlight w:val="none"/>
                      <w:lang w:val="en-US" w:eastAsia="zh-CN" w:bidi="ar-SA"/>
                    </w:rPr>
                    <w:t>中和调节+混凝沉淀+气浮+化学除氟</w:t>
                  </w:r>
                  <w:r>
                    <w:rPr>
                      <w:rFonts w:hint="default" w:ascii="Times New Roman" w:hAnsi="Times New Roman" w:eastAsia="宋体" w:cs="Times New Roman"/>
                      <w:color w:val="auto"/>
                      <w:kern w:val="2"/>
                      <w:sz w:val="21"/>
                      <w:szCs w:val="21"/>
                      <w:highlight w:val="none"/>
                      <w:lang w:val="en-US" w:eastAsia="zh-CN" w:bidi="ar-SA"/>
                    </w:rPr>
                    <w:t>”）处理后，经园区污水管网排入园区污水处理厂进一步处理后，排入武江</w:t>
                  </w:r>
                </w:p>
              </w:tc>
              <w:tc>
                <w:tcPr>
                  <w:tcW w:w="1538" w:type="pct"/>
                  <w:noWrap w:val="0"/>
                  <w:vAlign w:val="center"/>
                </w:tcPr>
                <w:p w14:paraId="69F915FD">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园区污水处理厂接管水质要求、广东省《水污染物排放限值》（</w:t>
                  </w:r>
                  <w:r>
                    <w:rPr>
                      <w:rFonts w:hint="default" w:ascii="Times New Roman" w:hAnsi="Times New Roman" w:eastAsia="宋体" w:cs="Times New Roman"/>
                      <w:i w:val="0"/>
                      <w:iCs w:val="0"/>
                      <w:color w:val="auto"/>
                      <w:kern w:val="0"/>
                      <w:sz w:val="21"/>
                      <w:szCs w:val="21"/>
                      <w:u w:val="none"/>
                      <w:lang w:val="en-US" w:eastAsia="zh-CN" w:bidi="ar"/>
                    </w:rPr>
                    <w:t>DB44/26-2001</w:t>
                  </w:r>
                  <w:r>
                    <w:rPr>
                      <w:rFonts w:hint="eastAsia" w:ascii="宋体" w:hAnsi="宋体" w:eastAsia="宋体" w:cs="宋体"/>
                      <w:i w:val="0"/>
                      <w:iCs w:val="0"/>
                      <w:color w:val="auto"/>
                      <w:kern w:val="0"/>
                      <w:sz w:val="21"/>
                      <w:szCs w:val="21"/>
                      <w:u w:val="none"/>
                      <w:lang w:val="en-US" w:eastAsia="zh-CN" w:bidi="ar"/>
                    </w:rPr>
                    <w:t>）第二时段三级标准以及《电镀水污染物排放标准》（</w:t>
                  </w:r>
                  <w:r>
                    <w:rPr>
                      <w:rFonts w:hint="default" w:ascii="Times New Roman" w:hAnsi="Times New Roman" w:eastAsia="宋体" w:cs="Times New Roman"/>
                      <w:i w:val="0"/>
                      <w:iCs w:val="0"/>
                      <w:color w:val="auto"/>
                      <w:kern w:val="0"/>
                      <w:sz w:val="21"/>
                      <w:szCs w:val="21"/>
                      <w:u w:val="none"/>
                      <w:lang w:val="en-US" w:eastAsia="zh-CN" w:bidi="ar"/>
                    </w:rPr>
                    <w:t>DB44/1597-2015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eastAsia" w:ascii="宋体" w:hAnsi="宋体" w:eastAsia="宋体" w:cs="宋体"/>
                      <w:i w:val="0"/>
                      <w:iCs w:val="0"/>
                      <w:color w:val="auto"/>
                      <w:kern w:val="0"/>
                      <w:sz w:val="21"/>
                      <w:szCs w:val="21"/>
                      <w:u w:val="none"/>
                      <w:lang w:val="en-US" w:eastAsia="zh-CN" w:bidi="ar"/>
                    </w:rPr>
                    <w:t>三者较严值要求</w:t>
                  </w:r>
                </w:p>
              </w:tc>
            </w:tr>
            <w:tr w14:paraId="25A7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452767C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w:t>
                  </w:r>
                </w:p>
              </w:tc>
              <w:tc>
                <w:tcPr>
                  <w:tcW w:w="914" w:type="pct"/>
                  <w:vMerge w:val="restart"/>
                  <w:shd w:val="clear" w:color="auto" w:fill="auto"/>
                  <w:noWrap w:val="0"/>
                  <w:vAlign w:val="center"/>
                </w:tcPr>
                <w:p w14:paraId="32FF590A">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喷漆废气（</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w:t>
                  </w:r>
                </w:p>
              </w:tc>
              <w:tc>
                <w:tcPr>
                  <w:tcW w:w="879" w:type="pct"/>
                  <w:shd w:val="clear" w:color="auto" w:fill="auto"/>
                  <w:noWrap w:val="0"/>
                  <w:vAlign w:val="center"/>
                </w:tcPr>
                <w:p w14:paraId="4E346C8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颗粒物</w:t>
                  </w:r>
                </w:p>
              </w:tc>
              <w:tc>
                <w:tcPr>
                  <w:tcW w:w="1361" w:type="pct"/>
                  <w:vMerge w:val="restart"/>
                  <w:shd w:val="clear" w:color="auto" w:fill="auto"/>
                  <w:noWrap w:val="0"/>
                  <w:vAlign w:val="center"/>
                </w:tcPr>
                <w:p w14:paraId="17F3699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c>
                <w:tcPr>
                  <w:tcW w:w="1538" w:type="pct"/>
                  <w:shd w:val="clear" w:color="auto" w:fill="auto"/>
                  <w:noWrap w:val="0"/>
                  <w:vAlign w:val="center"/>
                </w:tcPr>
                <w:p w14:paraId="0566012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广东省《大气污染物排放限值》（DB44/27-2001）第二时段</w:t>
                  </w:r>
                  <w:r>
                    <w:rPr>
                      <w:rFonts w:hint="default" w:ascii="Times New Roman" w:hAnsi="Times New Roman" w:eastAsia="宋体" w:cs="Times New Roman"/>
                      <w:color w:val="auto"/>
                      <w:sz w:val="21"/>
                      <w:szCs w:val="21"/>
                      <w:highlight w:val="none"/>
                      <w:lang w:val="en-US" w:eastAsia="zh-CN"/>
                    </w:rPr>
                    <w:t>排放限值</w:t>
                  </w:r>
                </w:p>
              </w:tc>
            </w:tr>
            <w:tr w14:paraId="58D3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897353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6FE6E1E8">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6AA0507E">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非甲烷总烃</w:t>
                  </w:r>
                </w:p>
              </w:tc>
              <w:tc>
                <w:tcPr>
                  <w:tcW w:w="1361" w:type="pct"/>
                  <w:vMerge w:val="continue"/>
                  <w:noWrap w:val="0"/>
                  <w:vAlign w:val="center"/>
                </w:tcPr>
                <w:p w14:paraId="5E5497D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shd w:val="clear" w:color="auto" w:fill="auto"/>
                  <w:noWrap w:val="0"/>
                  <w:vAlign w:val="center"/>
                </w:tcPr>
                <w:p w14:paraId="25CDD75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0923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BDCA8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7B003A9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649F448E">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苯系物</w:t>
                  </w:r>
                </w:p>
              </w:tc>
              <w:tc>
                <w:tcPr>
                  <w:tcW w:w="1361" w:type="pct"/>
                  <w:vMerge w:val="continue"/>
                  <w:noWrap w:val="0"/>
                  <w:vAlign w:val="center"/>
                </w:tcPr>
                <w:p w14:paraId="58DBE63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vMerge w:val="restart"/>
                  <w:noWrap w:val="0"/>
                  <w:vAlign w:val="center"/>
                </w:tcPr>
                <w:p w14:paraId="5B008B69">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7F28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0734745">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7C91BBB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5438DEC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臭气浓度</w:t>
                  </w:r>
                </w:p>
              </w:tc>
              <w:tc>
                <w:tcPr>
                  <w:tcW w:w="1361" w:type="pct"/>
                  <w:vMerge w:val="continue"/>
                  <w:noWrap w:val="0"/>
                  <w:vAlign w:val="center"/>
                </w:tcPr>
                <w:p w14:paraId="6E729FC3">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vMerge w:val="continue"/>
                  <w:shd w:val="clear" w:color="auto" w:fill="auto"/>
                  <w:noWrap w:val="0"/>
                  <w:vAlign w:val="center"/>
                </w:tcPr>
                <w:p w14:paraId="5D819CFD">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r>
            <w:tr w14:paraId="5ED9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5E0E1E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25AAEF96">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固化废气（</w:t>
                  </w:r>
                  <w:r>
                    <w:rPr>
                      <w:rFonts w:hint="eastAsia" w:cs="Times New Roman"/>
                      <w:color w:val="auto"/>
                      <w:sz w:val="21"/>
                      <w:szCs w:val="21"/>
                      <w:highlight w:val="none"/>
                      <w:lang w:val="en-US" w:eastAsia="zh-CN"/>
                    </w:rPr>
                    <w:t>DA002</w:t>
                  </w:r>
                  <w:r>
                    <w:rPr>
                      <w:rFonts w:hint="eastAsia" w:ascii="Times New Roman" w:hAnsi="Times New Roman" w:eastAsia="宋体" w:cs="Times New Roman"/>
                      <w:color w:val="auto"/>
                      <w:sz w:val="21"/>
                      <w:szCs w:val="21"/>
                      <w:highlight w:val="none"/>
                      <w:lang w:val="en-US" w:eastAsia="zh-CN"/>
                    </w:rPr>
                    <w:t>）</w:t>
                  </w:r>
                </w:p>
              </w:tc>
              <w:tc>
                <w:tcPr>
                  <w:tcW w:w="879" w:type="pct"/>
                  <w:noWrap w:val="0"/>
                  <w:vAlign w:val="center"/>
                </w:tcPr>
                <w:p w14:paraId="15A8CB8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非甲烷总烃</w:t>
                  </w:r>
                </w:p>
              </w:tc>
              <w:tc>
                <w:tcPr>
                  <w:tcW w:w="1361" w:type="pct"/>
                  <w:vMerge w:val="restart"/>
                  <w:noWrap w:val="0"/>
                  <w:vAlign w:val="center"/>
                </w:tcPr>
                <w:p w14:paraId="0B893AF7">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olor w:val="auto"/>
                      <w:lang w:val="en-US" w:eastAsia="zh-CN"/>
                    </w:rPr>
                    <w:t>二级活性炭吸附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c>
                <w:tcPr>
                  <w:tcW w:w="1538" w:type="pct"/>
                  <w:noWrap w:val="0"/>
                  <w:vAlign w:val="center"/>
                </w:tcPr>
                <w:p w14:paraId="7D2A2E4B">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2653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82B12A0">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B1C589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noWrap w:val="0"/>
                  <w:vAlign w:val="center"/>
                </w:tcPr>
                <w:p w14:paraId="7A67B5C0">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臭气浓度</w:t>
                  </w:r>
                </w:p>
              </w:tc>
              <w:tc>
                <w:tcPr>
                  <w:tcW w:w="1361" w:type="pct"/>
                  <w:vMerge w:val="continue"/>
                  <w:noWrap w:val="0"/>
                  <w:vAlign w:val="center"/>
                </w:tcPr>
                <w:p w14:paraId="074007D9">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noWrap w:val="0"/>
                  <w:vAlign w:val="center"/>
                </w:tcPr>
                <w:p w14:paraId="2E1D3089">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006E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26B9B9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4DEFD47">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noWrap w:val="0"/>
                  <w:vAlign w:val="center"/>
                </w:tcPr>
                <w:p w14:paraId="2EA8D972">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rPr>
                    <w:t>氮氧化物、二氧化硫</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w:t>
                  </w:r>
                </w:p>
              </w:tc>
              <w:tc>
                <w:tcPr>
                  <w:tcW w:w="1361" w:type="pct"/>
                  <w:vMerge w:val="continue"/>
                  <w:noWrap w:val="0"/>
                  <w:vAlign w:val="center"/>
                </w:tcPr>
                <w:p w14:paraId="347C7D6B">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noWrap w:val="0"/>
                  <w:vAlign w:val="center"/>
                </w:tcPr>
                <w:p w14:paraId="417AC02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根据《关于印发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工业炉窑大气污染综合治理方案</w:t>
                  </w:r>
                  <w:r>
                    <w:rPr>
                      <w:rFonts w:hint="default" w:ascii="Times New Roman" w:hAnsi="Times New Roman" w:eastAsia="宋体"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（环大气〔2019〕56号）和《关于贯彻落实</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工业炉窑大气污染物综合治理方案</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的实施意见》（粤环函〔2019〕1112号），废气按照颗粒物、二氧化硫、氮氧化物排放限值分别不高于30、200、300毫克/立方米控制</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687E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D2E800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519" w:type="dxa"/>
                  <w:vMerge w:val="restart"/>
                  <w:noWrap w:val="0"/>
                  <w:vAlign w:val="center"/>
                </w:tcPr>
                <w:p w14:paraId="170726BF">
                  <w:pPr>
                    <w:adjustRightInd w:val="0"/>
                    <w:snapToGrid w:val="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表面预处理废气（DA003）</w:t>
                  </w:r>
                </w:p>
              </w:tc>
              <w:tc>
                <w:tcPr>
                  <w:tcW w:w="1461" w:type="dxa"/>
                  <w:noWrap w:val="0"/>
                  <w:vAlign w:val="center"/>
                </w:tcPr>
                <w:p w14:paraId="35878B18">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燃烧废气</w:t>
                  </w:r>
                </w:p>
              </w:tc>
              <w:tc>
                <w:tcPr>
                  <w:tcW w:w="2262" w:type="dxa"/>
                  <w:vMerge w:val="restart"/>
                  <w:noWrap w:val="0"/>
                  <w:vAlign w:val="center"/>
                </w:tcPr>
                <w:p w14:paraId="3B7F47B7">
                  <w:pPr>
                    <w:adjustRightInd w:val="0"/>
                    <w:snapToGrid w:val="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密闭收集+碱液喷淋后通过15m排气筒高空排放（DA003）</w:t>
                  </w:r>
                </w:p>
              </w:tc>
              <w:tc>
                <w:tcPr>
                  <w:tcW w:w="2557" w:type="dxa"/>
                  <w:noWrap w:val="0"/>
                  <w:vAlign w:val="center"/>
                </w:tcPr>
                <w:p w14:paraId="0AA2FB70">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5CAE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506997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519" w:type="dxa"/>
                  <w:vMerge w:val="continue"/>
                  <w:noWrap w:val="0"/>
                  <w:vAlign w:val="center"/>
                </w:tcPr>
                <w:p w14:paraId="6342D82C">
                  <w:pPr>
                    <w:adjustRightInd w:val="0"/>
                    <w:snapToGrid w:val="0"/>
                    <w:jc w:val="center"/>
                    <w:rPr>
                      <w:rFonts w:hint="default" w:ascii="Times New Roman" w:hAnsi="Times New Roman" w:eastAsia="宋体" w:cs="Times New Roman"/>
                      <w:color w:val="auto"/>
                      <w:sz w:val="21"/>
                      <w:szCs w:val="21"/>
                      <w:highlight w:val="none"/>
                    </w:rPr>
                  </w:pPr>
                </w:p>
              </w:tc>
              <w:tc>
                <w:tcPr>
                  <w:tcW w:w="1461" w:type="dxa"/>
                  <w:noWrap w:val="0"/>
                  <w:vAlign w:val="center"/>
                </w:tcPr>
                <w:p w14:paraId="0F96F939">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p>
              </w:tc>
              <w:tc>
                <w:tcPr>
                  <w:tcW w:w="2262" w:type="dxa"/>
                  <w:vMerge w:val="continue"/>
                  <w:noWrap w:val="0"/>
                  <w:vAlign w:val="center"/>
                </w:tcPr>
                <w:p w14:paraId="677A04AC">
                  <w:pPr>
                    <w:adjustRightInd w:val="0"/>
                    <w:snapToGrid w:val="0"/>
                    <w:jc w:val="center"/>
                    <w:rPr>
                      <w:rFonts w:hint="default" w:ascii="Times New Roman" w:hAnsi="Times New Roman" w:eastAsia="宋体" w:cs="Times New Roman"/>
                      <w:color w:val="auto"/>
                      <w:sz w:val="21"/>
                      <w:szCs w:val="21"/>
                      <w:highlight w:val="none"/>
                    </w:rPr>
                  </w:pPr>
                </w:p>
              </w:tc>
              <w:tc>
                <w:tcPr>
                  <w:tcW w:w="2557" w:type="dxa"/>
                  <w:noWrap w:val="0"/>
                  <w:vAlign w:val="center"/>
                </w:tcPr>
                <w:p w14:paraId="5C710B0F">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w:t>
                  </w:r>
                </w:p>
              </w:tc>
            </w:tr>
            <w:tr w14:paraId="3D32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311349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38C3F78">
                  <w:pPr>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职工生活</w:t>
                  </w:r>
                </w:p>
              </w:tc>
              <w:tc>
                <w:tcPr>
                  <w:tcW w:w="879" w:type="pct"/>
                  <w:noWrap w:val="0"/>
                  <w:vAlign w:val="center"/>
                </w:tcPr>
                <w:p w14:paraId="65607A85">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食堂油烟</w:t>
                  </w:r>
                </w:p>
              </w:tc>
              <w:tc>
                <w:tcPr>
                  <w:tcW w:w="1361" w:type="pct"/>
                  <w:noWrap w:val="0"/>
                  <w:vAlign w:val="center"/>
                </w:tcPr>
                <w:p w14:paraId="7A414EEF">
                  <w:pPr>
                    <w:adjustRightInd w:val="0"/>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经收集后引至高效静电油烟净化器处理，处理达标后尾气引至</w:t>
                  </w:r>
                  <w:r>
                    <w:rPr>
                      <w:rFonts w:hint="eastAsia" w:ascii="Times New Roman" w:hAnsi="Times New Roman" w:eastAsia="宋体" w:cs="Times New Roman"/>
                      <w:color w:val="auto"/>
                      <w:sz w:val="21"/>
                      <w:szCs w:val="21"/>
                      <w:highlight w:val="none"/>
                      <w:lang w:val="en-US" w:eastAsia="zh-CN"/>
                    </w:rPr>
                    <w:t>宿舍楼一层楼顶</w:t>
                  </w:r>
                  <w:r>
                    <w:rPr>
                      <w:rFonts w:hint="default" w:ascii="Times New Roman" w:hAnsi="Times New Roman" w:eastAsia="宋体" w:cs="Times New Roman"/>
                      <w:color w:val="auto"/>
                      <w:sz w:val="21"/>
                      <w:szCs w:val="21"/>
                      <w:highlight w:val="none"/>
                      <w:lang w:eastAsia="zh-CN"/>
                    </w:rPr>
                    <w:t>排放（</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p>
              </w:tc>
              <w:tc>
                <w:tcPr>
                  <w:tcW w:w="1538" w:type="pct"/>
                  <w:noWrap w:val="0"/>
                  <w:vAlign w:val="center"/>
                </w:tcPr>
                <w:p w14:paraId="538EE39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达到《饮食业油烟排放标准</w:t>
                  </w:r>
                  <w:r>
                    <w:rPr>
                      <w:rFonts w:hint="eastAsia" w:ascii="Times New Roman" w:hAnsi="Times New Roman" w:eastAsia="宋体" w:cs="Times New Roman"/>
                      <w:color w:val="auto"/>
                      <w:sz w:val="21"/>
                      <w:szCs w:val="21"/>
                      <w:highlight w:val="none"/>
                      <w:lang w:eastAsia="zh-CN"/>
                    </w:rPr>
                    <w:t>（试行）》</w:t>
                  </w:r>
                  <w:r>
                    <w:rPr>
                      <w:rFonts w:hint="default" w:ascii="Times New Roman" w:hAnsi="Times New Roman" w:eastAsia="宋体" w:cs="Times New Roman"/>
                      <w:color w:val="auto"/>
                      <w:sz w:val="21"/>
                      <w:szCs w:val="21"/>
                      <w:highlight w:val="none"/>
                    </w:rPr>
                    <w:t>（GB18483-2001）</w:t>
                  </w:r>
                  <w:r>
                    <w:rPr>
                      <w:rFonts w:hint="eastAsia" w:ascii="Times New Roman" w:hAnsi="Times New Roman" w:eastAsia="宋体" w:cs="Times New Roman"/>
                      <w:color w:val="auto"/>
                      <w:sz w:val="21"/>
                      <w:szCs w:val="21"/>
                      <w:highlight w:val="none"/>
                      <w:lang w:val="en-US" w:eastAsia="zh-CN"/>
                    </w:rPr>
                    <w:t>中型</w:t>
                  </w:r>
                  <w:r>
                    <w:rPr>
                      <w:rFonts w:hint="default" w:ascii="Times New Roman" w:hAnsi="Times New Roman" w:eastAsia="宋体" w:cs="Times New Roman"/>
                      <w:color w:val="auto"/>
                      <w:sz w:val="21"/>
                      <w:szCs w:val="21"/>
                      <w:highlight w:val="none"/>
                    </w:rPr>
                    <w:t>规模标准</w:t>
                  </w:r>
                </w:p>
              </w:tc>
            </w:tr>
            <w:tr w14:paraId="7E99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4ACC1F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6494AC1A">
                  <w:pPr>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sz w:val="21"/>
                      <w:szCs w:val="21"/>
                      <w:highlight w:val="none"/>
                      <w:lang w:val="en-US" w:eastAsia="zh-CN"/>
                    </w:rPr>
                    <w:t>无组织</w:t>
                  </w:r>
                </w:p>
              </w:tc>
              <w:tc>
                <w:tcPr>
                  <w:tcW w:w="879" w:type="pct"/>
                  <w:noWrap w:val="0"/>
                  <w:vAlign w:val="center"/>
                </w:tcPr>
                <w:p w14:paraId="4F73D20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颗粒物</w:t>
                  </w:r>
                </w:p>
              </w:tc>
              <w:tc>
                <w:tcPr>
                  <w:tcW w:w="1361" w:type="pct"/>
                  <w:noWrap w:val="0"/>
                  <w:vAlign w:val="center"/>
                </w:tcPr>
                <w:p w14:paraId="1959E00E">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未被收集的切割粉尘、焊接烟尘、抛光打磨粉尘于车间内无组织排放，并加强厂内通风</w:t>
                  </w:r>
                </w:p>
              </w:tc>
              <w:tc>
                <w:tcPr>
                  <w:tcW w:w="1538" w:type="pct"/>
                  <w:noWrap w:val="0"/>
                  <w:vAlign w:val="center"/>
                </w:tcPr>
                <w:p w14:paraId="3300F580">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广东省《大气污染物排放限值》（DB44/27-2001）第二时段无组织排放监控浓度限值</w:t>
                  </w:r>
                </w:p>
              </w:tc>
            </w:tr>
            <w:tr w14:paraId="2B91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D09DECD">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3233C44C">
                  <w:pPr>
                    <w:adjustRightInd w:val="0"/>
                    <w:snapToGrid w:val="0"/>
                    <w:jc w:val="center"/>
                    <w:rPr>
                      <w:rFonts w:hint="default" w:ascii="Times New Roman" w:hAnsi="Times New Roman" w:eastAsia="宋体" w:cs="Times New Roman"/>
                      <w:color w:val="auto"/>
                      <w:sz w:val="21"/>
                      <w:szCs w:val="21"/>
                      <w:highlight w:val="none"/>
                    </w:rPr>
                  </w:pPr>
                </w:p>
              </w:tc>
              <w:tc>
                <w:tcPr>
                  <w:tcW w:w="879" w:type="pct"/>
                  <w:noWrap w:val="0"/>
                  <w:vAlign w:val="center"/>
                </w:tcPr>
                <w:p w14:paraId="3993637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非甲烷总烃</w:t>
                  </w:r>
                </w:p>
              </w:tc>
              <w:tc>
                <w:tcPr>
                  <w:tcW w:w="1361" w:type="pct"/>
                  <w:noWrap w:val="0"/>
                  <w:vAlign w:val="center"/>
                </w:tcPr>
                <w:p w14:paraId="272F3E1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1538" w:type="pct"/>
                  <w:noWrap w:val="0"/>
                  <w:vAlign w:val="center"/>
                </w:tcPr>
                <w:p w14:paraId="70C63B94">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color w:val="auto"/>
                      <w:sz w:val="21"/>
                      <w:szCs w:val="21"/>
                    </w:rPr>
                    <w:t>广东省《固定污染源挥发性有机物综合排放标准》（DB44/2367-2022）中表3VOCs无组织排放限值</w:t>
                  </w:r>
                </w:p>
              </w:tc>
            </w:tr>
            <w:tr w14:paraId="6409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D81777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28A892B7">
                  <w:pPr>
                    <w:adjustRightInd w:val="0"/>
                    <w:snapToGrid w:val="0"/>
                    <w:jc w:val="center"/>
                    <w:rPr>
                      <w:rFonts w:hint="default" w:ascii="Times New Roman" w:hAnsi="Times New Roman" w:eastAsia="宋体" w:cs="Times New Roman"/>
                      <w:color w:val="auto"/>
                      <w:sz w:val="21"/>
                      <w:szCs w:val="21"/>
                      <w:highlight w:val="none"/>
                    </w:rPr>
                  </w:pPr>
                </w:p>
              </w:tc>
              <w:tc>
                <w:tcPr>
                  <w:tcW w:w="879" w:type="pct"/>
                  <w:noWrap w:val="0"/>
                  <w:vAlign w:val="center"/>
                </w:tcPr>
                <w:p w14:paraId="061F6C6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苯系物</w:t>
                  </w:r>
                  <w:r>
                    <w:rPr>
                      <w:rFonts w:hint="eastAsia" w:cs="Times New Roman"/>
                      <w:color w:val="auto"/>
                      <w:kern w:val="2"/>
                      <w:sz w:val="21"/>
                      <w:szCs w:val="21"/>
                      <w:highlight w:val="none"/>
                      <w:lang w:val="en-US" w:eastAsia="zh-CN" w:bidi="ar-SA"/>
                    </w:rPr>
                    <w:t>、氟化物</w:t>
                  </w:r>
                </w:p>
              </w:tc>
              <w:tc>
                <w:tcPr>
                  <w:tcW w:w="1361" w:type="pct"/>
                  <w:noWrap w:val="0"/>
                  <w:vAlign w:val="center"/>
                </w:tcPr>
                <w:p w14:paraId="7B6BAE67">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1538" w:type="pct"/>
                  <w:noWrap w:val="0"/>
                  <w:vAlign w:val="center"/>
                </w:tcPr>
                <w:p w14:paraId="408D924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广东省《大气污染物排放限值》（DB44/27-2001）第二时段无组织排放监控浓度限值</w:t>
                  </w:r>
                </w:p>
              </w:tc>
            </w:tr>
            <w:tr w14:paraId="67CF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9C1687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FD4E6B7">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CA8729C">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en-US"/>
                    </w:rPr>
                  </w:pPr>
                  <w:r>
                    <w:rPr>
                      <w:rFonts w:hint="default" w:ascii="Times New Roman" w:hAnsi="Times New Roman" w:eastAsia="宋体" w:cs="Times New Roman"/>
                      <w:color w:val="auto"/>
                      <w:kern w:val="2"/>
                      <w:sz w:val="21"/>
                      <w:szCs w:val="21"/>
                      <w:highlight w:val="none"/>
                      <w:lang w:val="en-US" w:eastAsia="zh-CN" w:bidi="ar-SA"/>
                    </w:rPr>
                    <w:t>臭气浓度、硫化氢、氨气</w:t>
                  </w:r>
                </w:p>
              </w:tc>
              <w:tc>
                <w:tcPr>
                  <w:tcW w:w="1361" w:type="pct"/>
                  <w:noWrap w:val="0"/>
                  <w:vAlign w:val="center"/>
                </w:tcPr>
                <w:p w14:paraId="783E5031">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采取加盖密闭、加强通风</w:t>
                  </w:r>
                </w:p>
              </w:tc>
              <w:tc>
                <w:tcPr>
                  <w:tcW w:w="1538" w:type="pct"/>
                  <w:noWrap w:val="0"/>
                  <w:vAlign w:val="center"/>
                </w:tcPr>
                <w:p w14:paraId="0E0BFC5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《恶臭污染物排放标准》(GB14554-93)表1二级标准中“新改扩建”限值要求</w:t>
                  </w:r>
                </w:p>
              </w:tc>
            </w:tr>
            <w:tr w14:paraId="1509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557B1019">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固废</w:t>
                  </w:r>
                </w:p>
              </w:tc>
              <w:tc>
                <w:tcPr>
                  <w:tcW w:w="914" w:type="pct"/>
                  <w:vMerge w:val="restart"/>
                  <w:noWrap w:val="0"/>
                  <w:vAlign w:val="center"/>
                </w:tcPr>
                <w:p w14:paraId="7603C4A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员工生活办公</w:t>
                  </w:r>
                </w:p>
              </w:tc>
              <w:tc>
                <w:tcPr>
                  <w:tcW w:w="879" w:type="pct"/>
                  <w:tcBorders>
                    <w:bottom w:val="single" w:color="000000" w:sz="4" w:space="0"/>
                  </w:tcBorders>
                  <w:noWrap w:val="0"/>
                  <w:vAlign w:val="center"/>
                </w:tcPr>
                <w:p w14:paraId="0953914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1361" w:type="pct"/>
                  <w:tcBorders>
                    <w:bottom w:val="single" w:color="000000" w:sz="4" w:space="0"/>
                  </w:tcBorders>
                  <w:noWrap w:val="0"/>
                  <w:vAlign w:val="center"/>
                </w:tcPr>
                <w:p w14:paraId="606AE9BC">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环卫部门清运</w:t>
                  </w:r>
                </w:p>
              </w:tc>
              <w:tc>
                <w:tcPr>
                  <w:tcW w:w="1538" w:type="pct"/>
                  <w:vMerge w:val="restart"/>
                  <w:noWrap w:val="0"/>
                  <w:vAlign w:val="center"/>
                </w:tcPr>
                <w:p w14:paraId="23BB2BF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一般工业固体废物在厂内采用库房或包装工具贮存，贮存过程应满足相应防渗漏、防雨淋、防扬尘等环境保护要求；危险废物污染控制标准执行《危险废物贮存污染控制标准》（GB18597-2023）</w:t>
                  </w:r>
                </w:p>
              </w:tc>
            </w:tr>
            <w:tr w14:paraId="2142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468F1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14A5CB58">
                  <w:pPr>
                    <w:widowControl/>
                    <w:spacing w:line="240" w:lineRule="auto"/>
                    <w:jc w:val="center"/>
                    <w:rPr>
                      <w:rFonts w:hint="default" w:ascii="Times New Roman" w:hAnsi="Times New Roman" w:eastAsia="宋体" w:cs="Times New Roman"/>
                      <w:color w:val="auto"/>
                      <w:sz w:val="21"/>
                      <w:szCs w:val="21"/>
                      <w:highlight w:val="none"/>
                      <w:lang w:val="en-US"/>
                    </w:rPr>
                  </w:pPr>
                </w:p>
              </w:tc>
              <w:tc>
                <w:tcPr>
                  <w:tcW w:w="879" w:type="pct"/>
                  <w:tcBorders>
                    <w:bottom w:val="single" w:color="000000" w:sz="4" w:space="0"/>
                  </w:tcBorders>
                  <w:noWrap w:val="0"/>
                  <w:vAlign w:val="center"/>
                </w:tcPr>
                <w:p w14:paraId="7F455540">
                  <w:pPr>
                    <w:widowControl/>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废油脂</w:t>
                  </w:r>
                </w:p>
              </w:tc>
              <w:tc>
                <w:tcPr>
                  <w:tcW w:w="1361" w:type="pct"/>
                  <w:tcBorders>
                    <w:bottom w:val="single" w:color="000000" w:sz="4" w:space="0"/>
                  </w:tcBorders>
                  <w:noWrap w:val="0"/>
                  <w:vAlign w:val="center"/>
                </w:tcPr>
                <w:p w14:paraId="31F5B56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专业单位进行回收处置</w:t>
                  </w:r>
                </w:p>
              </w:tc>
              <w:tc>
                <w:tcPr>
                  <w:tcW w:w="1538" w:type="pct"/>
                  <w:vMerge w:val="continue"/>
                  <w:noWrap w:val="0"/>
                  <w:vAlign w:val="center"/>
                </w:tcPr>
                <w:p w14:paraId="3246833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058C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0287C4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7DE4FFF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钣金加工</w:t>
                  </w:r>
                </w:p>
              </w:tc>
              <w:tc>
                <w:tcPr>
                  <w:tcW w:w="879" w:type="pct"/>
                  <w:noWrap w:val="0"/>
                  <w:vAlign w:val="center"/>
                </w:tcPr>
                <w:p w14:paraId="0A48C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p>
              </w:tc>
              <w:tc>
                <w:tcPr>
                  <w:tcW w:w="1361" w:type="pct"/>
                  <w:vMerge w:val="restart"/>
                  <w:noWrap w:val="0"/>
                  <w:vAlign w:val="center"/>
                </w:tcPr>
                <w:p w14:paraId="5C91CE7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交由资源回收利用单位</w:t>
                  </w:r>
                </w:p>
              </w:tc>
              <w:tc>
                <w:tcPr>
                  <w:tcW w:w="1538" w:type="pct"/>
                  <w:vMerge w:val="continue"/>
                  <w:noWrap w:val="0"/>
                  <w:vAlign w:val="center"/>
                </w:tcPr>
                <w:p w14:paraId="1E6116DA">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3DC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78CD056">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3A918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辅料拆包/成品包装</w:t>
                  </w:r>
                </w:p>
              </w:tc>
              <w:tc>
                <w:tcPr>
                  <w:tcW w:w="879" w:type="pct"/>
                  <w:noWrap w:val="0"/>
                  <w:vAlign w:val="center"/>
                </w:tcPr>
                <w:p w14:paraId="7961FE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p>
              </w:tc>
              <w:tc>
                <w:tcPr>
                  <w:tcW w:w="1361" w:type="pct"/>
                  <w:vMerge w:val="continue"/>
                  <w:noWrap w:val="0"/>
                  <w:vAlign w:val="center"/>
                </w:tcPr>
                <w:p w14:paraId="5C51400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64A5E1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A68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1C40A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410A6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废气处理</w:t>
                  </w:r>
                </w:p>
              </w:tc>
              <w:tc>
                <w:tcPr>
                  <w:tcW w:w="879" w:type="pct"/>
                  <w:noWrap w:val="0"/>
                  <w:vAlign w:val="center"/>
                </w:tcPr>
                <w:p w14:paraId="4966F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废滤芯、废催化剂</w:t>
                  </w:r>
                </w:p>
              </w:tc>
              <w:tc>
                <w:tcPr>
                  <w:tcW w:w="1361" w:type="pct"/>
                  <w:vMerge w:val="continue"/>
                  <w:noWrap w:val="0"/>
                  <w:vAlign w:val="center"/>
                </w:tcPr>
                <w:p w14:paraId="3A5243C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4C7492B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031E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7217387">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BD50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402C3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沉降金属粉尘</w:t>
                  </w:r>
                </w:p>
              </w:tc>
              <w:tc>
                <w:tcPr>
                  <w:tcW w:w="1361" w:type="pct"/>
                  <w:vMerge w:val="continue"/>
                  <w:noWrap w:val="0"/>
                  <w:vAlign w:val="center"/>
                </w:tcPr>
                <w:p w14:paraId="78CD491F">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16F760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D94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F0B7150">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59426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脱脂、水洗、无铬钝化</w:t>
                  </w:r>
                </w:p>
              </w:tc>
              <w:tc>
                <w:tcPr>
                  <w:tcW w:w="879" w:type="pct"/>
                  <w:noWrap w:val="0"/>
                  <w:vAlign w:val="center"/>
                </w:tcPr>
                <w:p w14:paraId="442E7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1361" w:type="pct"/>
                  <w:vMerge w:val="restart"/>
                  <w:noWrap w:val="0"/>
                  <w:vAlign w:val="center"/>
                </w:tcPr>
                <w:p w14:paraId="4A3B11DB">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委托有资质的单位进行回收处理</w:t>
                  </w:r>
                </w:p>
              </w:tc>
              <w:tc>
                <w:tcPr>
                  <w:tcW w:w="1538" w:type="pct"/>
                  <w:vMerge w:val="continue"/>
                  <w:noWrap w:val="0"/>
                  <w:vAlign w:val="center"/>
                </w:tcPr>
                <w:p w14:paraId="5AD022F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53FA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2C4513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331F5A3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3650FD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1361" w:type="pct"/>
                  <w:vMerge w:val="continue"/>
                  <w:noWrap w:val="0"/>
                  <w:vAlign w:val="center"/>
                </w:tcPr>
                <w:p w14:paraId="7007191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FF2FBD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A64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D6BF05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2544A1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01BBD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1361" w:type="pct"/>
                  <w:vMerge w:val="continue"/>
                  <w:noWrap w:val="0"/>
                  <w:vAlign w:val="center"/>
                </w:tcPr>
                <w:p w14:paraId="7E4A2E2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08BC4D4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D99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0DA70E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11380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废水处理设施</w:t>
                  </w:r>
                </w:p>
              </w:tc>
              <w:tc>
                <w:tcPr>
                  <w:tcW w:w="879" w:type="pct"/>
                  <w:noWrap w:val="0"/>
                  <w:vAlign w:val="center"/>
                </w:tcPr>
                <w:p w14:paraId="3D736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1361" w:type="pct"/>
                  <w:vMerge w:val="continue"/>
                  <w:noWrap w:val="0"/>
                  <w:vAlign w:val="center"/>
                </w:tcPr>
                <w:p w14:paraId="2F7B764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E43C2C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4CEC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4DA66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2CD830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4CB2B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1361" w:type="pct"/>
                  <w:vMerge w:val="continue"/>
                  <w:noWrap w:val="0"/>
                  <w:vAlign w:val="center"/>
                </w:tcPr>
                <w:p w14:paraId="69867AF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7B508187">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ADD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30F03D2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72FD1B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废气治理设施</w:t>
                  </w:r>
                </w:p>
              </w:tc>
              <w:tc>
                <w:tcPr>
                  <w:tcW w:w="879" w:type="pct"/>
                  <w:noWrap w:val="0"/>
                  <w:vAlign w:val="center"/>
                </w:tcPr>
                <w:p w14:paraId="5B4AD1C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废活性炭、废粉末涂料、废过滤棉、喷淋废液及沉渣、</w:t>
                  </w:r>
                  <w:r>
                    <w:rPr>
                      <w:rFonts w:hint="eastAsia" w:ascii="Times New Roman" w:hAnsi="Times New Roman" w:cs="Times New Roman"/>
                      <w:color w:val="auto"/>
                      <w:szCs w:val="21"/>
                      <w:lang w:val="en-US" w:eastAsia="zh-CN"/>
                    </w:rPr>
                    <w:t>废静电喷粉滤芯</w:t>
                  </w:r>
                </w:p>
              </w:tc>
              <w:tc>
                <w:tcPr>
                  <w:tcW w:w="1361" w:type="pct"/>
                  <w:vMerge w:val="continue"/>
                  <w:noWrap w:val="0"/>
                  <w:vAlign w:val="center"/>
                </w:tcPr>
                <w:p w14:paraId="3BD472D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69D3C2A4">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66E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F24389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4159D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设备维护保养</w:t>
                  </w:r>
                  <w:r>
                    <w:rPr>
                      <w:rFonts w:hint="default" w:ascii="Times New Roman" w:hAnsi="Times New Roman" w:eastAsia="宋体" w:cs="Times New Roman"/>
                      <w:i w:val="0"/>
                      <w:iCs w:val="0"/>
                      <w:color w:val="auto"/>
                      <w:kern w:val="0"/>
                      <w:sz w:val="21"/>
                      <w:szCs w:val="21"/>
                      <w:highlight w:val="none"/>
                      <w:u w:val="none"/>
                      <w:lang w:val="en-US" w:eastAsia="zh-CN" w:bidi="ar"/>
                    </w:rPr>
                    <w:t>设备保养</w:t>
                  </w:r>
                </w:p>
              </w:tc>
              <w:tc>
                <w:tcPr>
                  <w:tcW w:w="879" w:type="pct"/>
                  <w:noWrap w:val="0"/>
                  <w:vAlign w:val="center"/>
                </w:tcPr>
                <w:p w14:paraId="44C84A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1361" w:type="pct"/>
                  <w:vMerge w:val="continue"/>
                  <w:noWrap w:val="0"/>
                  <w:vAlign w:val="center"/>
                </w:tcPr>
                <w:p w14:paraId="5A182CB2">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D339DEA">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A0B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5316D5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9476DF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5E16D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1361" w:type="pct"/>
                  <w:vMerge w:val="continue"/>
                  <w:noWrap w:val="0"/>
                  <w:vAlign w:val="center"/>
                </w:tcPr>
                <w:p w14:paraId="0A22384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49DA73C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69D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A755D6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34B0B9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30750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喷枪清洗废液</w:t>
                  </w:r>
                </w:p>
              </w:tc>
              <w:tc>
                <w:tcPr>
                  <w:tcW w:w="1361" w:type="pct"/>
                  <w:vMerge w:val="continue"/>
                  <w:noWrap w:val="0"/>
                  <w:vAlign w:val="center"/>
                </w:tcPr>
                <w:p w14:paraId="30E49DF2">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51B9504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42E5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AB037E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600827CB">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9AD3D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1361" w:type="pct"/>
                  <w:vMerge w:val="continue"/>
                  <w:noWrap w:val="0"/>
                  <w:vAlign w:val="center"/>
                </w:tcPr>
                <w:p w14:paraId="3927D464">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1DD2EB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029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A7823E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35BD64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w:t>
                  </w:r>
                </w:p>
              </w:tc>
              <w:tc>
                <w:tcPr>
                  <w:tcW w:w="879" w:type="pct"/>
                  <w:noWrap w:val="0"/>
                  <w:vAlign w:val="center"/>
                </w:tcPr>
                <w:p w14:paraId="615FB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1361" w:type="pct"/>
                  <w:vMerge w:val="continue"/>
                  <w:noWrap w:val="0"/>
                  <w:vAlign w:val="center"/>
                </w:tcPr>
                <w:p w14:paraId="0012458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53B209E">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5E25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4EE82EB">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2741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709A75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1361" w:type="pct"/>
                  <w:vMerge w:val="continue"/>
                  <w:noWrap w:val="0"/>
                  <w:vAlign w:val="center"/>
                </w:tcPr>
                <w:p w14:paraId="36B256EF">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D526530">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EDB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15A4AB85">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噪声</w:t>
                  </w:r>
                </w:p>
              </w:tc>
              <w:tc>
                <w:tcPr>
                  <w:tcW w:w="1793" w:type="pct"/>
                  <w:gridSpan w:val="2"/>
                  <w:noWrap w:val="0"/>
                  <w:vAlign w:val="center"/>
                </w:tcPr>
                <w:p w14:paraId="68D0BA5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设备运行噪声</w:t>
                  </w:r>
                </w:p>
              </w:tc>
              <w:tc>
                <w:tcPr>
                  <w:tcW w:w="1361" w:type="pct"/>
                  <w:noWrap w:val="0"/>
                  <w:vAlign w:val="center"/>
                </w:tcPr>
                <w:p w14:paraId="10F9032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对必要设备采取减振、隔声等</w:t>
                  </w:r>
                </w:p>
              </w:tc>
              <w:tc>
                <w:tcPr>
                  <w:tcW w:w="1538" w:type="pct"/>
                  <w:noWrap w:val="0"/>
                  <w:vAlign w:val="center"/>
                </w:tcPr>
                <w:p w14:paraId="79276547">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西、北厂界</w:t>
                  </w:r>
                  <w:r>
                    <w:rPr>
                      <w:rFonts w:hint="default" w:ascii="Times New Roman" w:hAnsi="Times New Roman" w:eastAsia="宋体" w:cs="Times New Roman"/>
                      <w:color w:val="auto"/>
                      <w:sz w:val="21"/>
                      <w:szCs w:val="21"/>
                      <w:highlight w:val="none"/>
                      <w:lang w:val="en-US" w:eastAsia="zh-CN"/>
                    </w:rPr>
                    <w:t>执行《工业企业厂界环境噪声排放标准》（GB12348-2008）3类</w:t>
                  </w:r>
                  <w:r>
                    <w:rPr>
                      <w:rFonts w:hint="eastAsia" w:cs="Times New Roman"/>
                      <w:color w:val="auto"/>
                      <w:sz w:val="21"/>
                      <w:szCs w:val="21"/>
                      <w:highlight w:val="none"/>
                      <w:lang w:val="en-US" w:eastAsia="zh-CN"/>
                    </w:rPr>
                    <w:t>，东、南厂界执行</w:t>
                  </w:r>
                  <w:r>
                    <w:rPr>
                      <w:rFonts w:hint="default"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lang w:val="en-US" w:eastAsia="zh-CN"/>
                    </w:rPr>
                    <w:t>类标准</w:t>
                  </w:r>
                </w:p>
              </w:tc>
            </w:tr>
          </w:tbl>
          <w:p w14:paraId="20481BEC">
            <w:pPr>
              <w:pStyle w:val="76"/>
              <w:rPr>
                <w:rFonts w:hint="default" w:ascii="Times New Roman" w:hAnsi="Times New Roman" w:eastAsia="宋体" w:cs="Times New Roman"/>
                <w:color w:val="auto"/>
                <w:sz w:val="24"/>
                <w:highlight w:val="none"/>
              </w:rPr>
            </w:pPr>
          </w:p>
        </w:tc>
      </w:tr>
    </w:tbl>
    <w:p w14:paraId="2C591158">
      <w:pPr>
        <w:pStyle w:val="76"/>
        <w:rPr>
          <w:rFonts w:hint="eastAsia"/>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365DF2B">
      <w:pPr>
        <w:pStyle w:val="45"/>
        <w:jc w:val="center"/>
        <w:outlineLvl w:val="0"/>
        <w:rPr>
          <w:rFonts w:ascii="黑体" w:hAnsi="黑体" w:eastAsia="黑体"/>
          <w:snapToGrid w:val="0"/>
          <w:color w:val="auto"/>
          <w:sz w:val="30"/>
          <w:szCs w:val="30"/>
          <w:highlight w:val="none"/>
        </w:rPr>
      </w:pPr>
      <w:bookmarkStart w:id="36" w:name="_Toc24765"/>
      <w:bookmarkStart w:id="37" w:name="_Toc5281"/>
      <w:bookmarkStart w:id="38" w:name="_Toc7803"/>
      <w:bookmarkStart w:id="39" w:name="_Toc30264"/>
      <w:r>
        <w:rPr>
          <w:rFonts w:hint="eastAsia" w:ascii="黑体" w:hAnsi="黑体" w:eastAsia="黑体"/>
          <w:snapToGrid w:val="0"/>
          <w:color w:val="auto"/>
          <w:sz w:val="30"/>
          <w:szCs w:val="30"/>
          <w:highlight w:val="none"/>
        </w:rPr>
        <w:t>五、</w:t>
      </w:r>
      <w:bookmarkStart w:id="40" w:name="_Hlk54167917"/>
      <w:r>
        <w:rPr>
          <w:rFonts w:hint="eastAsia" w:ascii="黑体" w:hAnsi="黑体" w:eastAsia="黑体"/>
          <w:snapToGrid w:val="0"/>
          <w:color w:val="auto"/>
          <w:sz w:val="30"/>
          <w:szCs w:val="30"/>
          <w:highlight w:val="none"/>
        </w:rPr>
        <w:t>环境保护措施监督检查清单</w:t>
      </w:r>
      <w:bookmarkEnd w:id="36"/>
      <w:bookmarkEnd w:id="37"/>
      <w:bookmarkEnd w:id="38"/>
      <w:bookmarkEnd w:id="39"/>
      <w:bookmarkEnd w:id="40"/>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87"/>
        <w:gridCol w:w="970"/>
        <w:gridCol w:w="1560"/>
        <w:gridCol w:w="2085"/>
        <w:gridCol w:w="2175"/>
      </w:tblGrid>
      <w:tr w14:paraId="60A4E5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tcBorders>
              <w:tl2br w:val="single" w:color="auto" w:sz="4" w:space="0"/>
            </w:tcBorders>
            <w:noWrap w:val="0"/>
            <w:vAlign w:val="top"/>
          </w:tcPr>
          <w:p w14:paraId="19772E38">
            <w:pPr>
              <w:adjustRightInd w:val="0"/>
              <w:snapToGrid w:val="0"/>
              <w:jc w:val="right"/>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内容</w:t>
            </w:r>
          </w:p>
          <w:p w14:paraId="529E41BC">
            <w:pPr>
              <w:adjustRightInd w:val="0"/>
              <w:snapToGrid w:val="0"/>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要素</w:t>
            </w:r>
          </w:p>
        </w:tc>
        <w:tc>
          <w:tcPr>
            <w:tcW w:w="1457" w:type="dxa"/>
            <w:gridSpan w:val="2"/>
            <w:noWrap w:val="0"/>
            <w:vAlign w:val="center"/>
          </w:tcPr>
          <w:p w14:paraId="6A2C3AC3">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排放口(编号、名称)/污染源</w:t>
            </w:r>
          </w:p>
        </w:tc>
        <w:tc>
          <w:tcPr>
            <w:tcW w:w="1560" w:type="dxa"/>
            <w:noWrap w:val="0"/>
            <w:vAlign w:val="center"/>
          </w:tcPr>
          <w:p w14:paraId="202639B6">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污染物项目</w:t>
            </w:r>
          </w:p>
        </w:tc>
        <w:tc>
          <w:tcPr>
            <w:tcW w:w="2085" w:type="dxa"/>
            <w:noWrap w:val="0"/>
            <w:vAlign w:val="center"/>
          </w:tcPr>
          <w:p w14:paraId="36078948">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环境保护措施</w:t>
            </w:r>
          </w:p>
        </w:tc>
        <w:tc>
          <w:tcPr>
            <w:tcW w:w="2175" w:type="dxa"/>
            <w:noWrap w:val="0"/>
            <w:vAlign w:val="center"/>
          </w:tcPr>
          <w:p w14:paraId="6FD8ED99">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执行标准</w:t>
            </w:r>
          </w:p>
        </w:tc>
      </w:tr>
      <w:tr w14:paraId="08E27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restart"/>
            <w:noWrap w:val="0"/>
            <w:vAlign w:val="center"/>
          </w:tcPr>
          <w:p w14:paraId="775485B6">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457" w:type="dxa"/>
            <w:gridSpan w:val="2"/>
            <w:vMerge w:val="restart"/>
            <w:shd w:val="clear" w:color="auto" w:fill="auto"/>
            <w:noWrap w:val="0"/>
            <w:vAlign w:val="center"/>
          </w:tcPr>
          <w:p w14:paraId="3BD5C675">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喷漆废气（</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w:t>
            </w:r>
          </w:p>
        </w:tc>
        <w:tc>
          <w:tcPr>
            <w:tcW w:w="1560" w:type="dxa"/>
            <w:shd w:val="clear" w:color="auto" w:fill="auto"/>
            <w:noWrap w:val="0"/>
            <w:vAlign w:val="center"/>
          </w:tcPr>
          <w:p w14:paraId="0134FF3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颗粒物</w:t>
            </w:r>
          </w:p>
        </w:tc>
        <w:tc>
          <w:tcPr>
            <w:tcW w:w="2085" w:type="dxa"/>
            <w:vMerge w:val="restart"/>
            <w:shd w:val="clear" w:color="auto" w:fill="auto"/>
            <w:noWrap w:val="0"/>
            <w:vAlign w:val="center"/>
          </w:tcPr>
          <w:p w14:paraId="13C20419">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c>
          <w:tcPr>
            <w:tcW w:w="2175" w:type="dxa"/>
            <w:shd w:val="clear" w:color="auto" w:fill="auto"/>
            <w:noWrap w:val="0"/>
            <w:vAlign w:val="center"/>
          </w:tcPr>
          <w:p w14:paraId="68D6151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广东省《大气污染物排放限值》（DB44/27-2001）第二时段</w:t>
            </w:r>
            <w:r>
              <w:rPr>
                <w:rFonts w:hint="default" w:ascii="Times New Roman" w:hAnsi="Times New Roman" w:eastAsia="宋体" w:cs="Times New Roman"/>
                <w:color w:val="auto"/>
                <w:sz w:val="21"/>
                <w:szCs w:val="21"/>
                <w:highlight w:val="none"/>
                <w:lang w:val="en-US" w:eastAsia="zh-CN"/>
              </w:rPr>
              <w:t>排放限值</w:t>
            </w:r>
          </w:p>
        </w:tc>
      </w:tr>
      <w:tr w14:paraId="23E84E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523" w:type="dxa"/>
            <w:vMerge w:val="continue"/>
            <w:noWrap w:val="0"/>
            <w:vAlign w:val="center"/>
          </w:tcPr>
          <w:p w14:paraId="5913E1E6">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0AAD904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105E472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非甲烷总烃</w:t>
            </w:r>
          </w:p>
        </w:tc>
        <w:tc>
          <w:tcPr>
            <w:tcW w:w="2085" w:type="dxa"/>
            <w:vMerge w:val="continue"/>
            <w:noWrap w:val="0"/>
            <w:vAlign w:val="center"/>
          </w:tcPr>
          <w:p w14:paraId="4D7DB3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vMerge w:val="restart"/>
            <w:shd w:val="clear" w:color="auto" w:fill="auto"/>
            <w:noWrap w:val="0"/>
            <w:vAlign w:val="center"/>
          </w:tcPr>
          <w:p w14:paraId="3969FB1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6603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4DFD897">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F6D18C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23C1DCE2">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苯系物</w:t>
            </w:r>
          </w:p>
        </w:tc>
        <w:tc>
          <w:tcPr>
            <w:tcW w:w="2085" w:type="dxa"/>
            <w:vMerge w:val="continue"/>
            <w:noWrap w:val="0"/>
            <w:vAlign w:val="center"/>
          </w:tcPr>
          <w:p w14:paraId="3123C2C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vMerge w:val="continue"/>
            <w:noWrap w:val="0"/>
            <w:vAlign w:val="center"/>
          </w:tcPr>
          <w:p w14:paraId="73AF66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r>
      <w:tr w14:paraId="6EC54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0B402D">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7698D20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77D0019F">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臭气浓度</w:t>
            </w:r>
          </w:p>
        </w:tc>
        <w:tc>
          <w:tcPr>
            <w:tcW w:w="2085" w:type="dxa"/>
            <w:vMerge w:val="continue"/>
            <w:noWrap w:val="0"/>
            <w:vAlign w:val="center"/>
          </w:tcPr>
          <w:p w14:paraId="1FAFBBC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shd w:val="clear" w:color="auto" w:fill="auto"/>
            <w:noWrap w:val="0"/>
            <w:vAlign w:val="center"/>
          </w:tcPr>
          <w:p w14:paraId="322B1307">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5BDC3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F564F90">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5D73C43E">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固化废气（</w:t>
            </w:r>
            <w:r>
              <w:rPr>
                <w:rFonts w:hint="eastAsia" w:cs="Times New Roman"/>
                <w:color w:val="auto"/>
                <w:sz w:val="21"/>
                <w:szCs w:val="21"/>
                <w:highlight w:val="none"/>
                <w:lang w:val="en-US" w:eastAsia="zh-CN"/>
              </w:rPr>
              <w:t>DA002</w:t>
            </w:r>
            <w:r>
              <w:rPr>
                <w:rFonts w:hint="eastAsia" w:ascii="Times New Roman" w:hAnsi="Times New Roman" w:eastAsia="宋体" w:cs="Times New Roman"/>
                <w:color w:val="auto"/>
                <w:sz w:val="21"/>
                <w:szCs w:val="21"/>
                <w:highlight w:val="none"/>
                <w:lang w:val="en-US" w:eastAsia="zh-CN"/>
              </w:rPr>
              <w:t>）</w:t>
            </w:r>
          </w:p>
        </w:tc>
        <w:tc>
          <w:tcPr>
            <w:tcW w:w="1560" w:type="dxa"/>
            <w:noWrap w:val="0"/>
            <w:vAlign w:val="center"/>
          </w:tcPr>
          <w:p w14:paraId="2B503D7C">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r>
              <w:rPr>
                <w:rFonts w:hint="eastAsia" w:cs="Times New Roman"/>
                <w:color w:val="auto"/>
                <w:sz w:val="21"/>
                <w:szCs w:val="21"/>
                <w:highlight w:val="none"/>
                <w:lang w:val="en-US" w:eastAsia="zh-CN"/>
              </w:rPr>
              <w:t>、苯系物</w:t>
            </w:r>
          </w:p>
        </w:tc>
        <w:tc>
          <w:tcPr>
            <w:tcW w:w="2085" w:type="dxa"/>
            <w:vMerge w:val="restart"/>
            <w:noWrap w:val="0"/>
            <w:vAlign w:val="center"/>
          </w:tcPr>
          <w:p w14:paraId="6BB013D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olor w:val="auto"/>
                <w:lang w:val="en-US" w:eastAsia="zh-CN"/>
              </w:rPr>
              <w:t>二级活性炭吸附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c>
          <w:tcPr>
            <w:tcW w:w="2175" w:type="dxa"/>
            <w:shd w:val="clear" w:color="auto" w:fill="auto"/>
            <w:noWrap w:val="0"/>
            <w:vAlign w:val="center"/>
          </w:tcPr>
          <w:p w14:paraId="0D7DBBB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19822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051048F">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C9C3254">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60C6BFB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臭气浓度</w:t>
            </w:r>
          </w:p>
        </w:tc>
        <w:tc>
          <w:tcPr>
            <w:tcW w:w="2085" w:type="dxa"/>
            <w:vMerge w:val="continue"/>
            <w:noWrap w:val="0"/>
            <w:vAlign w:val="center"/>
          </w:tcPr>
          <w:p w14:paraId="6DAC66F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shd w:val="clear" w:color="auto" w:fill="auto"/>
            <w:noWrap w:val="0"/>
            <w:vAlign w:val="center"/>
          </w:tcPr>
          <w:p w14:paraId="490BBF7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w:t>
            </w:r>
          </w:p>
        </w:tc>
      </w:tr>
      <w:tr w14:paraId="59C32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1DD907C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3549FFE6">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153CC42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2085" w:type="dxa"/>
            <w:vMerge w:val="continue"/>
            <w:noWrap w:val="0"/>
            <w:vAlign w:val="center"/>
          </w:tcPr>
          <w:p w14:paraId="31C0C3BA">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vMerge w:val="restart"/>
            <w:shd w:val="clear" w:color="auto" w:fill="auto"/>
            <w:noWrap w:val="0"/>
            <w:vAlign w:val="center"/>
          </w:tcPr>
          <w:p w14:paraId="03D93AE2">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与《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4AB8D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0D0E476">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437BCD13">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5FF1409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氮氧化物、二氧化硫</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w:t>
            </w:r>
          </w:p>
        </w:tc>
        <w:tc>
          <w:tcPr>
            <w:tcW w:w="2085" w:type="dxa"/>
            <w:vMerge w:val="continue"/>
            <w:noWrap w:val="0"/>
            <w:vAlign w:val="center"/>
          </w:tcPr>
          <w:p w14:paraId="63275458">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vMerge w:val="continue"/>
            <w:noWrap w:val="0"/>
            <w:vAlign w:val="center"/>
          </w:tcPr>
          <w:p w14:paraId="47C23391">
            <w:pP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0724F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72836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2E2504B0">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表面预处理废气（DA003）</w:t>
            </w:r>
          </w:p>
        </w:tc>
        <w:tc>
          <w:tcPr>
            <w:tcW w:w="1560" w:type="dxa"/>
            <w:noWrap w:val="0"/>
            <w:vAlign w:val="center"/>
          </w:tcPr>
          <w:p w14:paraId="4FC1C6E9">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燃烧废气</w:t>
            </w:r>
          </w:p>
        </w:tc>
        <w:tc>
          <w:tcPr>
            <w:tcW w:w="2085" w:type="dxa"/>
            <w:vMerge w:val="restart"/>
            <w:noWrap w:val="0"/>
            <w:vAlign w:val="center"/>
          </w:tcPr>
          <w:p w14:paraId="64217E16">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密闭收集+碱液喷淋后通过15m排气筒高空排放（DA003）</w:t>
            </w:r>
          </w:p>
        </w:tc>
        <w:tc>
          <w:tcPr>
            <w:tcW w:w="2175" w:type="dxa"/>
            <w:noWrap w:val="0"/>
            <w:vAlign w:val="center"/>
          </w:tcPr>
          <w:p w14:paraId="2D2E75F9">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06B7C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16C1AD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D11CC75">
            <w:pPr>
              <w:adjustRightInd w:val="0"/>
              <w:snapToGrid w:val="0"/>
              <w:jc w:val="center"/>
              <w:rPr>
                <w:rFonts w:hint="eastAsia" w:cs="Times New Roman"/>
                <w:color w:val="auto"/>
                <w:sz w:val="21"/>
                <w:szCs w:val="21"/>
                <w:highlight w:val="none"/>
                <w:lang w:val="en-US" w:eastAsia="zh-CN"/>
              </w:rPr>
            </w:pPr>
          </w:p>
        </w:tc>
        <w:tc>
          <w:tcPr>
            <w:tcW w:w="1560" w:type="dxa"/>
            <w:noWrap w:val="0"/>
            <w:vAlign w:val="center"/>
          </w:tcPr>
          <w:p w14:paraId="1EA65F45">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p>
        </w:tc>
        <w:tc>
          <w:tcPr>
            <w:tcW w:w="2085" w:type="dxa"/>
            <w:vMerge w:val="continue"/>
            <w:noWrap w:val="0"/>
            <w:vAlign w:val="center"/>
          </w:tcPr>
          <w:p w14:paraId="137D1A55">
            <w:pPr>
              <w:adjustRightInd w:val="0"/>
              <w:snapToGrid w:val="0"/>
              <w:jc w:val="center"/>
              <w:rPr>
                <w:rFonts w:hint="eastAsia" w:cs="Times New Roman"/>
                <w:color w:val="auto"/>
                <w:sz w:val="21"/>
                <w:szCs w:val="21"/>
                <w:highlight w:val="none"/>
                <w:lang w:val="en-US" w:eastAsia="zh-CN"/>
              </w:rPr>
            </w:pPr>
          </w:p>
        </w:tc>
        <w:tc>
          <w:tcPr>
            <w:tcW w:w="2175" w:type="dxa"/>
            <w:noWrap w:val="0"/>
            <w:vAlign w:val="center"/>
          </w:tcPr>
          <w:p w14:paraId="63BED87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w:t>
            </w:r>
          </w:p>
        </w:tc>
      </w:tr>
      <w:tr w14:paraId="7CA0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B7CA0D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shd w:val="clear" w:color="auto" w:fill="auto"/>
            <w:noWrap w:val="0"/>
            <w:vAlign w:val="center"/>
          </w:tcPr>
          <w:p w14:paraId="7DE2218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职工生活</w:t>
            </w:r>
          </w:p>
        </w:tc>
        <w:tc>
          <w:tcPr>
            <w:tcW w:w="1560" w:type="dxa"/>
            <w:shd w:val="clear" w:color="auto" w:fill="auto"/>
            <w:noWrap w:val="0"/>
            <w:vAlign w:val="center"/>
          </w:tcPr>
          <w:p w14:paraId="5B55BB84">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食堂油烟</w:t>
            </w:r>
          </w:p>
        </w:tc>
        <w:tc>
          <w:tcPr>
            <w:tcW w:w="2085" w:type="dxa"/>
            <w:shd w:val="clear" w:color="auto" w:fill="auto"/>
            <w:noWrap w:val="0"/>
            <w:vAlign w:val="center"/>
          </w:tcPr>
          <w:p w14:paraId="6D9ACBD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经收集后引至高效静电油烟净化器处理，处理达标后尾气引至</w:t>
            </w:r>
            <w:r>
              <w:rPr>
                <w:rFonts w:hint="default" w:ascii="Times New Roman" w:hAnsi="Times New Roman" w:eastAsia="宋体" w:cs="Times New Roman"/>
                <w:color w:val="auto"/>
                <w:sz w:val="21"/>
                <w:szCs w:val="21"/>
                <w:highlight w:val="none"/>
                <w:lang w:val="en-US" w:eastAsia="zh-CN"/>
              </w:rPr>
              <w:t>宿舍楼一层楼顶</w:t>
            </w:r>
            <w:r>
              <w:rPr>
                <w:rFonts w:hint="default" w:ascii="Times New Roman" w:hAnsi="Times New Roman" w:eastAsia="宋体" w:cs="Times New Roman"/>
                <w:color w:val="auto"/>
                <w:sz w:val="21"/>
                <w:szCs w:val="21"/>
                <w:highlight w:val="none"/>
                <w:lang w:eastAsia="zh-CN"/>
              </w:rPr>
              <w:t>排放（</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p>
        </w:tc>
        <w:tc>
          <w:tcPr>
            <w:tcW w:w="2175" w:type="dxa"/>
            <w:shd w:val="clear" w:color="auto" w:fill="auto"/>
            <w:noWrap w:val="0"/>
            <w:vAlign w:val="center"/>
          </w:tcPr>
          <w:p w14:paraId="3F802AB3">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达到《饮食业油烟排放标准</w:t>
            </w:r>
            <w:r>
              <w:rPr>
                <w:rFonts w:hint="default" w:ascii="Times New Roman" w:hAnsi="Times New Roman" w:eastAsia="宋体" w:cs="Times New Roman"/>
                <w:color w:val="auto"/>
                <w:sz w:val="21"/>
                <w:szCs w:val="21"/>
                <w:highlight w:val="none"/>
                <w:lang w:eastAsia="zh-CN"/>
              </w:rPr>
              <w:t>（试行）》</w:t>
            </w:r>
            <w:r>
              <w:rPr>
                <w:rFonts w:hint="default" w:ascii="Times New Roman" w:hAnsi="Times New Roman" w:eastAsia="宋体" w:cs="Times New Roman"/>
                <w:color w:val="auto"/>
                <w:sz w:val="21"/>
                <w:szCs w:val="21"/>
                <w:highlight w:val="none"/>
              </w:rPr>
              <w:t>（GB18483-2001）</w:t>
            </w:r>
            <w:r>
              <w:rPr>
                <w:rFonts w:hint="default" w:ascii="Times New Roman" w:hAnsi="Times New Roman" w:eastAsia="宋体" w:cs="Times New Roman"/>
                <w:color w:val="auto"/>
                <w:sz w:val="21"/>
                <w:szCs w:val="21"/>
                <w:highlight w:val="none"/>
                <w:lang w:val="en-US" w:eastAsia="zh-CN"/>
              </w:rPr>
              <w:t>中型</w:t>
            </w:r>
            <w:r>
              <w:rPr>
                <w:rFonts w:hint="default" w:ascii="Times New Roman" w:hAnsi="Times New Roman" w:eastAsia="宋体" w:cs="Times New Roman"/>
                <w:color w:val="auto"/>
                <w:sz w:val="21"/>
                <w:szCs w:val="21"/>
                <w:highlight w:val="none"/>
              </w:rPr>
              <w:t>规模标准</w:t>
            </w:r>
          </w:p>
        </w:tc>
      </w:tr>
      <w:tr w14:paraId="6CD149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4820A24">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748A122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厂界</w:t>
            </w:r>
          </w:p>
        </w:tc>
        <w:tc>
          <w:tcPr>
            <w:tcW w:w="1560" w:type="dxa"/>
            <w:noWrap w:val="0"/>
            <w:vAlign w:val="center"/>
          </w:tcPr>
          <w:p w14:paraId="2B4E818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颗粒物</w:t>
            </w:r>
          </w:p>
        </w:tc>
        <w:tc>
          <w:tcPr>
            <w:tcW w:w="2085" w:type="dxa"/>
            <w:noWrap w:val="0"/>
            <w:vAlign w:val="center"/>
          </w:tcPr>
          <w:p w14:paraId="5E9CA07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eastAsia"/>
                <w:b w:val="0"/>
                <w:color w:val="auto"/>
                <w:szCs w:val="24"/>
                <w:lang w:val="en-US" w:eastAsia="zh-CN"/>
              </w:rPr>
              <w:t>喷粉线粉尘经“</w:t>
            </w:r>
            <w:r>
              <w:rPr>
                <w:b w:val="0"/>
                <w:color w:val="auto"/>
                <w:szCs w:val="24"/>
              </w:rPr>
              <w:t>密闭车间负压收集+大旋风+滤芯式二级回收系统</w:t>
            </w:r>
            <w:r>
              <w:rPr>
                <w:rFonts w:hint="eastAsia"/>
                <w:b w:val="0"/>
                <w:color w:val="auto"/>
                <w:szCs w:val="24"/>
                <w:lang w:eastAsia="zh-CN"/>
              </w:rPr>
              <w:t>”</w:t>
            </w:r>
            <w:r>
              <w:rPr>
                <w:rFonts w:hint="eastAsia"/>
                <w:b w:val="0"/>
                <w:color w:val="auto"/>
                <w:szCs w:val="24"/>
                <w:lang w:val="en-US" w:eastAsia="zh-CN"/>
              </w:rPr>
              <w:t>处理后无组织排放</w:t>
            </w:r>
            <w:r>
              <w:rPr>
                <w:rFonts w:hint="eastAsia"/>
                <w:b w:val="0"/>
                <w:color w:val="auto"/>
                <w:szCs w:val="24"/>
                <w:lang w:eastAsia="zh-CN"/>
              </w:rPr>
              <w:t>，</w:t>
            </w:r>
            <w:r>
              <w:rPr>
                <w:rFonts w:hint="default" w:ascii="Times New Roman" w:hAnsi="Times New Roman" w:eastAsia="宋体" w:cs="Times New Roman"/>
                <w:color w:val="auto"/>
                <w:sz w:val="21"/>
                <w:szCs w:val="21"/>
                <w:highlight w:val="none"/>
                <w:lang w:val="en-US" w:eastAsia="zh-CN"/>
              </w:rPr>
              <w:t>未被收集的切割</w:t>
            </w:r>
            <w:r>
              <w:rPr>
                <w:rFonts w:hint="default" w:ascii="Times New Roman" w:hAnsi="Times New Roman" w:eastAsia="宋体" w:cs="Times New Roman"/>
                <w:color w:val="auto"/>
                <w:sz w:val="21"/>
                <w:szCs w:val="21"/>
                <w:highlight w:val="none"/>
                <w:lang w:eastAsia="zh-CN"/>
              </w:rPr>
              <w:t>粉尘、</w:t>
            </w:r>
            <w:r>
              <w:rPr>
                <w:rFonts w:hint="default" w:ascii="Times New Roman" w:hAnsi="Times New Roman" w:eastAsia="宋体" w:cs="Times New Roman"/>
                <w:color w:val="auto"/>
                <w:kern w:val="2"/>
                <w:sz w:val="21"/>
                <w:szCs w:val="21"/>
                <w:highlight w:val="none"/>
              </w:rPr>
              <w:t>焊接烟尘</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抛光打磨粉尘于车间内无组织排放，并加强厂内通风</w:t>
            </w:r>
          </w:p>
        </w:tc>
        <w:tc>
          <w:tcPr>
            <w:tcW w:w="2175" w:type="dxa"/>
            <w:noWrap w:val="0"/>
            <w:vAlign w:val="center"/>
          </w:tcPr>
          <w:p w14:paraId="3C43936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广东省《大气污染物排放限值》（DB44/27-2001）第二时段无组织排放监控浓度限值</w:t>
            </w:r>
          </w:p>
        </w:tc>
      </w:tr>
      <w:tr w14:paraId="6A0759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197A49">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32A2D5E8">
            <w:pPr>
              <w:adjustRightInd w:val="0"/>
              <w:snapToGrid w:val="0"/>
              <w:jc w:val="center"/>
              <w:rPr>
                <w:rFonts w:hint="default" w:ascii="Times New Roman" w:hAnsi="Times New Roman" w:eastAsia="宋体" w:cs="Times New Roman"/>
                <w:color w:val="auto"/>
                <w:sz w:val="21"/>
                <w:szCs w:val="21"/>
                <w:highlight w:val="none"/>
              </w:rPr>
            </w:pPr>
          </w:p>
        </w:tc>
        <w:tc>
          <w:tcPr>
            <w:tcW w:w="1560" w:type="dxa"/>
            <w:noWrap w:val="0"/>
            <w:vAlign w:val="center"/>
          </w:tcPr>
          <w:p w14:paraId="6BFC49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eastAsia="宋体"/>
                <w:color w:val="auto"/>
                <w:lang w:val="en-US" w:eastAsia="zh-CN"/>
              </w:rPr>
            </w:pPr>
            <w:r>
              <w:rPr>
                <w:rFonts w:hint="eastAsia"/>
                <w:color w:val="auto"/>
                <w:lang w:val="en-US" w:eastAsia="zh-CN"/>
              </w:rPr>
              <w:t>非甲烷总烃、苯系物、氟化物</w:t>
            </w:r>
          </w:p>
        </w:tc>
        <w:tc>
          <w:tcPr>
            <w:tcW w:w="2085" w:type="dxa"/>
            <w:noWrap w:val="0"/>
            <w:vAlign w:val="center"/>
          </w:tcPr>
          <w:p w14:paraId="1CDFA72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2175" w:type="dxa"/>
            <w:noWrap w:val="0"/>
            <w:vAlign w:val="center"/>
          </w:tcPr>
          <w:p w14:paraId="218E7DD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广东省《大气污染物排放限值》（DB44/27-2001）第二时段无组织排放监控浓度限值</w:t>
            </w:r>
          </w:p>
        </w:tc>
      </w:tr>
      <w:tr w14:paraId="4D946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BF1C2FE">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15019A8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1560" w:type="dxa"/>
            <w:noWrap w:val="0"/>
            <w:vAlign w:val="center"/>
          </w:tcPr>
          <w:p w14:paraId="3F80B1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臭气浓度、硫化氢、氨气</w:t>
            </w:r>
          </w:p>
        </w:tc>
        <w:tc>
          <w:tcPr>
            <w:tcW w:w="2085" w:type="dxa"/>
            <w:noWrap w:val="0"/>
            <w:vAlign w:val="center"/>
          </w:tcPr>
          <w:p w14:paraId="5A1FAD1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rPr>
              <w:t>采取加盖密闭、加强通风</w:t>
            </w:r>
          </w:p>
        </w:tc>
        <w:tc>
          <w:tcPr>
            <w:tcW w:w="2175" w:type="dxa"/>
            <w:noWrap w:val="0"/>
            <w:vAlign w:val="center"/>
          </w:tcPr>
          <w:p w14:paraId="6CD81BB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《恶臭污染物排放标准》(GB14554-93)表1二级标准中“新改扩建”限值要求</w:t>
            </w:r>
          </w:p>
        </w:tc>
      </w:tr>
      <w:tr w14:paraId="0D588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38042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noWrap w:val="0"/>
            <w:vAlign w:val="center"/>
          </w:tcPr>
          <w:p w14:paraId="628FF73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厂区内</w:t>
            </w:r>
          </w:p>
        </w:tc>
        <w:tc>
          <w:tcPr>
            <w:tcW w:w="1560" w:type="dxa"/>
            <w:noWrap w:val="0"/>
            <w:vAlign w:val="center"/>
          </w:tcPr>
          <w:p w14:paraId="63CAB3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NMHC</w:t>
            </w:r>
          </w:p>
        </w:tc>
        <w:tc>
          <w:tcPr>
            <w:tcW w:w="2085" w:type="dxa"/>
            <w:noWrap w:val="0"/>
            <w:vAlign w:val="center"/>
          </w:tcPr>
          <w:p w14:paraId="56F641B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加强收集</w:t>
            </w:r>
          </w:p>
        </w:tc>
        <w:tc>
          <w:tcPr>
            <w:tcW w:w="2175" w:type="dxa"/>
            <w:noWrap w:val="0"/>
            <w:vAlign w:val="center"/>
          </w:tcPr>
          <w:p w14:paraId="2503B38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《固定污染源挥发性有机物综合排放标准》（DB44/2367-2022）表3厂区内VOCs 无组织排放限值要求</w:t>
            </w:r>
          </w:p>
        </w:tc>
      </w:tr>
      <w:tr w14:paraId="45886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1523" w:type="dxa"/>
            <w:vMerge w:val="restart"/>
            <w:noWrap w:val="0"/>
            <w:vAlign w:val="center"/>
          </w:tcPr>
          <w:p w14:paraId="6F9579E3">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地表水环境</w:t>
            </w:r>
          </w:p>
        </w:tc>
        <w:tc>
          <w:tcPr>
            <w:tcW w:w="1457" w:type="dxa"/>
            <w:gridSpan w:val="2"/>
            <w:noWrap w:val="0"/>
            <w:vAlign w:val="center"/>
          </w:tcPr>
          <w:p w14:paraId="1FAD6AD2">
            <w:pPr>
              <w:adjustRightInd w:val="0"/>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DW001生活污水排放口</w:t>
            </w:r>
          </w:p>
        </w:tc>
        <w:tc>
          <w:tcPr>
            <w:tcW w:w="1560" w:type="dxa"/>
            <w:noWrap w:val="0"/>
            <w:vAlign w:val="center"/>
          </w:tcPr>
          <w:p w14:paraId="06BFC93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pH、COD</w:t>
            </w:r>
            <w:r>
              <w:rPr>
                <w:rFonts w:hint="default" w:ascii="Times New Roman" w:hAnsi="Times New Roman" w:eastAsia="宋体" w:cs="Times New Roman"/>
                <w:color w:val="auto"/>
                <w:kern w:val="2"/>
                <w:sz w:val="21"/>
                <w:szCs w:val="21"/>
                <w:highlight w:val="none"/>
                <w:vertAlign w:val="subscript"/>
              </w:rPr>
              <w:t>Cr</w:t>
            </w:r>
            <w:r>
              <w:rPr>
                <w:rFonts w:hint="default" w:ascii="Times New Roman" w:hAnsi="Times New Roman" w:eastAsia="宋体" w:cs="Times New Roman"/>
                <w:color w:val="auto"/>
                <w:kern w:val="2"/>
                <w:sz w:val="21"/>
                <w:szCs w:val="21"/>
                <w:highlight w:val="none"/>
              </w:rPr>
              <w:t>、BOD</w:t>
            </w:r>
            <w:r>
              <w:rPr>
                <w:rFonts w:hint="default" w:ascii="Times New Roman" w:hAnsi="Times New Roman" w:eastAsia="宋体" w:cs="Times New Roman"/>
                <w:color w:val="auto"/>
                <w:kern w:val="2"/>
                <w:sz w:val="21"/>
                <w:szCs w:val="21"/>
                <w:highlight w:val="none"/>
                <w:vertAlign w:val="subscript"/>
              </w:rPr>
              <w:t>5</w:t>
            </w:r>
            <w:r>
              <w:rPr>
                <w:rFonts w:hint="default" w:ascii="Times New Roman" w:hAnsi="Times New Roman" w:eastAsia="宋体" w:cs="Times New Roman"/>
                <w:color w:val="auto"/>
                <w:kern w:val="2"/>
                <w:sz w:val="21"/>
                <w:szCs w:val="21"/>
                <w:highlight w:val="none"/>
              </w:rPr>
              <w:t>、SS、氨氮</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lang w:val="en-US" w:eastAsia="zh-CN"/>
              </w:rPr>
              <w:t>总磷、动植物油</w:t>
            </w:r>
          </w:p>
        </w:tc>
        <w:tc>
          <w:tcPr>
            <w:tcW w:w="2085" w:type="dxa"/>
            <w:noWrap w:val="0"/>
            <w:vAlign w:val="center"/>
          </w:tcPr>
          <w:p w14:paraId="6469FF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生活污水经三级化粪池</w:t>
            </w:r>
            <w:r>
              <w:rPr>
                <w:rFonts w:hint="default" w:ascii="Times New Roman" w:hAnsi="Times New Roman" w:eastAsia="宋体" w:cs="Times New Roman"/>
                <w:color w:val="auto"/>
                <w:kern w:val="2"/>
                <w:sz w:val="21"/>
                <w:szCs w:val="21"/>
                <w:highlight w:val="none"/>
                <w:lang w:val="en-US" w:eastAsia="zh-CN"/>
              </w:rPr>
              <w:t>+隔油隔渣池</w:t>
            </w:r>
            <w:r>
              <w:rPr>
                <w:rFonts w:hint="default" w:ascii="Times New Roman" w:hAnsi="Times New Roman" w:eastAsia="宋体" w:cs="Times New Roman"/>
                <w:color w:val="auto"/>
                <w:kern w:val="2"/>
                <w:sz w:val="21"/>
                <w:szCs w:val="21"/>
                <w:highlight w:val="none"/>
              </w:rPr>
              <w:t>处理后，经园区污水管网排入园区污水处理厂进一步处理后，排入武江</w:t>
            </w:r>
          </w:p>
        </w:tc>
        <w:tc>
          <w:tcPr>
            <w:tcW w:w="2175" w:type="dxa"/>
            <w:noWrap w:val="0"/>
            <w:vAlign w:val="center"/>
          </w:tcPr>
          <w:p w14:paraId="08EEE1A4">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广东省《水污染物排放限值》（DB44/26-2001）第二时段三级标准及园区污水处理厂接管水质要求两者较严值要求</w:t>
            </w:r>
          </w:p>
        </w:tc>
      </w:tr>
      <w:tr w14:paraId="081BA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523" w:type="dxa"/>
            <w:vMerge w:val="continue"/>
            <w:noWrap w:val="0"/>
            <w:vAlign w:val="center"/>
          </w:tcPr>
          <w:p w14:paraId="0F898EC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noWrap w:val="0"/>
            <w:vAlign w:val="center"/>
          </w:tcPr>
          <w:p w14:paraId="239377F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DW002生产废水排放口</w:t>
            </w:r>
          </w:p>
        </w:tc>
        <w:tc>
          <w:tcPr>
            <w:tcW w:w="1560" w:type="dxa"/>
            <w:noWrap w:val="0"/>
            <w:vAlign w:val="center"/>
          </w:tcPr>
          <w:p w14:paraId="248F0CF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rPr>
              <w:t>pH、COD</w:t>
            </w:r>
            <w:r>
              <w:rPr>
                <w:rFonts w:hint="default" w:ascii="Times New Roman" w:hAnsi="Times New Roman" w:eastAsia="宋体" w:cs="Times New Roman"/>
                <w:color w:val="auto"/>
                <w:kern w:val="2"/>
                <w:sz w:val="21"/>
                <w:szCs w:val="21"/>
                <w:highlight w:val="none"/>
                <w:vertAlign w:val="subscript"/>
              </w:rPr>
              <w:t>Cr</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、NH</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-N、</w:t>
            </w:r>
            <w:r>
              <w:rPr>
                <w:rFonts w:hint="default" w:ascii="Times New Roman" w:hAnsi="Times New Roman" w:eastAsia="宋体" w:cs="Times New Roman"/>
                <w:color w:val="auto"/>
                <w:kern w:val="2"/>
                <w:sz w:val="21"/>
                <w:szCs w:val="21"/>
                <w:highlight w:val="none"/>
              </w:rPr>
              <w:t>SS、石油类、阴离子表面活性剂、氟化物</w:t>
            </w:r>
            <w:r>
              <w:rPr>
                <w:rFonts w:hint="eastAsia" w:ascii="Times New Roman" w:hAnsi="Times New Roman" w:cs="Times New Roman"/>
                <w:color w:val="auto"/>
                <w:kern w:val="2"/>
                <w:sz w:val="21"/>
                <w:szCs w:val="21"/>
                <w:highlight w:val="none"/>
                <w:lang w:val="en-US" w:eastAsia="zh-CN"/>
              </w:rPr>
              <w:t>、总铝、TP、TN</w:t>
            </w:r>
          </w:p>
        </w:tc>
        <w:tc>
          <w:tcPr>
            <w:tcW w:w="2085" w:type="dxa"/>
            <w:noWrap w:val="0"/>
            <w:vAlign w:val="center"/>
          </w:tcPr>
          <w:p w14:paraId="7B10A3D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外排生产废水经企业自建污水处理站处理后，经园区污水管网排入园区污水处理厂进一步处理后，排入武江</w:t>
            </w:r>
          </w:p>
        </w:tc>
        <w:tc>
          <w:tcPr>
            <w:tcW w:w="2175" w:type="dxa"/>
            <w:noWrap w:val="0"/>
            <w:vAlign w:val="center"/>
          </w:tcPr>
          <w:p w14:paraId="3B695BFC">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园区污水处理厂接管水质要求、广东省《水污染物排放限值》（</w:t>
            </w:r>
            <w:r>
              <w:rPr>
                <w:rFonts w:hint="default" w:ascii="Times New Roman" w:hAnsi="Times New Roman" w:eastAsia="宋体" w:cs="Times New Roman"/>
                <w:i w:val="0"/>
                <w:iCs w:val="0"/>
                <w:color w:val="auto"/>
                <w:kern w:val="0"/>
                <w:sz w:val="21"/>
                <w:szCs w:val="21"/>
                <w:u w:val="none"/>
                <w:lang w:val="en-US" w:eastAsia="zh-CN" w:bidi="ar"/>
              </w:rPr>
              <w:t>DB44/26-2001</w:t>
            </w:r>
            <w:r>
              <w:rPr>
                <w:rFonts w:hint="eastAsia" w:ascii="宋体" w:hAnsi="宋体" w:eastAsia="宋体" w:cs="宋体"/>
                <w:i w:val="0"/>
                <w:iCs w:val="0"/>
                <w:color w:val="auto"/>
                <w:kern w:val="0"/>
                <w:sz w:val="21"/>
                <w:szCs w:val="21"/>
                <w:u w:val="none"/>
                <w:lang w:val="en-US" w:eastAsia="zh-CN" w:bidi="ar"/>
              </w:rPr>
              <w:t>）第二时段三级标准以及《电镀水污染物排放标准》（</w:t>
            </w:r>
            <w:r>
              <w:rPr>
                <w:rFonts w:hint="default" w:ascii="Times New Roman" w:hAnsi="Times New Roman" w:eastAsia="宋体" w:cs="Times New Roman"/>
                <w:i w:val="0"/>
                <w:iCs w:val="0"/>
                <w:color w:val="auto"/>
                <w:kern w:val="0"/>
                <w:sz w:val="21"/>
                <w:szCs w:val="21"/>
                <w:u w:val="none"/>
                <w:lang w:val="en-US" w:eastAsia="zh-CN" w:bidi="ar"/>
              </w:rPr>
              <w:t>DB44/1597-2015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eastAsia" w:ascii="宋体" w:hAnsi="宋体" w:eastAsia="宋体" w:cs="宋体"/>
                <w:i w:val="0"/>
                <w:iCs w:val="0"/>
                <w:color w:val="auto"/>
                <w:kern w:val="0"/>
                <w:sz w:val="21"/>
                <w:szCs w:val="21"/>
                <w:u w:val="none"/>
                <w:lang w:val="en-US" w:eastAsia="zh-CN" w:bidi="ar"/>
              </w:rPr>
              <w:t>三者较严值要求</w:t>
            </w:r>
          </w:p>
        </w:tc>
      </w:tr>
      <w:tr w14:paraId="7F2178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2E26244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487" w:type="dxa"/>
            <w:tcBorders>
              <w:right w:val="single" w:color="000000" w:sz="4" w:space="0"/>
            </w:tcBorders>
            <w:noWrap w:val="0"/>
            <w:vAlign w:val="center"/>
          </w:tcPr>
          <w:p w14:paraId="0C254289">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营运期</w:t>
            </w:r>
          </w:p>
        </w:tc>
        <w:tc>
          <w:tcPr>
            <w:tcW w:w="970" w:type="dxa"/>
            <w:tcBorders>
              <w:left w:val="single" w:color="000000" w:sz="4" w:space="0"/>
            </w:tcBorders>
            <w:noWrap w:val="0"/>
            <w:vAlign w:val="center"/>
          </w:tcPr>
          <w:p w14:paraId="21E81779">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生产设备</w:t>
            </w:r>
          </w:p>
        </w:tc>
        <w:tc>
          <w:tcPr>
            <w:tcW w:w="1560" w:type="dxa"/>
            <w:noWrap w:val="0"/>
            <w:vAlign w:val="center"/>
          </w:tcPr>
          <w:p w14:paraId="3E517BC8">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噪声</w:t>
            </w:r>
          </w:p>
        </w:tc>
        <w:tc>
          <w:tcPr>
            <w:tcW w:w="2085" w:type="dxa"/>
            <w:noWrap w:val="0"/>
            <w:vAlign w:val="center"/>
          </w:tcPr>
          <w:p w14:paraId="6CF3924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选用低噪声设备，并采取隔声、减振、消声等降噪措施</w:t>
            </w:r>
          </w:p>
        </w:tc>
        <w:tc>
          <w:tcPr>
            <w:tcW w:w="2175" w:type="dxa"/>
            <w:noWrap w:val="0"/>
            <w:vAlign w:val="center"/>
          </w:tcPr>
          <w:p w14:paraId="40588A5F">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厂界西、北执行</w:t>
            </w:r>
            <w:r>
              <w:rPr>
                <w:rFonts w:hint="default" w:ascii="Times New Roman" w:hAnsi="Times New Roman" w:eastAsia="宋体" w:cs="Times New Roman"/>
                <w:color w:val="auto"/>
                <w:sz w:val="21"/>
                <w:szCs w:val="21"/>
                <w:highlight w:val="none"/>
              </w:rPr>
              <w:t>《工业企业厂界环境噪声排放标准》（GB 12348-2008）</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w:t>
            </w:r>
            <w:r>
              <w:rPr>
                <w:rFonts w:hint="eastAsia" w:cs="Times New Roman"/>
                <w:color w:val="auto"/>
                <w:sz w:val="21"/>
                <w:szCs w:val="21"/>
                <w:highlight w:val="none"/>
                <w:lang w:val="en-US" w:eastAsia="zh-CN"/>
              </w:rPr>
              <w:t>，东、南厂界执行</w:t>
            </w:r>
            <w:r>
              <w:rPr>
                <w:rFonts w:hint="default"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lang w:val="en-US" w:eastAsia="zh-CN"/>
              </w:rPr>
              <w:t>类</w:t>
            </w:r>
            <w:r>
              <w:rPr>
                <w:rFonts w:hint="default" w:ascii="Times New Roman" w:hAnsi="Times New Roman" w:eastAsia="宋体" w:cs="Times New Roman"/>
                <w:color w:val="auto"/>
                <w:sz w:val="21"/>
                <w:szCs w:val="21"/>
                <w:highlight w:val="none"/>
              </w:rPr>
              <w:t>标准</w:t>
            </w:r>
          </w:p>
        </w:tc>
      </w:tr>
      <w:tr w14:paraId="0E0BC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523" w:type="dxa"/>
            <w:noWrap w:val="0"/>
            <w:vAlign w:val="center"/>
          </w:tcPr>
          <w:p w14:paraId="521BD5C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电磁辐射</w:t>
            </w:r>
          </w:p>
        </w:tc>
        <w:tc>
          <w:tcPr>
            <w:tcW w:w="1457" w:type="dxa"/>
            <w:gridSpan w:val="2"/>
            <w:noWrap w:val="0"/>
            <w:vAlign w:val="center"/>
          </w:tcPr>
          <w:p w14:paraId="669A62D1">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60" w:type="dxa"/>
            <w:noWrap w:val="0"/>
            <w:vAlign w:val="center"/>
          </w:tcPr>
          <w:p w14:paraId="3E2BE85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085" w:type="dxa"/>
            <w:noWrap w:val="0"/>
            <w:vAlign w:val="center"/>
          </w:tcPr>
          <w:p w14:paraId="14E7B232">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175" w:type="dxa"/>
            <w:noWrap w:val="0"/>
            <w:vAlign w:val="center"/>
          </w:tcPr>
          <w:p w14:paraId="1092772C">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67F3D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41B50FD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7277" w:type="dxa"/>
            <w:gridSpan w:val="5"/>
            <w:noWrap w:val="0"/>
            <w:vAlign w:val="center"/>
          </w:tcPr>
          <w:p w14:paraId="40CEE5F6">
            <w:pPr>
              <w:pStyle w:val="43"/>
              <w:keepNext w:val="0"/>
              <w:keepLines w:val="0"/>
              <w:pageBreakBefore w:val="0"/>
              <w:widowControl w:val="0"/>
              <w:kinsoku/>
              <w:wordWrap/>
              <w:overflowPunct/>
              <w:topLinePunct w:val="0"/>
              <w:autoSpaceDE/>
              <w:autoSpaceDN/>
              <w:bidi w:val="0"/>
              <w:adjustRightInd/>
              <w:snapToGrid/>
              <w:spacing w:after="0" w:line="120" w:lineRule="auto"/>
              <w:ind w:firstLine="420" w:firstLineChars="200"/>
              <w:textAlignment w:val="auto"/>
              <w:rPr>
                <w:rFonts w:hint="default" w:ascii="Times New Roman" w:hAnsi="Times New Roman" w:eastAsia="宋体" w:cs="Times New Roman"/>
                <w:color w:val="auto"/>
                <w:sz w:val="21"/>
                <w:szCs w:val="21"/>
                <w:highlight w:val="none"/>
              </w:rPr>
            </w:pPr>
          </w:p>
          <w:p w14:paraId="7DD20B06">
            <w:pPr>
              <w:pStyle w:val="43"/>
              <w:spacing w:after="0" w:line="360" w:lineRule="auto"/>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一般工业固体废物：在厂区内采用库房贮存，贮存过程满足相应防渗漏、防雨淋、防扬尘等环境保护要求；</w:t>
            </w:r>
          </w:p>
          <w:p w14:paraId="02C2F668">
            <w:pPr>
              <w:pStyle w:val="43"/>
              <w:spacing w:after="0" w:line="360" w:lineRule="auto"/>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危险废物：执行《危险废物贮存污染控制标准》（GB18597-2023）和《危险废物收集贮存运输技术规范》（HJ 2025-2012）。</w:t>
            </w:r>
          </w:p>
        </w:tc>
      </w:tr>
      <w:tr w14:paraId="77137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4F3B422">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土壤及地下水污染防治措施</w:t>
            </w:r>
          </w:p>
        </w:tc>
        <w:tc>
          <w:tcPr>
            <w:tcW w:w="7277" w:type="dxa"/>
            <w:gridSpan w:val="5"/>
            <w:noWrap w:val="0"/>
            <w:vAlign w:val="center"/>
          </w:tcPr>
          <w:p w14:paraId="693EF2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厂区地面已全部硬化，危废间在建筑物内部，达到防风防雨防晒要求，地面硬化良好并刷环氧树脂漆防渗，四周设置围堰，满足四防要求。对预处理生产车间</w:t>
            </w:r>
            <w:r>
              <w:rPr>
                <w:rFonts w:hint="default" w:ascii="Times New Roman" w:hAnsi="Times New Roman" w:eastAsia="宋体" w:cs="Times New Roman"/>
                <w:color w:val="auto"/>
                <w:kern w:val="2"/>
                <w:sz w:val="21"/>
                <w:szCs w:val="21"/>
                <w:highlight w:val="none"/>
                <w:lang w:val="en-US" w:eastAsia="zh-CN"/>
              </w:rPr>
              <w:t>、化学品仓库、</w:t>
            </w:r>
            <w:r>
              <w:rPr>
                <w:rFonts w:hint="eastAsia" w:ascii="Times New Roman" w:hAnsi="Times New Roman" w:cs="Times New Roman"/>
                <w:color w:val="auto"/>
                <w:kern w:val="2"/>
                <w:sz w:val="21"/>
                <w:szCs w:val="21"/>
                <w:highlight w:val="none"/>
                <w:lang w:val="en-US" w:eastAsia="zh-CN"/>
              </w:rPr>
              <w:t>危险废物贮存间</w:t>
            </w:r>
            <w:r>
              <w:rPr>
                <w:rFonts w:hint="default" w:ascii="Times New Roman" w:hAnsi="Times New Roman" w:eastAsia="宋体" w:cs="Times New Roman"/>
                <w:color w:val="auto"/>
                <w:kern w:val="2"/>
                <w:sz w:val="21"/>
                <w:szCs w:val="21"/>
                <w:highlight w:val="none"/>
                <w:lang w:val="en-US" w:eastAsia="zh-CN"/>
              </w:rPr>
              <w:t>、</w:t>
            </w:r>
            <w:r>
              <w:rPr>
                <w:rFonts w:hint="default" w:ascii="Times New Roman" w:hAnsi="Times New Roman" w:eastAsia="宋体" w:cs="Times New Roman"/>
                <w:color w:val="auto"/>
                <w:kern w:val="2"/>
                <w:sz w:val="21"/>
                <w:szCs w:val="21"/>
                <w:highlight w:val="none"/>
              </w:rPr>
              <w:t>废水处理站进行</w:t>
            </w:r>
            <w:r>
              <w:rPr>
                <w:rFonts w:hint="eastAsia" w:ascii="Times New Roman" w:hAnsi="Times New Roman" w:cs="Times New Roman"/>
                <w:color w:val="auto"/>
                <w:kern w:val="2"/>
                <w:sz w:val="21"/>
                <w:szCs w:val="21"/>
                <w:highlight w:val="none"/>
                <w:lang w:val="en-US" w:eastAsia="zh-CN"/>
              </w:rPr>
              <w:t>重点</w:t>
            </w:r>
            <w:r>
              <w:rPr>
                <w:rFonts w:hint="default" w:ascii="Times New Roman" w:hAnsi="Times New Roman" w:eastAsia="宋体" w:cs="Times New Roman"/>
                <w:color w:val="auto"/>
                <w:kern w:val="2"/>
                <w:sz w:val="21"/>
                <w:szCs w:val="21"/>
                <w:highlight w:val="none"/>
              </w:rPr>
              <w:t>防渗处理，防渗要求按照等效黏土防渗层Mb≥1.5m，K≤1×10</w:t>
            </w:r>
            <w:r>
              <w:rPr>
                <w:rFonts w:hint="default" w:ascii="Times New Roman" w:hAnsi="Times New Roman" w:eastAsia="宋体" w:cs="Times New Roman"/>
                <w:color w:val="auto"/>
                <w:kern w:val="2"/>
                <w:sz w:val="21"/>
                <w:szCs w:val="21"/>
                <w:highlight w:val="none"/>
                <w:vertAlign w:val="superscript"/>
              </w:rPr>
              <w:t>-7</w:t>
            </w:r>
            <w:r>
              <w:rPr>
                <w:rFonts w:hint="default" w:ascii="Times New Roman" w:hAnsi="Times New Roman" w:eastAsia="宋体" w:cs="Times New Roman"/>
                <w:color w:val="auto"/>
                <w:kern w:val="2"/>
                <w:sz w:val="21"/>
                <w:szCs w:val="21"/>
                <w:highlight w:val="none"/>
              </w:rPr>
              <w:t>cm/s或参照GB</w:t>
            </w:r>
            <w:r>
              <w:rPr>
                <w:rFonts w:hint="eastAsia" w:ascii="Times New Roman" w:hAnsi="Times New Roman" w:cs="Times New Roman"/>
                <w:color w:val="auto"/>
                <w:kern w:val="2"/>
                <w:sz w:val="21"/>
                <w:szCs w:val="21"/>
                <w:highlight w:val="none"/>
                <w:lang w:val="en-US" w:eastAsia="zh-CN"/>
              </w:rPr>
              <w:t>18597</w:t>
            </w:r>
            <w:r>
              <w:rPr>
                <w:rFonts w:hint="default" w:ascii="Times New Roman" w:hAnsi="Times New Roman" w:eastAsia="宋体" w:cs="Times New Roman"/>
                <w:color w:val="auto"/>
                <w:kern w:val="2"/>
                <w:sz w:val="21"/>
                <w:szCs w:val="21"/>
                <w:highlight w:val="none"/>
              </w:rPr>
              <w:t>执行。</w:t>
            </w:r>
          </w:p>
        </w:tc>
      </w:tr>
      <w:tr w14:paraId="0A584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C916EAC">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生态保护措施</w:t>
            </w:r>
          </w:p>
        </w:tc>
        <w:tc>
          <w:tcPr>
            <w:tcW w:w="7277" w:type="dxa"/>
            <w:gridSpan w:val="5"/>
            <w:noWrap w:val="0"/>
            <w:vAlign w:val="center"/>
          </w:tcPr>
          <w:p w14:paraId="04EF55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rPr>
              <w:t>厂房已建设安装完成，选址四周主要为厂房，不存在建设期间的生态影响。项目营运中产生的污染物通过采取以上环境保护治理措施并且加强日常的管理和监督，同时搞好厂区绿化后，均可达标排放。因此，项目营运期间不会对周边的生态环境造成明显的不利影响。</w:t>
            </w:r>
          </w:p>
        </w:tc>
      </w:tr>
      <w:tr w14:paraId="64F57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3D331AA1">
            <w:pPr>
              <w:adjustRightInd w:val="0"/>
              <w:snapToGrid w:val="0"/>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环境风险</w:t>
            </w:r>
          </w:p>
          <w:p w14:paraId="5447DAA7">
            <w:pPr>
              <w:adjustRightInd w:val="0"/>
              <w:snapToGrid w:val="0"/>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防范措施</w:t>
            </w:r>
          </w:p>
        </w:tc>
        <w:tc>
          <w:tcPr>
            <w:tcW w:w="7277" w:type="dxa"/>
            <w:gridSpan w:val="5"/>
            <w:noWrap w:val="0"/>
            <w:vAlign w:val="center"/>
          </w:tcPr>
          <w:p w14:paraId="524FD424">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1、严格执行应急管理、消防等相关规范，从总图布置和建筑安全方面进行风险防范，预留疏散通道或安置场所；</w:t>
            </w:r>
          </w:p>
          <w:p w14:paraId="2F1A9B5C">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2、从优化改进生产工艺、减少储存量、改善储存条件等方面降低风险程度；</w:t>
            </w:r>
          </w:p>
          <w:p w14:paraId="1E41B03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3、加强日常管理，降低管理失误而出现的风险事故，提高员工规范性操作水平，减少误操作引发的风险事故；</w:t>
            </w:r>
          </w:p>
          <w:p w14:paraId="35D2D5A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4、按《危险废物贮存污染控制标准》（GB18597-2023）的相关要求做好</w:t>
            </w:r>
            <w:r>
              <w:rPr>
                <w:rFonts w:hint="eastAsia" w:ascii="Times New Roman" w:hAnsi="Times New Roman" w:cs="Times New Roman"/>
                <w:color w:val="auto"/>
                <w:kern w:val="2"/>
                <w:sz w:val="21"/>
                <w:szCs w:val="21"/>
                <w:highlight w:val="none"/>
                <w:lang w:eastAsia="zh-CN"/>
              </w:rPr>
              <w:t>危险废物贮存间</w:t>
            </w:r>
            <w:r>
              <w:rPr>
                <w:rFonts w:hint="default" w:ascii="Times New Roman" w:hAnsi="Times New Roman" w:eastAsia="宋体" w:cs="Times New Roman"/>
                <w:color w:val="auto"/>
                <w:kern w:val="2"/>
                <w:sz w:val="21"/>
                <w:szCs w:val="21"/>
                <w:highlight w:val="none"/>
              </w:rPr>
              <w:t>的防渗措施，加强管理，避免装卸或存储过程中危险物质发生泄漏。</w:t>
            </w:r>
          </w:p>
        </w:tc>
      </w:tr>
      <w:tr w14:paraId="1B4E1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523" w:type="dxa"/>
            <w:noWrap w:val="0"/>
            <w:vAlign w:val="center"/>
          </w:tcPr>
          <w:p w14:paraId="306A80B6">
            <w:pPr>
              <w:keepNext w:val="0"/>
              <w:keepLines w:val="0"/>
              <w:pageBreakBefore w:val="0"/>
              <w:widowControl w:val="0"/>
              <w:kinsoku/>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pacing w:val="-8"/>
                <w:sz w:val="21"/>
                <w:szCs w:val="21"/>
                <w:highlight w:val="none"/>
              </w:rPr>
            </w:pPr>
            <w:r>
              <w:rPr>
                <w:rFonts w:hint="default" w:ascii="Times New Roman" w:hAnsi="Times New Roman" w:cs="Times New Roman"/>
                <w:color w:val="auto"/>
                <w:spacing w:val="-8"/>
                <w:sz w:val="24"/>
                <w:szCs w:val="24"/>
              </w:rPr>
              <w:t>其他环境管理要求</w:t>
            </w:r>
          </w:p>
        </w:tc>
        <w:tc>
          <w:tcPr>
            <w:tcW w:w="7277" w:type="dxa"/>
            <w:gridSpan w:val="5"/>
            <w:noWrap w:val="0"/>
            <w:vAlign w:val="center"/>
          </w:tcPr>
          <w:p w14:paraId="68D441FC">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（一）环境管理要求</w:t>
            </w:r>
          </w:p>
          <w:p w14:paraId="0478A1B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企业要完善环境管理制度，首先必须建立相应的环境管理机构，明确环境管理机构的职责。</w:t>
            </w:r>
          </w:p>
          <w:p w14:paraId="7CB67A9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落实各项环境保护措施，环保设施运行的管理和维护，日常的监测及污染事故的防范和应急处理。</w:t>
            </w:r>
          </w:p>
          <w:p w14:paraId="75CEDCB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环境管理机构的职责</w:t>
            </w:r>
          </w:p>
          <w:p w14:paraId="66B1FD4F">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（1）</w:t>
            </w:r>
            <w:r>
              <w:rPr>
                <w:rFonts w:hint="default" w:ascii="Times New Roman" w:hAnsi="Times New Roman" w:cs="Times New Roman"/>
                <w:color w:val="auto"/>
                <w:sz w:val="24"/>
                <w:szCs w:val="24"/>
              </w:rPr>
              <w:t>依据《固定污染源排污许可分类管理名录（2019 年版）》，本项目实行排污许可简化管理。建设单位应在发生实际排污行为前，在全国排污许可证管理信息平台申领排污许可证，严格落实许可证载明的排放浓度、总量控制等管控要求；如污染物超标排放或超过重点污染物排放总量指标，须按生态环境主管部门要求限期整改。</w:t>
            </w:r>
          </w:p>
          <w:p w14:paraId="6A8E416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（2）</w:t>
            </w:r>
            <w:r>
              <w:rPr>
                <w:rFonts w:hint="default" w:ascii="Times New Roman" w:hAnsi="Times New Roman" w:cs="Times New Roman"/>
                <w:color w:val="auto"/>
                <w:sz w:val="24"/>
                <w:szCs w:val="24"/>
              </w:rPr>
              <w:t>根据</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、安全部门对环保设施验收报告的批复意见进行补充完善。</w:t>
            </w:r>
          </w:p>
          <w:p w14:paraId="3D7726A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（3）</w:t>
            </w:r>
            <w:r>
              <w:rPr>
                <w:rFonts w:hint="default" w:ascii="Times New Roman" w:hAnsi="Times New Roman" w:cs="Times New Roman"/>
                <w:color w:val="auto"/>
                <w:sz w:val="24"/>
                <w:szCs w:val="24"/>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6C56B8E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（4）</w:t>
            </w:r>
            <w:r>
              <w:rPr>
                <w:rFonts w:hint="default" w:ascii="Times New Roman" w:hAnsi="Times New Roman" w:cs="Times New Roman"/>
                <w:color w:val="auto"/>
                <w:sz w:val="24"/>
                <w:szCs w:val="24"/>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7828BDE5">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（5）</w:t>
            </w:r>
            <w:r>
              <w:rPr>
                <w:rFonts w:hint="default" w:ascii="Times New Roman" w:hAnsi="Times New Roman" w:cs="Times New Roman"/>
                <w:color w:val="auto"/>
                <w:sz w:val="24"/>
                <w:szCs w:val="24"/>
              </w:rPr>
              <w:t>要加强设备、仪器、仪表的检查、维护、检修，保证设备完好运行，防止跑、冒、滴、漏对环境的污染。</w:t>
            </w:r>
          </w:p>
          <w:p w14:paraId="11E5BA40">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（6）</w:t>
            </w:r>
            <w:r>
              <w:rPr>
                <w:rFonts w:hint="default" w:ascii="Times New Roman" w:hAnsi="Times New Roman" w:cs="Times New Roman"/>
                <w:color w:val="auto"/>
                <w:sz w:val="24"/>
                <w:szCs w:val="24"/>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6687FF53">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（7）</w:t>
            </w:r>
            <w:r>
              <w:rPr>
                <w:rFonts w:hint="default" w:ascii="Times New Roman" w:hAnsi="Times New Roman" w:cs="Times New Roman"/>
                <w:color w:val="auto"/>
                <w:sz w:val="24"/>
                <w:szCs w:val="24"/>
              </w:rPr>
              <w:t>做好绿化的建设和维护工作。绿色植物不仅能涵养水分，保持水土，而且能挡尘降噪，调节小气候，有利于改善生态环境。</w:t>
            </w:r>
          </w:p>
          <w:p w14:paraId="538286DA">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（8）</w:t>
            </w:r>
            <w:r>
              <w:rPr>
                <w:rFonts w:hint="default" w:ascii="Times New Roman" w:hAnsi="Times New Roman" w:cs="Times New Roman"/>
                <w:color w:val="auto"/>
                <w:sz w:val="24"/>
                <w:szCs w:val="24"/>
              </w:rPr>
              <w:t>建立环境管理体系，提高环境管理水平。定期进行清洁生产审计，不断采用无污染和少污染的新工艺和新技术。</w:t>
            </w:r>
          </w:p>
          <w:p w14:paraId="35CB1EDB">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（9）</w:t>
            </w:r>
            <w:r>
              <w:rPr>
                <w:rFonts w:hint="default" w:ascii="Times New Roman" w:hAnsi="Times New Roman" w:cs="Times New Roman"/>
                <w:color w:val="auto"/>
                <w:sz w:val="24"/>
                <w:szCs w:val="24"/>
              </w:rPr>
              <w:t>接受</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的监督检查。主要内容有：污染物排放情况、环保设施运行管理情况、环境监测及污染物监测情况、环境事故的调查和有关记录、污染源建档记录等。</w:t>
            </w:r>
          </w:p>
          <w:p w14:paraId="4491AC9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（二）排污口规范化 </w:t>
            </w:r>
          </w:p>
          <w:p w14:paraId="26C866B4">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6DD34E6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auto"/>
                <w:sz w:val="24"/>
                <w:szCs w:val="24"/>
                <w:lang w:val="en-US" w:eastAsia="zh-CN"/>
              </w:rPr>
              <w:t>与</w:t>
            </w:r>
            <w:r>
              <w:rPr>
                <w:rFonts w:hint="default" w:ascii="Times New Roman" w:hAnsi="Times New Roman" w:cs="Times New Roman"/>
                <w:color w:val="auto"/>
                <w:sz w:val="24"/>
                <w:szCs w:val="24"/>
              </w:rPr>
              <w:t>污染治理同步实施，即治理设施完工时，规范化工作必须同时完成，并列入污染治理设施的验收内容。</w:t>
            </w:r>
          </w:p>
          <w:p w14:paraId="59896F4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 xml:space="preserve">排污口规范化内容 </w:t>
            </w:r>
          </w:p>
          <w:p w14:paraId="1FD554E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（1）</w:t>
            </w:r>
            <w:r>
              <w:rPr>
                <w:rFonts w:hint="default" w:ascii="Times New Roman" w:hAnsi="Times New Roman" w:cs="Times New Roman"/>
                <w:color w:val="auto"/>
                <w:sz w:val="24"/>
                <w:szCs w:val="24"/>
              </w:rPr>
              <w:t>需规范化排放口：排放口应预留监测口，做到便于采样和测定流量，并设立标志。</w:t>
            </w:r>
          </w:p>
          <w:p w14:paraId="62CFAE38">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（2）</w:t>
            </w:r>
            <w:r>
              <w:rPr>
                <w:rFonts w:hint="default" w:ascii="Times New Roman" w:hAnsi="Times New Roman" w:cs="Times New Roman"/>
                <w:color w:val="auto"/>
                <w:sz w:val="24"/>
                <w:szCs w:val="24"/>
              </w:rPr>
              <w:t>排污口的管理：建设单位应在各排污口处设置较明显的排污口标志牌，其上应注明主要排污污染物的名称。建设单位应如实填写《中华人民共和国规范化排污口标志登记证》的有关内容，由</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签发登记证。建设单位应将有关排污口的情况如：排污口的性质、编号、排污口的位置；主要排放的污染物种类、数量、浓度、排放规律、排放去向；污染治理措施的运行情况等进行建档管理，并报送</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备案。排污口规范化标识详见下表。</w:t>
            </w:r>
          </w:p>
          <w:p w14:paraId="5EDBE2AB">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表5-1排污口规范化标识示意图表</w:t>
            </w:r>
          </w:p>
          <w:tbl>
            <w:tblPr>
              <w:tblStyle w:val="48"/>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1442"/>
              <w:gridCol w:w="1254"/>
              <w:gridCol w:w="1254"/>
              <w:gridCol w:w="1807"/>
            </w:tblGrid>
            <w:tr w14:paraId="16A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noWrap w:val="0"/>
                  <w:vAlign w:val="top"/>
                </w:tcPr>
                <w:p w14:paraId="3175361C">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废水排放口</w:t>
                  </w:r>
                </w:p>
              </w:tc>
              <w:tc>
                <w:tcPr>
                  <w:tcW w:w="1444" w:type="dxa"/>
                  <w:noWrap w:val="0"/>
                  <w:vAlign w:val="top"/>
                </w:tcPr>
                <w:p w14:paraId="73AF747B">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废气排放口</w:t>
                  </w:r>
                </w:p>
              </w:tc>
              <w:tc>
                <w:tcPr>
                  <w:tcW w:w="1256" w:type="dxa"/>
                  <w:noWrap w:val="0"/>
                  <w:vAlign w:val="top"/>
                </w:tcPr>
                <w:p w14:paraId="1F70C5D5">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噪声源</w:t>
                  </w:r>
                </w:p>
              </w:tc>
              <w:tc>
                <w:tcPr>
                  <w:tcW w:w="1256" w:type="dxa"/>
                  <w:noWrap w:val="0"/>
                  <w:vAlign w:val="top"/>
                </w:tcPr>
                <w:p w14:paraId="5A638C77">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固体废弃物堆场</w:t>
                  </w:r>
                </w:p>
              </w:tc>
              <w:tc>
                <w:tcPr>
                  <w:tcW w:w="1810" w:type="dxa"/>
                  <w:noWrap w:val="0"/>
                  <w:vAlign w:val="top"/>
                </w:tcPr>
                <w:p w14:paraId="2427CAAF">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危险废物暂存</w:t>
                  </w:r>
                </w:p>
              </w:tc>
            </w:tr>
            <w:tr w14:paraId="4556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95" w:type="dxa"/>
                  <w:noWrap w:val="0"/>
                  <w:vAlign w:val="center"/>
                </w:tcPr>
                <w:p w14:paraId="580D711C">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40715" cy="647700"/>
                        <wp:effectExtent l="0" t="0" r="6985" b="0"/>
                        <wp:docPr id="188" name="图片 12" descr="排放口"/>
                        <wp:cNvGraphicFramePr/>
                        <a:graphic xmlns:a="http://schemas.openxmlformats.org/drawingml/2006/main">
                          <a:graphicData uri="http://schemas.openxmlformats.org/drawingml/2006/picture">
                            <pic:pic xmlns:pic="http://schemas.openxmlformats.org/drawingml/2006/picture">
                              <pic:nvPicPr>
                                <pic:cNvPr id="188" name="图片 12" descr="排放口"/>
                                <pic:cNvPicPr/>
                              </pic:nvPicPr>
                              <pic:blipFill>
                                <a:blip r:embed="rId49"/>
                                <a:srcRect l="66771" t="5846" r="3780" b="55385"/>
                                <a:stretch>
                                  <a:fillRect/>
                                </a:stretch>
                              </pic:blipFill>
                              <pic:spPr>
                                <a:xfrm>
                                  <a:off x="0" y="0"/>
                                  <a:ext cx="640715" cy="647700"/>
                                </a:xfrm>
                                <a:prstGeom prst="rect">
                                  <a:avLst/>
                                </a:prstGeom>
                                <a:noFill/>
                                <a:ln>
                                  <a:noFill/>
                                </a:ln>
                              </pic:spPr>
                            </pic:pic>
                          </a:graphicData>
                        </a:graphic>
                      </wp:inline>
                    </w:drawing>
                  </w:r>
                </w:p>
              </w:tc>
              <w:tc>
                <w:tcPr>
                  <w:tcW w:w="1444" w:type="dxa"/>
                  <w:noWrap w:val="0"/>
                  <w:vAlign w:val="top"/>
                </w:tcPr>
                <w:p w14:paraId="24319959">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37540" cy="647700"/>
                        <wp:effectExtent l="0" t="0" r="10160" b="0"/>
                        <wp:docPr id="189" name="图片 13" descr="排放口"/>
                        <wp:cNvGraphicFramePr/>
                        <a:graphic xmlns:a="http://schemas.openxmlformats.org/drawingml/2006/main">
                          <a:graphicData uri="http://schemas.openxmlformats.org/drawingml/2006/picture">
                            <pic:pic xmlns:pic="http://schemas.openxmlformats.org/drawingml/2006/picture">
                              <pic:nvPicPr>
                                <pic:cNvPr id="189" name="图片 13" descr="排放口"/>
                                <pic:cNvPicPr/>
                              </pic:nvPicPr>
                              <pic:blipFill>
                                <a:blip r:embed="rId50"/>
                                <a:srcRect l="19153" t="6250" r="51726" b="55122"/>
                                <a:stretch>
                                  <a:fillRect/>
                                </a:stretch>
                              </pic:blipFill>
                              <pic:spPr>
                                <a:xfrm>
                                  <a:off x="0" y="0"/>
                                  <a:ext cx="637540" cy="647700"/>
                                </a:xfrm>
                                <a:prstGeom prst="rect">
                                  <a:avLst/>
                                </a:prstGeom>
                                <a:noFill/>
                                <a:ln>
                                  <a:noFill/>
                                </a:ln>
                              </pic:spPr>
                            </pic:pic>
                          </a:graphicData>
                        </a:graphic>
                      </wp:inline>
                    </w:drawing>
                  </w:r>
                </w:p>
              </w:tc>
              <w:tc>
                <w:tcPr>
                  <w:tcW w:w="1256" w:type="dxa"/>
                  <w:noWrap w:val="0"/>
                  <w:vAlign w:val="top"/>
                </w:tcPr>
                <w:p w14:paraId="25A8E5E9">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38810" cy="647700"/>
                        <wp:effectExtent l="0" t="0" r="8890" b="0"/>
                        <wp:docPr id="193" name="图片 14" descr="排放口"/>
                        <wp:cNvGraphicFramePr/>
                        <a:graphic xmlns:a="http://schemas.openxmlformats.org/drawingml/2006/main">
                          <a:graphicData uri="http://schemas.openxmlformats.org/drawingml/2006/picture">
                            <pic:pic xmlns:pic="http://schemas.openxmlformats.org/drawingml/2006/picture">
                              <pic:nvPicPr>
                                <pic:cNvPr id="193" name="图片 14" descr="排放口"/>
                                <pic:cNvPicPr/>
                              </pic:nvPicPr>
                              <pic:blipFill>
                                <a:blip r:embed="rId51"/>
                                <a:srcRect l="51723" t="47942" r="27068" b="13129"/>
                                <a:stretch>
                                  <a:fillRect/>
                                </a:stretch>
                              </pic:blipFill>
                              <pic:spPr>
                                <a:xfrm>
                                  <a:off x="0" y="0"/>
                                  <a:ext cx="638810" cy="647700"/>
                                </a:xfrm>
                                <a:prstGeom prst="rect">
                                  <a:avLst/>
                                </a:prstGeom>
                                <a:noFill/>
                                <a:ln>
                                  <a:noFill/>
                                </a:ln>
                              </pic:spPr>
                            </pic:pic>
                          </a:graphicData>
                        </a:graphic>
                      </wp:inline>
                    </w:drawing>
                  </w:r>
                </w:p>
              </w:tc>
              <w:tc>
                <w:tcPr>
                  <w:tcW w:w="1256" w:type="dxa"/>
                  <w:noWrap w:val="0"/>
                  <w:vAlign w:val="top"/>
                </w:tcPr>
                <w:p w14:paraId="45E81E56">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52145" cy="647700"/>
                        <wp:effectExtent l="0" t="0" r="14605" b="0"/>
                        <wp:docPr id="194" name="图片 15" descr="排放口"/>
                        <wp:cNvGraphicFramePr/>
                        <a:graphic xmlns:a="http://schemas.openxmlformats.org/drawingml/2006/main">
                          <a:graphicData uri="http://schemas.openxmlformats.org/drawingml/2006/picture">
                            <pic:pic xmlns:pic="http://schemas.openxmlformats.org/drawingml/2006/picture">
                              <pic:nvPicPr>
                                <pic:cNvPr id="194" name="图片 15" descr="排放口"/>
                                <pic:cNvPicPr/>
                              </pic:nvPicPr>
                              <pic:blipFill>
                                <a:blip r:embed="rId52"/>
                                <a:srcRect l="18872" t="47525" r="51678" b="14359"/>
                                <a:stretch>
                                  <a:fillRect/>
                                </a:stretch>
                              </pic:blipFill>
                              <pic:spPr>
                                <a:xfrm>
                                  <a:off x="0" y="0"/>
                                  <a:ext cx="652145" cy="647700"/>
                                </a:xfrm>
                                <a:prstGeom prst="rect">
                                  <a:avLst/>
                                </a:prstGeom>
                                <a:noFill/>
                                <a:ln>
                                  <a:noFill/>
                                </a:ln>
                              </pic:spPr>
                            </pic:pic>
                          </a:graphicData>
                        </a:graphic>
                      </wp:inline>
                    </w:drawing>
                  </w:r>
                </w:p>
              </w:tc>
              <w:tc>
                <w:tcPr>
                  <w:tcW w:w="1810" w:type="dxa"/>
                  <w:noWrap w:val="0"/>
                  <w:vAlign w:val="top"/>
                </w:tcPr>
                <w:p w14:paraId="5E9E971A">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73735" cy="687070"/>
                        <wp:effectExtent l="0" t="0" r="12065" b="17780"/>
                        <wp:docPr id="195" name="图片 16"/>
                        <wp:cNvGraphicFramePr/>
                        <a:graphic xmlns:a="http://schemas.openxmlformats.org/drawingml/2006/main">
                          <a:graphicData uri="http://schemas.openxmlformats.org/drawingml/2006/picture">
                            <pic:pic xmlns:pic="http://schemas.openxmlformats.org/drawingml/2006/picture">
                              <pic:nvPicPr>
                                <pic:cNvPr id="195" name="图片 16"/>
                                <pic:cNvPicPr/>
                              </pic:nvPicPr>
                              <pic:blipFill>
                                <a:blip r:embed="rId53"/>
                                <a:srcRect l="15968" t="5974" r="13557" b="48367"/>
                                <a:stretch>
                                  <a:fillRect/>
                                </a:stretch>
                              </pic:blipFill>
                              <pic:spPr>
                                <a:xfrm>
                                  <a:off x="0" y="0"/>
                                  <a:ext cx="673735" cy="687070"/>
                                </a:xfrm>
                                <a:prstGeom prst="rect">
                                  <a:avLst/>
                                </a:prstGeom>
                                <a:noFill/>
                                <a:ln>
                                  <a:noFill/>
                                </a:ln>
                              </pic:spPr>
                            </pic:pic>
                          </a:graphicData>
                        </a:graphic>
                      </wp:inline>
                    </w:drawing>
                  </w:r>
                </w:p>
              </w:tc>
            </w:tr>
            <w:tr w14:paraId="2216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1" w:type="dxa"/>
                  <w:gridSpan w:val="4"/>
                  <w:noWrap w:val="0"/>
                  <w:vAlign w:val="top"/>
                </w:tcPr>
                <w:p w14:paraId="626549DC">
                  <w:pPr>
                    <w:pStyle w:val="175"/>
                    <w:keepNext w:val="0"/>
                    <w:keepLines w:val="0"/>
                    <w:pageBreakBefore w:val="0"/>
                    <w:widowControl w:val="0"/>
                    <w:kinsoku/>
                    <w:overflowPunct/>
                    <w:topLinePunct w:val="0"/>
                    <w:autoSpaceDE/>
                    <w:autoSpaceDN/>
                    <w:bidi w:val="0"/>
                    <w:spacing w:before="0" w:after="0" w:line="240" w:lineRule="auto"/>
                    <w:ind w:firstLine="422" w:firstLineChars="200"/>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背景颜色：绿色            图形颜色：白色</w:t>
                  </w:r>
                </w:p>
              </w:tc>
              <w:tc>
                <w:tcPr>
                  <w:tcW w:w="1810" w:type="dxa"/>
                  <w:noWrap w:val="0"/>
                  <w:vAlign w:val="top"/>
                </w:tcPr>
                <w:p w14:paraId="37DE3FEE">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底色为黄色，图形字体边框为黑色</w:t>
                  </w:r>
                </w:p>
              </w:tc>
            </w:tr>
          </w:tbl>
          <w:p w14:paraId="44350BD0">
            <w:pPr>
              <w:pStyle w:val="176"/>
              <w:keepNext w:val="0"/>
              <w:keepLines w:val="0"/>
              <w:pageBreakBefore w:val="0"/>
              <w:widowControl w:val="0"/>
              <w:numPr>
                <w:ilvl w:val="0"/>
                <w:numId w:val="0"/>
              </w:numPr>
              <w:kinsoku/>
              <w:overflowPunct/>
              <w:topLinePunct w:val="0"/>
              <w:autoSpaceDE/>
              <w:autoSpaceDN/>
              <w:bidi w:val="0"/>
              <w:spacing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bCs/>
                <w:color w:val="auto"/>
                <w:sz w:val="24"/>
                <w:szCs w:val="24"/>
              </w:rPr>
              <w:t>（三）</w:t>
            </w:r>
            <w:r>
              <w:rPr>
                <w:rFonts w:hint="default" w:ascii="Times New Roman" w:hAnsi="Times New Roman" w:cs="Times New Roman"/>
                <w:color w:val="auto"/>
                <w:sz w:val="24"/>
                <w:szCs w:val="24"/>
              </w:rPr>
              <w:t>排污许可</w:t>
            </w:r>
          </w:p>
          <w:p w14:paraId="7A9D3127">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根据《固定污染源排污许可分类管理名录（2019版）》，对本项目排污许可分类进行判定，具体如下：</w:t>
            </w:r>
          </w:p>
          <w:p w14:paraId="1271236F">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表5-2 项目排污许可类别判定表</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145"/>
              <w:gridCol w:w="1384"/>
              <w:gridCol w:w="1546"/>
              <w:gridCol w:w="991"/>
              <w:gridCol w:w="1034"/>
            </w:tblGrid>
            <w:tr w14:paraId="4ED9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noWrap w:val="0"/>
                  <w:vAlign w:val="center"/>
                </w:tcPr>
                <w:p w14:paraId="1077146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国民经济行业类别</w:t>
                  </w:r>
                </w:p>
              </w:tc>
              <w:tc>
                <w:tcPr>
                  <w:tcW w:w="812" w:type="pct"/>
                  <w:vMerge w:val="restart"/>
                  <w:tcBorders>
                    <w:tl2br w:val="nil"/>
                    <w:tr2bl w:val="nil"/>
                  </w:tcBorders>
                  <w:noWrap w:val="0"/>
                  <w:vAlign w:val="center"/>
                </w:tcPr>
                <w:p w14:paraId="28F0FFA3">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建设项目行业类别</w:t>
                  </w:r>
                </w:p>
              </w:tc>
              <w:tc>
                <w:tcPr>
                  <w:tcW w:w="3514" w:type="pct"/>
                  <w:gridSpan w:val="4"/>
                  <w:tcBorders>
                    <w:tl2br w:val="nil"/>
                    <w:tr2bl w:val="nil"/>
                  </w:tcBorders>
                  <w:noWrap w:val="0"/>
                  <w:vAlign w:val="center"/>
                </w:tcPr>
                <w:p w14:paraId="073E45CF">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排污许可类别判定</w:t>
                  </w:r>
                </w:p>
              </w:tc>
            </w:tr>
            <w:tr w14:paraId="2D57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noWrap w:val="0"/>
                  <w:vAlign w:val="center"/>
                </w:tcPr>
                <w:p w14:paraId="3931FA56">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p>
              </w:tc>
              <w:tc>
                <w:tcPr>
                  <w:tcW w:w="812" w:type="pct"/>
                  <w:vMerge w:val="continue"/>
                  <w:tcBorders>
                    <w:tl2br w:val="nil"/>
                    <w:tr2bl w:val="nil"/>
                  </w:tcBorders>
                  <w:noWrap w:val="0"/>
                  <w:vAlign w:val="center"/>
                </w:tcPr>
                <w:p w14:paraId="3EF4CB3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p>
              </w:tc>
              <w:tc>
                <w:tcPr>
                  <w:tcW w:w="978" w:type="pct"/>
                  <w:tcBorders>
                    <w:tl2br w:val="nil"/>
                    <w:tr2bl w:val="nil"/>
                  </w:tcBorders>
                  <w:noWrap w:val="0"/>
                  <w:vAlign w:val="center"/>
                </w:tcPr>
                <w:p w14:paraId="0FF874BA">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重点管理</w:t>
                  </w:r>
                </w:p>
              </w:tc>
              <w:tc>
                <w:tcPr>
                  <w:tcW w:w="1095" w:type="pct"/>
                  <w:tcBorders>
                    <w:tl2br w:val="nil"/>
                    <w:tr2bl w:val="nil"/>
                  </w:tcBorders>
                  <w:noWrap w:val="0"/>
                  <w:vAlign w:val="center"/>
                </w:tcPr>
                <w:p w14:paraId="5A89532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简化管理</w:t>
                  </w:r>
                </w:p>
              </w:tc>
              <w:tc>
                <w:tcPr>
                  <w:tcW w:w="701" w:type="pct"/>
                  <w:tcBorders>
                    <w:tl2br w:val="nil"/>
                    <w:tr2bl w:val="nil"/>
                  </w:tcBorders>
                  <w:noWrap w:val="0"/>
                  <w:vAlign w:val="center"/>
                </w:tcPr>
                <w:p w14:paraId="6726954F">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登记管理</w:t>
                  </w:r>
                </w:p>
              </w:tc>
              <w:tc>
                <w:tcPr>
                  <w:tcW w:w="738" w:type="pct"/>
                  <w:tcBorders>
                    <w:tl2br w:val="nil"/>
                    <w:tr2bl w:val="nil"/>
                  </w:tcBorders>
                  <w:noWrap w:val="0"/>
                  <w:vAlign w:val="center"/>
                </w:tcPr>
                <w:p w14:paraId="4910075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w:t>
                  </w:r>
                </w:p>
              </w:tc>
            </w:tr>
            <w:tr w14:paraId="6AEA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noWrap w:val="0"/>
                  <w:vAlign w:val="center"/>
                </w:tcPr>
                <w:p w14:paraId="20D59A1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C3360金属表面处理及热处理加工</w:t>
                  </w:r>
                </w:p>
              </w:tc>
              <w:tc>
                <w:tcPr>
                  <w:tcW w:w="812" w:type="pct"/>
                  <w:tcBorders>
                    <w:tl2br w:val="nil"/>
                    <w:tr2bl w:val="nil"/>
                  </w:tcBorders>
                  <w:noWrap w:val="0"/>
                  <w:vAlign w:val="center"/>
                </w:tcPr>
                <w:p w14:paraId="09429E3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三十、金属制品业 33—67、金属表面处理及热处理加工 336</w:t>
                  </w:r>
                </w:p>
              </w:tc>
              <w:tc>
                <w:tcPr>
                  <w:tcW w:w="1384" w:type="dxa"/>
                  <w:tcBorders>
                    <w:tl2br w:val="nil"/>
                    <w:tr2bl w:val="nil"/>
                  </w:tcBorders>
                  <w:noWrap w:val="0"/>
                  <w:vAlign w:val="center"/>
                </w:tcPr>
                <w:p w14:paraId="2746C28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纳入重点排污单位名录的，专业电镀企业（含电镀园区中电镀企业），专门处理电镀废水的集中处理设施，有电镀工序的，有含铬钝化工序的</w:t>
                  </w:r>
                </w:p>
              </w:tc>
              <w:tc>
                <w:tcPr>
                  <w:tcW w:w="1546" w:type="dxa"/>
                  <w:tcBorders>
                    <w:tl2br w:val="nil"/>
                    <w:tr2bl w:val="nil"/>
                  </w:tcBorders>
                  <w:noWrap w:val="0"/>
                  <w:vAlign w:val="center"/>
                </w:tcPr>
                <w:p w14:paraId="5C76B18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除重点管理以外的有酸洗、抛光（电解抛光和化学抛光）、热浸镀（溶剂法）、淬火或者无铬钝化等工序的、年使用10吨及以上有机溶剂的</w:t>
                  </w:r>
                </w:p>
              </w:tc>
              <w:tc>
                <w:tcPr>
                  <w:tcW w:w="701" w:type="pct"/>
                  <w:tcBorders>
                    <w:tl2br w:val="nil"/>
                    <w:tr2bl w:val="nil"/>
                  </w:tcBorders>
                  <w:noWrap w:val="0"/>
                  <w:vAlign w:val="center"/>
                </w:tcPr>
                <w:p w14:paraId="64E291CA">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其他</w:t>
                  </w:r>
                </w:p>
              </w:tc>
              <w:tc>
                <w:tcPr>
                  <w:tcW w:w="738" w:type="pct"/>
                  <w:tcBorders>
                    <w:tl2br w:val="nil"/>
                    <w:tr2bl w:val="nil"/>
                  </w:tcBorders>
                  <w:noWrap w:val="0"/>
                  <w:vAlign w:val="center"/>
                </w:tcPr>
                <w:p w14:paraId="6B1EA23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本项目生产</w:t>
                  </w:r>
                  <w:r>
                    <w:rPr>
                      <w:rFonts w:hint="eastAsia" w:ascii="Times New Roman" w:hAnsi="Times New Roman" w:cs="Times New Roman"/>
                      <w:color w:val="auto"/>
                      <w:sz w:val="21"/>
                      <w:szCs w:val="21"/>
                      <w:lang w:val="en-US" w:eastAsia="zh-CN"/>
                    </w:rPr>
                    <w:t>有无铬钝化工序</w:t>
                  </w:r>
                  <w:r>
                    <w:rPr>
                      <w:rFonts w:hint="default" w:ascii="Times New Roman" w:hAnsi="Times New Roman" w:cs="Times New Roman"/>
                      <w:color w:val="auto"/>
                      <w:sz w:val="21"/>
                      <w:szCs w:val="21"/>
                    </w:rPr>
                    <w:t>，实行</w:t>
                  </w:r>
                  <w:r>
                    <w:rPr>
                      <w:rFonts w:hint="eastAsia" w:ascii="Times New Roman" w:hAnsi="Times New Roman" w:cs="Times New Roman"/>
                      <w:color w:val="auto"/>
                      <w:sz w:val="21"/>
                      <w:szCs w:val="21"/>
                      <w:lang w:val="en-US" w:eastAsia="zh-CN"/>
                    </w:rPr>
                    <w:t>简化</w:t>
                  </w:r>
                  <w:r>
                    <w:rPr>
                      <w:rFonts w:hint="default" w:ascii="Times New Roman" w:hAnsi="Times New Roman" w:cs="Times New Roman"/>
                      <w:color w:val="auto"/>
                      <w:sz w:val="21"/>
                      <w:szCs w:val="21"/>
                    </w:rPr>
                    <w:t>管理</w:t>
                  </w:r>
                </w:p>
              </w:tc>
            </w:tr>
          </w:tbl>
          <w:p w14:paraId="0676DFF0">
            <w:pPr>
              <w:pStyle w:val="28"/>
              <w:keepNext w:val="0"/>
              <w:keepLines w:val="0"/>
              <w:pageBreakBefore w:val="0"/>
              <w:widowControl w:val="0"/>
              <w:numPr>
                <w:ilvl w:val="0"/>
                <w:numId w:val="0"/>
              </w:numPr>
              <w:kinsoku/>
              <w:overflowPunct/>
              <w:topLinePunct w:val="0"/>
              <w:autoSpaceDE/>
              <w:autoSpaceDN/>
              <w:bidi w:val="0"/>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对照名录分析，本项目属于</w:t>
            </w:r>
            <w:r>
              <w:rPr>
                <w:rFonts w:hint="eastAsia" w:cs="Times New Roman"/>
                <w:color w:val="auto"/>
                <w:sz w:val="24"/>
                <w:szCs w:val="24"/>
                <w:lang w:val="en-US" w:eastAsia="zh-CN"/>
              </w:rPr>
              <w:t>简化</w:t>
            </w:r>
            <w:r>
              <w:rPr>
                <w:rFonts w:hint="default" w:ascii="Times New Roman" w:hAnsi="Times New Roman" w:cs="Times New Roman"/>
                <w:color w:val="auto"/>
                <w:sz w:val="24"/>
                <w:szCs w:val="24"/>
              </w:rPr>
              <w:t>管理。建设单位应在启动生产设施或者实际排污之前，依法向韶关市生态环境局乐昌分局申请取得排污许可证，并按照排污许可证的规定排放污染物。</w:t>
            </w:r>
          </w:p>
          <w:p w14:paraId="31D59186">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（四）竣工验收要求</w:t>
            </w:r>
          </w:p>
          <w:p w14:paraId="303F2520">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根据《建设项目竣工环境保护验收暂行办法》（国环规环评〔2017〕4号），建设单位自行验收。本项目自行验收要求如下： </w:t>
            </w:r>
          </w:p>
          <w:p w14:paraId="08A6162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5795007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1BB3A60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 xml:space="preserve">存在下列情形之一的建设项目，不得通过竣工环境保护验收： </w:t>
            </w:r>
          </w:p>
          <w:p w14:paraId="6AFF521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未按环境影响报告表及其审批部门审批决定要求建成环境保护设施，或者环境保护设施不能与主体工程同时投产或者使用的；</w:t>
            </w:r>
          </w:p>
          <w:p w14:paraId="7A0CC8E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污染物排放不符合国家和地方相关标准、环境影响报告书及其审批部门审批决定或者重点污染物排放总量控制指标要求的；</w:t>
            </w:r>
          </w:p>
          <w:p w14:paraId="4D533485">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55142E74">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建设过程中造成重大环境污染未治理完成，或者造成重大生态破坏未恢复的； </w:t>
            </w:r>
          </w:p>
          <w:p w14:paraId="17DA7C1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纳入排污许可管理的建设项目，无证排污或者不按证排污的；</w:t>
            </w:r>
          </w:p>
          <w:p w14:paraId="5A98AA6F">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建设单位因该建设项目违反国家和地方环境保护法律法规受到处罚，被责令改正，尚未改正完成的；</w:t>
            </w:r>
          </w:p>
          <w:p w14:paraId="1A602528">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验收报告的基础资料数据明显不实，内容存在重大缺项、遗漏，或者验收结论不明确、不合理的。</w:t>
            </w:r>
          </w:p>
          <w:p w14:paraId="4E694CAB">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cs="Times New Roman"/>
                <w:color w:val="auto"/>
                <w:sz w:val="24"/>
                <w:szCs w:val="24"/>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4BB5660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①</w:t>
            </w:r>
            <w:r>
              <w:rPr>
                <w:rFonts w:hint="default" w:ascii="Times New Roman" w:hAnsi="Times New Roman" w:cs="Times New Roman"/>
                <w:color w:val="auto"/>
                <w:sz w:val="24"/>
                <w:szCs w:val="24"/>
              </w:rPr>
              <w:t>建设项目配套建设的环境保护设施竣工后，公开竣工日期；</w:t>
            </w:r>
          </w:p>
          <w:p w14:paraId="52DA14DD">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②</w:t>
            </w:r>
            <w:r>
              <w:rPr>
                <w:rFonts w:hint="default" w:ascii="Times New Roman" w:hAnsi="Times New Roman" w:cs="Times New Roman"/>
                <w:color w:val="auto"/>
                <w:sz w:val="24"/>
                <w:szCs w:val="24"/>
              </w:rPr>
              <w:t>对建设项目配套建设的环境保护设施进行调试前，公开调试的起止日期；</w:t>
            </w:r>
          </w:p>
          <w:p w14:paraId="3F2F304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③</w:t>
            </w:r>
            <w:r>
              <w:rPr>
                <w:rFonts w:hint="default" w:ascii="Times New Roman" w:hAnsi="Times New Roman" w:cs="Times New Roman"/>
                <w:color w:val="auto"/>
                <w:sz w:val="24"/>
                <w:szCs w:val="24"/>
              </w:rPr>
              <w:t>验收报告编制完成后5个工作日内，公开验收报告，公示的期限不得少于20个工作日。</w:t>
            </w:r>
          </w:p>
          <w:p w14:paraId="763EA42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cs="Times New Roman"/>
                <w:color w:val="auto"/>
                <w:sz w:val="24"/>
                <w:szCs w:val="24"/>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6A216999">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p>
          <w:p w14:paraId="6D7F7548">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cs="Times New Roman"/>
                <w:color w:val="auto"/>
                <w:sz w:val="24"/>
                <w:szCs w:val="24"/>
              </w:rPr>
            </w:pPr>
          </w:p>
          <w:p w14:paraId="7826FC5C">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eastAsia="宋体" w:cs="Times New Roman"/>
                <w:color w:val="auto"/>
                <w:sz w:val="21"/>
                <w:szCs w:val="21"/>
                <w:highlight w:val="none"/>
              </w:rPr>
            </w:pPr>
          </w:p>
        </w:tc>
      </w:tr>
    </w:tbl>
    <w:p w14:paraId="4E97CFFA">
      <w:pPr>
        <w:pStyle w:val="45"/>
        <w:jc w:val="center"/>
        <w:outlineLvl w:val="0"/>
        <w:rPr>
          <w:rFonts w:ascii="黑体" w:hAnsi="黑体" w:eastAsia="黑体"/>
          <w:snapToGrid w:val="0"/>
          <w:color w:val="auto"/>
          <w:sz w:val="30"/>
          <w:szCs w:val="30"/>
          <w:highlight w:val="none"/>
        </w:rPr>
      </w:pPr>
      <w:r>
        <w:rPr>
          <w:snapToGrid w:val="0"/>
          <w:color w:val="auto"/>
          <w:highlight w:val="none"/>
        </w:rPr>
        <w:br w:type="page"/>
      </w:r>
      <w:bookmarkStart w:id="41" w:name="_Toc6762"/>
      <w:bookmarkStart w:id="42" w:name="_Toc9674"/>
      <w:bookmarkStart w:id="43" w:name="_Toc7332"/>
      <w:bookmarkStart w:id="44" w:name="_Toc22078"/>
      <w:r>
        <w:rPr>
          <w:rFonts w:hint="eastAsia" w:ascii="黑体" w:hAnsi="黑体" w:eastAsia="黑体"/>
          <w:snapToGrid w:val="0"/>
          <w:color w:val="auto"/>
          <w:sz w:val="30"/>
          <w:szCs w:val="30"/>
          <w:highlight w:val="none"/>
        </w:rPr>
        <w:t>六、结论</w:t>
      </w:r>
      <w:bookmarkEnd w:id="41"/>
      <w:bookmarkEnd w:id="42"/>
      <w:bookmarkEnd w:id="43"/>
      <w:bookmarkEnd w:id="44"/>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EACA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91" w:hRule="atLeast"/>
          <w:jc w:val="center"/>
        </w:trPr>
        <w:tc>
          <w:tcPr>
            <w:tcW w:w="8865" w:type="dxa"/>
            <w:noWrap w:val="0"/>
            <w:vAlign w:val="center"/>
          </w:tcPr>
          <w:p w14:paraId="09411B3E">
            <w:pPr>
              <w:spacing w:line="360" w:lineRule="auto"/>
              <w:ind w:firstLine="480" w:firstLineChars="200"/>
              <w:rPr>
                <w:rFonts w:ascii="宋体" w:cs="宋体"/>
                <w:color w:val="auto"/>
                <w:sz w:val="24"/>
                <w:highlight w:val="none"/>
              </w:rPr>
            </w:pPr>
            <w:r>
              <w:rPr>
                <w:rFonts w:hint="eastAsia" w:ascii="宋体" w:cs="宋体"/>
                <w:color w:val="auto"/>
                <w:sz w:val="24"/>
                <w:highlight w:val="none"/>
              </w:rPr>
              <w:t>本项目</w:t>
            </w:r>
            <w:r>
              <w:rPr>
                <w:rFonts w:ascii="宋体" w:cs="宋体"/>
                <w:color w:val="auto"/>
                <w:sz w:val="24"/>
                <w:highlight w:val="none"/>
              </w:rPr>
              <w:t>性质与周边环境功能区划相符，符合规划布局要求，选址合理可行。项目所在区域大气、水、声环境质量现状良好，因此本项目应认真执行环保“三同时”管理规定，把项目对环境的影响控制在最低限度。在切实落实本环评提出的各项有关环保措施，并确保各种治理设施正常</w:t>
            </w:r>
            <w:r>
              <w:rPr>
                <w:rFonts w:hint="eastAsia" w:ascii="宋体" w:cs="宋体"/>
                <w:color w:val="auto"/>
                <w:sz w:val="24"/>
                <w:highlight w:val="none"/>
                <w:lang w:eastAsia="zh-CN"/>
              </w:rPr>
              <w:t>运转</w:t>
            </w:r>
            <w:r>
              <w:rPr>
                <w:rFonts w:ascii="宋体" w:cs="宋体"/>
                <w:color w:val="auto"/>
                <w:sz w:val="24"/>
                <w:highlight w:val="none"/>
              </w:rPr>
              <w:t>以及确保污染物达标排放前提下，项目对周围环境质量的影响不大，从环境保护角度分析，本项目的建设是可行的。</w:t>
            </w:r>
          </w:p>
        </w:tc>
      </w:tr>
    </w:tbl>
    <w:p w14:paraId="24B6D17E">
      <w:pPr>
        <w:rPr>
          <w:rFonts w:ascii="宋体"/>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117AEA">
      <w:pPr>
        <w:widowControl/>
        <w:adjustRightInd w:val="0"/>
        <w:snapToGrid w:val="0"/>
        <w:spacing w:before="0" w:beforeAutospacing="0" w:after="0" w:afterAutospacing="0"/>
        <w:jc w:val="left"/>
        <w:outlineLvl w:val="0"/>
        <w:rPr>
          <w:rFonts w:ascii="黑体" w:hAnsi="黑体" w:eastAsia="黑体" w:cs="Times New Roman"/>
          <w:snapToGrid w:val="0"/>
          <w:color w:val="auto"/>
          <w:kern w:val="0"/>
          <w:sz w:val="32"/>
          <w:szCs w:val="32"/>
          <w:highlight w:val="none"/>
          <w:lang w:val="en-US" w:eastAsia="zh-CN" w:bidi="ar-SA"/>
        </w:rPr>
      </w:pPr>
      <w:bookmarkStart w:id="45" w:name="_Toc10053"/>
      <w:bookmarkStart w:id="46" w:name="_Toc2248"/>
      <w:bookmarkStart w:id="47" w:name="_Toc4000"/>
      <w:bookmarkStart w:id="48" w:name="_Toc13894"/>
      <w:r>
        <w:rPr>
          <w:rFonts w:hint="eastAsia" w:ascii="黑体" w:hAnsi="黑体" w:eastAsia="黑体" w:cs="Times New Roman"/>
          <w:snapToGrid w:val="0"/>
          <w:color w:val="auto"/>
          <w:kern w:val="0"/>
          <w:sz w:val="32"/>
          <w:szCs w:val="32"/>
          <w:highlight w:val="none"/>
          <w:lang w:val="en-US" w:eastAsia="zh-CN" w:bidi="ar-SA"/>
        </w:rPr>
        <w:t>附表</w:t>
      </w:r>
      <w:bookmarkEnd w:id="45"/>
      <w:bookmarkEnd w:id="46"/>
      <w:bookmarkEnd w:id="47"/>
      <w:bookmarkEnd w:id="48"/>
    </w:p>
    <w:p w14:paraId="535D65B0">
      <w:pPr>
        <w:widowControl/>
        <w:adjustRightInd w:val="0"/>
        <w:snapToGrid w:val="0"/>
        <w:spacing w:before="0" w:beforeAutospacing="0" w:after="0" w:afterAutospacing="0" w:line="552" w:lineRule="auto"/>
        <w:jc w:val="center"/>
        <w:rPr>
          <w:rFonts w:hint="eastAsia" w:ascii="方正小标宋_GBK" w:hAnsi="黑体" w:eastAsia="方正小标宋_GBK" w:cs="Times New Roman"/>
          <w:snapToGrid w:val="0"/>
          <w:color w:val="auto"/>
          <w:kern w:val="0"/>
          <w:sz w:val="38"/>
          <w:szCs w:val="38"/>
          <w:highlight w:val="none"/>
          <w:lang w:val="en-US" w:eastAsia="zh-CN" w:bidi="ar-SA"/>
        </w:rPr>
      </w:pPr>
      <w:bookmarkStart w:id="49" w:name="_Toc6789"/>
      <w:r>
        <w:rPr>
          <w:rFonts w:hint="eastAsia" w:ascii="方正小标宋_GBK" w:hAnsi="黑体" w:eastAsia="方正小标宋_GBK" w:cs="Times New Roman"/>
          <w:snapToGrid w:val="0"/>
          <w:color w:val="auto"/>
          <w:kern w:val="0"/>
          <w:sz w:val="38"/>
          <w:szCs w:val="38"/>
          <w:highlight w:val="none"/>
          <w:lang w:val="en-US" w:eastAsia="zh-CN" w:bidi="ar-SA"/>
        </w:rPr>
        <w:t>建设项目污染物排放量汇总表</w:t>
      </w:r>
      <w:bookmarkEnd w:id="49"/>
    </w:p>
    <w:tbl>
      <w:tblPr>
        <w:tblStyle w:val="48"/>
        <w:tblW w:w="1395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795"/>
        <w:gridCol w:w="1704"/>
        <w:gridCol w:w="1356"/>
        <w:gridCol w:w="1644"/>
        <w:gridCol w:w="1488"/>
        <w:gridCol w:w="1620"/>
        <w:gridCol w:w="1932"/>
        <w:gridCol w:w="1456"/>
      </w:tblGrid>
      <w:tr w14:paraId="120917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62" w:type="dxa"/>
            <w:tcBorders>
              <w:tl2br w:val="single" w:color="auto" w:sz="4" w:space="0"/>
            </w:tcBorders>
            <w:noWrap w:val="0"/>
            <w:tcMar>
              <w:left w:w="28" w:type="dxa"/>
              <w:right w:w="28" w:type="dxa"/>
            </w:tcMar>
            <w:vAlign w:val="center"/>
          </w:tcPr>
          <w:p w14:paraId="66D20467">
            <w:pPr>
              <w:widowControl w:val="0"/>
              <w:adjustRightInd w:val="0"/>
              <w:snapToGrid w:val="0"/>
              <w:spacing w:beforeLines="0" w:afterLines="0" w:line="240" w:lineRule="auto"/>
              <w:ind w:firstLine="398" w:firstLineChars="200"/>
              <w:jc w:val="right"/>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项目</w:t>
            </w:r>
          </w:p>
          <w:p w14:paraId="60CA1145">
            <w:pPr>
              <w:widowControl w:val="0"/>
              <w:adjustRightInd w:val="0"/>
              <w:snapToGrid w:val="0"/>
              <w:spacing w:beforeLines="0" w:afterLines="0" w:line="240" w:lineRule="auto"/>
              <w:ind w:firstLine="0" w:firstLineChars="0"/>
              <w:jc w:val="left"/>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分类</w:t>
            </w:r>
          </w:p>
        </w:tc>
        <w:tc>
          <w:tcPr>
            <w:tcW w:w="1795" w:type="dxa"/>
            <w:noWrap w:val="0"/>
            <w:tcMar>
              <w:left w:w="28" w:type="dxa"/>
              <w:right w:w="28" w:type="dxa"/>
            </w:tcMar>
            <w:vAlign w:val="center"/>
          </w:tcPr>
          <w:p w14:paraId="0F7056B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污染物名称</w:t>
            </w:r>
          </w:p>
        </w:tc>
        <w:tc>
          <w:tcPr>
            <w:tcW w:w="1704" w:type="dxa"/>
            <w:noWrap w:val="0"/>
            <w:tcMar>
              <w:left w:w="28" w:type="dxa"/>
              <w:right w:w="28" w:type="dxa"/>
            </w:tcMar>
            <w:vAlign w:val="center"/>
          </w:tcPr>
          <w:p w14:paraId="728FC8F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1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①</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356" w:type="dxa"/>
            <w:noWrap w:val="0"/>
            <w:tcMar>
              <w:left w:w="28" w:type="dxa"/>
              <w:right w:w="28" w:type="dxa"/>
            </w:tcMar>
            <w:vAlign w:val="center"/>
          </w:tcPr>
          <w:p w14:paraId="4DB37C3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现有工程许可排放量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2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snapToGrid w:val="0"/>
                <w:color w:val="auto"/>
                <w:spacing w:val="-6"/>
                <w:kern w:val="21"/>
                <w:sz w:val="21"/>
                <w:szCs w:val="21"/>
                <w:highlight w:val="none"/>
                <w:lang w:val="en-US" w:eastAsia="zh-CN" w:bidi="ar-SA"/>
              </w:rPr>
              <w:t>②</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644" w:type="dxa"/>
            <w:noWrap w:val="0"/>
            <w:tcMar>
              <w:left w:w="28" w:type="dxa"/>
              <w:right w:w="28" w:type="dxa"/>
            </w:tcMar>
            <w:vAlign w:val="center"/>
          </w:tcPr>
          <w:p w14:paraId="1267373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在建工程排放量（固体废物产生量）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3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③</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488" w:type="dxa"/>
            <w:noWrap w:val="0"/>
            <w:tcMar>
              <w:left w:w="28" w:type="dxa"/>
              <w:right w:w="28" w:type="dxa"/>
            </w:tcMar>
            <w:vAlign w:val="center"/>
          </w:tcPr>
          <w:p w14:paraId="45224A2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本项目排放量（固体废物产生量）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4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④</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620" w:type="dxa"/>
            <w:noWrap w:val="0"/>
            <w:tcMar>
              <w:left w:w="28" w:type="dxa"/>
              <w:right w:w="28" w:type="dxa"/>
            </w:tcMar>
            <w:vAlign w:val="center"/>
          </w:tcPr>
          <w:p w14:paraId="7A271BF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以新带老削减量（新建项目不填）</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5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⑤</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932" w:type="dxa"/>
            <w:noWrap w:val="0"/>
            <w:tcMar>
              <w:left w:w="28" w:type="dxa"/>
              <w:right w:w="28" w:type="dxa"/>
            </w:tcMar>
            <w:vAlign w:val="center"/>
          </w:tcPr>
          <w:p w14:paraId="5359B99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本项目建成后全厂排放量（固体废物产生量）</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6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⑥</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456" w:type="dxa"/>
            <w:noWrap w:val="0"/>
            <w:tcMar>
              <w:left w:w="28" w:type="dxa"/>
              <w:right w:w="28" w:type="dxa"/>
            </w:tcMar>
            <w:vAlign w:val="center"/>
          </w:tcPr>
          <w:p w14:paraId="02483D4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变化量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7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⑦</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r>
      <w:tr w14:paraId="23395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24BFB1AF">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废气</w:t>
            </w:r>
          </w:p>
        </w:tc>
        <w:tc>
          <w:tcPr>
            <w:tcW w:w="1795" w:type="dxa"/>
            <w:noWrap w:val="0"/>
            <w:vAlign w:val="center"/>
          </w:tcPr>
          <w:p w14:paraId="522510E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废气量</w:t>
            </w:r>
          </w:p>
        </w:tc>
        <w:tc>
          <w:tcPr>
            <w:tcW w:w="1704" w:type="dxa"/>
            <w:noWrap w:val="0"/>
            <w:vAlign w:val="center"/>
          </w:tcPr>
          <w:p w14:paraId="5C24E88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356" w:type="dxa"/>
            <w:noWrap w:val="0"/>
            <w:vAlign w:val="center"/>
          </w:tcPr>
          <w:p w14:paraId="73D2F38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644" w:type="dxa"/>
            <w:noWrap w:val="0"/>
            <w:vAlign w:val="center"/>
          </w:tcPr>
          <w:p w14:paraId="699AC11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488" w:type="dxa"/>
            <w:noWrap w:val="0"/>
            <w:vAlign w:val="center"/>
          </w:tcPr>
          <w:p w14:paraId="7FC4B02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c>
          <w:tcPr>
            <w:tcW w:w="1620" w:type="dxa"/>
            <w:noWrap w:val="0"/>
            <w:vAlign w:val="center"/>
          </w:tcPr>
          <w:p w14:paraId="48614F3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932" w:type="dxa"/>
            <w:noWrap w:val="0"/>
            <w:vAlign w:val="center"/>
          </w:tcPr>
          <w:p w14:paraId="1251135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c>
          <w:tcPr>
            <w:tcW w:w="1456" w:type="dxa"/>
            <w:noWrap w:val="0"/>
            <w:vAlign w:val="center"/>
          </w:tcPr>
          <w:p w14:paraId="17962D4E">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r>
      <w:tr w14:paraId="7C666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1309B4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45FA3B0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颗粒物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56A53F9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356" w:type="dxa"/>
            <w:noWrap w:val="0"/>
            <w:vAlign w:val="center"/>
          </w:tcPr>
          <w:p w14:paraId="6D44B8A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644" w:type="dxa"/>
            <w:noWrap w:val="0"/>
            <w:vAlign w:val="center"/>
          </w:tcPr>
          <w:p w14:paraId="6DF5DC5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488" w:type="dxa"/>
            <w:noWrap w:val="0"/>
            <w:vAlign w:val="center"/>
          </w:tcPr>
          <w:p w14:paraId="7B682682">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7563BE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932" w:type="dxa"/>
            <w:noWrap w:val="0"/>
            <w:vAlign w:val="center"/>
          </w:tcPr>
          <w:p w14:paraId="756E39C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7ED58740">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8F74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BCC9117">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3FE3348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C7D55E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0EB4697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0577803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638C8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c>
          <w:tcPr>
            <w:tcW w:w="1620" w:type="dxa"/>
            <w:noWrap w:val="0"/>
            <w:vAlign w:val="center"/>
          </w:tcPr>
          <w:p w14:paraId="0E6EEF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932" w:type="dxa"/>
            <w:noWrap w:val="0"/>
            <w:vAlign w:val="center"/>
          </w:tcPr>
          <w:p w14:paraId="21ADC5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c>
          <w:tcPr>
            <w:tcW w:w="1456" w:type="dxa"/>
            <w:noWrap w:val="0"/>
            <w:vAlign w:val="center"/>
          </w:tcPr>
          <w:p w14:paraId="2FD3F6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1.022 </w:t>
            </w:r>
          </w:p>
        </w:tc>
      </w:tr>
      <w:tr w14:paraId="1405F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5DE0A3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6FC679E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苯系物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EE74E8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D16290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1A6D866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E6644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0.483 </w:t>
            </w:r>
          </w:p>
        </w:tc>
        <w:tc>
          <w:tcPr>
            <w:tcW w:w="1620" w:type="dxa"/>
            <w:noWrap w:val="0"/>
            <w:vAlign w:val="center"/>
          </w:tcPr>
          <w:p w14:paraId="040008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932" w:type="dxa"/>
            <w:noWrap w:val="0"/>
            <w:vAlign w:val="center"/>
          </w:tcPr>
          <w:p w14:paraId="0DE79F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0.483 </w:t>
            </w:r>
          </w:p>
        </w:tc>
        <w:tc>
          <w:tcPr>
            <w:tcW w:w="1456" w:type="dxa"/>
            <w:noWrap w:val="0"/>
            <w:vAlign w:val="center"/>
          </w:tcPr>
          <w:p w14:paraId="2710A2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0.483 </w:t>
            </w:r>
          </w:p>
        </w:tc>
      </w:tr>
      <w:tr w14:paraId="2E67F8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27DA44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00774BBD">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9EA78E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CC18C6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293368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1FE9D35">
            <w:pPr>
              <w:keepNext w:val="0"/>
              <w:keepLines w:val="0"/>
              <w:widowControl/>
              <w:suppressLineNumbers w:val="0"/>
              <w:jc w:val="center"/>
              <w:textAlignment w:val="center"/>
              <w:rPr>
                <w:rFonts w:hint="default" w:ascii="Times New Roman"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620" w:type="dxa"/>
            <w:noWrap w:val="0"/>
            <w:vAlign w:val="center"/>
          </w:tcPr>
          <w:p w14:paraId="266E9E6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1F9F2AAB">
            <w:pPr>
              <w:keepNext w:val="0"/>
              <w:keepLines w:val="0"/>
              <w:widowControl/>
              <w:suppressLineNumbers w:val="0"/>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456" w:type="dxa"/>
            <w:noWrap w:val="0"/>
            <w:vAlign w:val="center"/>
          </w:tcPr>
          <w:p w14:paraId="2DC8DEB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r>
      <w:tr w14:paraId="494D79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 w:type="dxa"/>
            <w:vMerge w:val="continue"/>
            <w:noWrap w:val="0"/>
            <w:vAlign w:val="center"/>
          </w:tcPr>
          <w:p w14:paraId="4ABCFE9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4B3EA88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178210C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3AC09A7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C23DF7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1232740C">
            <w:pPr>
              <w:keepNext w:val="0"/>
              <w:keepLines w:val="0"/>
              <w:widowControl/>
              <w:suppressLineNumbers w:val="0"/>
              <w:jc w:val="center"/>
              <w:textAlignment w:val="center"/>
              <w:rPr>
                <w:rFonts w:hint="default" w:ascii="Times New Roman"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BEDC25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2DD45D5">
            <w:pPr>
              <w:keepNext w:val="0"/>
              <w:keepLines w:val="0"/>
              <w:widowControl/>
              <w:suppressLineNumbers w:val="0"/>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00514957">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CAFA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 w:type="dxa"/>
            <w:vMerge w:val="continue"/>
            <w:noWrap w:val="0"/>
            <w:vAlign w:val="center"/>
          </w:tcPr>
          <w:p w14:paraId="5830B3F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AC24C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氟化物（t/a）</w:t>
            </w:r>
          </w:p>
        </w:tc>
        <w:tc>
          <w:tcPr>
            <w:tcW w:w="1704" w:type="dxa"/>
            <w:noWrap w:val="0"/>
            <w:vAlign w:val="center"/>
          </w:tcPr>
          <w:p w14:paraId="778715D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544F73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A910B0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EA159AC">
            <w:pPr>
              <w:spacing w:beforeLines="0" w:afterLines="0"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snapToGrid w:val="0"/>
                <w:color w:val="auto"/>
                <w:kern w:val="21"/>
                <w:sz w:val="21"/>
                <w:szCs w:val="21"/>
                <w:highlight w:val="none"/>
                <w:lang w:val="en-US" w:eastAsia="zh-CN"/>
              </w:rPr>
              <w:t>0.003</w:t>
            </w:r>
          </w:p>
        </w:tc>
        <w:tc>
          <w:tcPr>
            <w:tcW w:w="1620" w:type="dxa"/>
            <w:noWrap w:val="0"/>
            <w:vAlign w:val="center"/>
          </w:tcPr>
          <w:p w14:paraId="5E09CE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CADE6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c>
          <w:tcPr>
            <w:tcW w:w="1456" w:type="dxa"/>
            <w:noWrap w:val="0"/>
            <w:vAlign w:val="center"/>
          </w:tcPr>
          <w:p w14:paraId="646E57E6">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r>
      <w:tr w14:paraId="05E42A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4AC5C5F7">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2B046734">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油烟</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A470C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6602C1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26103C6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587EF8BF">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437125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DC487FF">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64E2FCBD">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5ECC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3FC70EE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废水</w:t>
            </w:r>
          </w:p>
        </w:tc>
        <w:tc>
          <w:tcPr>
            <w:tcW w:w="1795" w:type="dxa"/>
            <w:noWrap w:val="0"/>
            <w:vAlign w:val="center"/>
          </w:tcPr>
          <w:p w14:paraId="777B3E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废水量</w:t>
            </w:r>
          </w:p>
        </w:tc>
        <w:tc>
          <w:tcPr>
            <w:tcW w:w="1704" w:type="dxa"/>
            <w:noWrap w:val="0"/>
            <w:vAlign w:val="center"/>
          </w:tcPr>
          <w:p w14:paraId="033ED81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2C989D6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6401D37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590948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620" w:type="dxa"/>
            <w:noWrap w:val="0"/>
            <w:vAlign w:val="center"/>
          </w:tcPr>
          <w:p w14:paraId="7281DD3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2E0F318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456" w:type="dxa"/>
            <w:noWrap w:val="0"/>
            <w:vAlign w:val="center"/>
          </w:tcPr>
          <w:p w14:paraId="065B04F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61C7F5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04ED7E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726162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5257E73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820A62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7C9EE9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0C6DC3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620" w:type="dxa"/>
            <w:shd w:val="clear" w:color="auto" w:fill="auto"/>
            <w:noWrap w:val="0"/>
            <w:vAlign w:val="center"/>
          </w:tcPr>
          <w:p w14:paraId="1E643B4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2EAA0F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456" w:type="dxa"/>
            <w:shd w:val="clear" w:color="auto" w:fill="FFFFFF"/>
            <w:noWrap w:val="0"/>
            <w:vAlign w:val="center"/>
          </w:tcPr>
          <w:p w14:paraId="587353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1.499 </w:t>
            </w:r>
          </w:p>
        </w:tc>
      </w:tr>
      <w:tr w14:paraId="67F1E0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5BADE6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1E387E2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1A89EB8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617EF17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79891E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1CE107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620" w:type="dxa"/>
            <w:shd w:val="clear" w:color="auto" w:fill="auto"/>
            <w:noWrap w:val="0"/>
            <w:vAlign w:val="center"/>
          </w:tcPr>
          <w:p w14:paraId="4C586B1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5A8BF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456" w:type="dxa"/>
            <w:shd w:val="clear" w:color="auto" w:fill="FFFFFF"/>
            <w:noWrap w:val="0"/>
            <w:vAlign w:val="center"/>
          </w:tcPr>
          <w:p w14:paraId="121A9F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0.828 </w:t>
            </w:r>
          </w:p>
        </w:tc>
      </w:tr>
      <w:tr w14:paraId="7F3A0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2768DBE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2023885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SS</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43286FD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71BB64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25FEF6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0EB35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c>
          <w:tcPr>
            <w:tcW w:w="1620" w:type="dxa"/>
            <w:shd w:val="clear" w:color="auto" w:fill="auto"/>
            <w:noWrap w:val="0"/>
            <w:vAlign w:val="center"/>
          </w:tcPr>
          <w:p w14:paraId="0878B8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1D104D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c>
          <w:tcPr>
            <w:tcW w:w="1456" w:type="dxa"/>
            <w:shd w:val="clear" w:color="auto" w:fill="FFFFFF"/>
            <w:noWrap w:val="0"/>
            <w:vAlign w:val="center"/>
          </w:tcPr>
          <w:p w14:paraId="545092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0.253 </w:t>
            </w:r>
          </w:p>
        </w:tc>
      </w:tr>
      <w:tr w14:paraId="433333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40661DA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C87831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BB3AFC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F9997F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973E60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286C233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c>
          <w:tcPr>
            <w:tcW w:w="1620" w:type="dxa"/>
            <w:shd w:val="clear" w:color="auto" w:fill="auto"/>
            <w:noWrap w:val="0"/>
            <w:vAlign w:val="center"/>
          </w:tcPr>
          <w:p w14:paraId="636482B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6501746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c>
          <w:tcPr>
            <w:tcW w:w="1456" w:type="dxa"/>
            <w:shd w:val="clear" w:color="auto" w:fill="FFFFFF"/>
            <w:noWrap w:val="0"/>
            <w:vAlign w:val="center"/>
          </w:tcPr>
          <w:p w14:paraId="78AE00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0.188 </w:t>
            </w:r>
          </w:p>
        </w:tc>
      </w:tr>
      <w:tr w14:paraId="3DC17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10ADE8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6ECE1C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氟化物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6F018D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D2AAD8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446094F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367A72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1620" w:type="dxa"/>
            <w:shd w:val="clear" w:color="auto" w:fill="auto"/>
            <w:noWrap w:val="0"/>
            <w:vAlign w:val="center"/>
          </w:tcPr>
          <w:p w14:paraId="2DE271F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98677B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1456" w:type="dxa"/>
            <w:shd w:val="clear" w:color="auto" w:fill="FFFFFF"/>
            <w:noWrap w:val="0"/>
            <w:vAlign w:val="center"/>
          </w:tcPr>
          <w:p w14:paraId="675641C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45F6E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2922C1D">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07FEFD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TP</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5391AEA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BB7D30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68AD872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6D0733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620" w:type="dxa"/>
            <w:shd w:val="clear" w:color="auto" w:fill="auto"/>
            <w:noWrap w:val="0"/>
            <w:vAlign w:val="center"/>
          </w:tcPr>
          <w:p w14:paraId="491D047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p>
        </w:tc>
        <w:tc>
          <w:tcPr>
            <w:tcW w:w="1932" w:type="dxa"/>
            <w:shd w:val="clear" w:color="auto" w:fill="FFFFFF"/>
            <w:noWrap w:val="0"/>
            <w:vAlign w:val="center"/>
          </w:tcPr>
          <w:p w14:paraId="4F0DB7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456" w:type="dxa"/>
            <w:shd w:val="clear" w:color="auto" w:fill="FFFFFF"/>
            <w:noWrap w:val="0"/>
            <w:vAlign w:val="center"/>
          </w:tcPr>
          <w:p w14:paraId="3E42FC7E">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07342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9BC374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7E66A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TN</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25BEB2D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4EC837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4494804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E9C87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1620" w:type="dxa"/>
            <w:shd w:val="clear" w:color="auto" w:fill="auto"/>
            <w:noWrap w:val="0"/>
            <w:vAlign w:val="center"/>
          </w:tcPr>
          <w:p w14:paraId="4B3A97B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p>
        </w:tc>
        <w:tc>
          <w:tcPr>
            <w:tcW w:w="1932" w:type="dxa"/>
            <w:shd w:val="clear" w:color="auto" w:fill="FFFFFF"/>
            <w:noWrap w:val="0"/>
            <w:vAlign w:val="center"/>
          </w:tcPr>
          <w:p w14:paraId="2124BF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1456" w:type="dxa"/>
            <w:shd w:val="clear" w:color="auto" w:fill="FFFFFF"/>
            <w:noWrap w:val="0"/>
            <w:vAlign w:val="center"/>
          </w:tcPr>
          <w:p w14:paraId="733B2866">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079085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11D1C3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6E36A5E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阴离子表面活性剂</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07D17A7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FE2DD9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EA1FEB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40BF7A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620" w:type="dxa"/>
            <w:shd w:val="clear" w:color="auto" w:fill="auto"/>
            <w:noWrap w:val="0"/>
            <w:vAlign w:val="center"/>
          </w:tcPr>
          <w:p w14:paraId="070289D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00814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456" w:type="dxa"/>
            <w:shd w:val="clear" w:color="auto" w:fill="FFFFFF"/>
            <w:noWrap w:val="0"/>
            <w:vAlign w:val="center"/>
          </w:tcPr>
          <w:p w14:paraId="412855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09400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73887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7E69FA5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总铝</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7E95535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2CB7B84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62DD095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74050AC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620" w:type="dxa"/>
            <w:shd w:val="clear" w:color="auto" w:fill="auto"/>
            <w:noWrap w:val="0"/>
            <w:vAlign w:val="center"/>
          </w:tcPr>
          <w:p w14:paraId="44F998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E37304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456" w:type="dxa"/>
            <w:shd w:val="clear" w:color="auto" w:fill="FFFFFF"/>
            <w:noWrap w:val="0"/>
            <w:vAlign w:val="center"/>
          </w:tcPr>
          <w:p w14:paraId="3958D47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7603D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2" w:type="dxa"/>
            <w:vMerge w:val="continue"/>
            <w:shd w:val="clear" w:color="auto" w:fill="auto"/>
            <w:noWrap w:val="0"/>
            <w:vAlign w:val="center"/>
          </w:tcPr>
          <w:p w14:paraId="4ADC613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1DA4E8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石油类</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F1E03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0A922E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172F07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53A202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620" w:type="dxa"/>
            <w:shd w:val="clear" w:color="auto" w:fill="auto"/>
            <w:noWrap w:val="0"/>
            <w:vAlign w:val="center"/>
          </w:tcPr>
          <w:p w14:paraId="37ACDCE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A92E02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456" w:type="dxa"/>
            <w:shd w:val="clear" w:color="auto" w:fill="FFFFFF"/>
            <w:noWrap w:val="0"/>
            <w:vAlign w:val="center"/>
          </w:tcPr>
          <w:p w14:paraId="37A6AEF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61F3B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962" w:type="dxa"/>
            <w:vMerge w:val="continue"/>
            <w:shd w:val="clear" w:color="auto" w:fill="auto"/>
            <w:noWrap w:val="0"/>
            <w:vAlign w:val="center"/>
          </w:tcPr>
          <w:p w14:paraId="2C78849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7637CF2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动植物油</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734E3AF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B95330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0B0D199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4D505D8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620" w:type="dxa"/>
            <w:shd w:val="clear" w:color="auto" w:fill="auto"/>
            <w:noWrap w:val="0"/>
            <w:vAlign w:val="center"/>
          </w:tcPr>
          <w:p w14:paraId="40D873D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D89429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456" w:type="dxa"/>
            <w:shd w:val="clear" w:color="auto" w:fill="FFFFFF"/>
            <w:noWrap w:val="0"/>
            <w:vAlign w:val="center"/>
          </w:tcPr>
          <w:p w14:paraId="3C4366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5AB82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6CF074D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一般工业固体废物</w:t>
            </w:r>
          </w:p>
        </w:tc>
        <w:tc>
          <w:tcPr>
            <w:tcW w:w="1795" w:type="dxa"/>
            <w:noWrap w:val="0"/>
            <w:vAlign w:val="center"/>
          </w:tcPr>
          <w:p w14:paraId="6BF8F8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DBC54E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54CCE69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724F5A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8BEEAF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45.478</w:t>
            </w:r>
          </w:p>
        </w:tc>
        <w:tc>
          <w:tcPr>
            <w:tcW w:w="1620" w:type="dxa"/>
            <w:noWrap w:val="0"/>
            <w:vAlign w:val="center"/>
          </w:tcPr>
          <w:p w14:paraId="045D71A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6D9B4BE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45.478</w:t>
            </w:r>
          </w:p>
        </w:tc>
        <w:tc>
          <w:tcPr>
            <w:tcW w:w="1456" w:type="dxa"/>
            <w:noWrap w:val="0"/>
            <w:vAlign w:val="center"/>
          </w:tcPr>
          <w:p w14:paraId="2D0D3238">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+45.478</w:t>
            </w:r>
          </w:p>
        </w:tc>
      </w:tr>
      <w:tr w14:paraId="47179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58DC6E2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500D9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14B55D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4BDA528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3F53396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16B27A3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1620" w:type="dxa"/>
            <w:noWrap w:val="0"/>
            <w:vAlign w:val="center"/>
          </w:tcPr>
          <w:p w14:paraId="1B38613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E899A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6" w:type="dxa"/>
            <w:noWrap w:val="0"/>
            <w:vAlign w:val="center"/>
          </w:tcPr>
          <w:p w14:paraId="19BEA4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w:t>
            </w:r>
          </w:p>
        </w:tc>
      </w:tr>
      <w:tr w14:paraId="3725E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724E3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F886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沉降金属粉尘</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D8AE3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F72D4D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06C097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1A1FF5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687728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D6B795E">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3F876155">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4B769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73D1DBD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4A58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废滤芯</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0D4A50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CEAEA1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7EF4F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A7AF95E">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1620" w:type="dxa"/>
            <w:noWrap w:val="0"/>
            <w:vAlign w:val="center"/>
          </w:tcPr>
          <w:p w14:paraId="20B20BE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67FC4399">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1456" w:type="dxa"/>
            <w:noWrap w:val="0"/>
            <w:vAlign w:val="center"/>
          </w:tcPr>
          <w:p w14:paraId="2BA3222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0.18</w:t>
            </w:r>
          </w:p>
        </w:tc>
      </w:tr>
      <w:tr w14:paraId="3C0E4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77B6766B">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危险废物</w:t>
            </w:r>
          </w:p>
        </w:tc>
        <w:tc>
          <w:tcPr>
            <w:tcW w:w="1795" w:type="dxa"/>
            <w:noWrap w:val="0"/>
            <w:vAlign w:val="center"/>
          </w:tcPr>
          <w:p w14:paraId="38440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0B09A21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61223EA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45FB72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122807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0.63</w:t>
            </w:r>
          </w:p>
        </w:tc>
        <w:tc>
          <w:tcPr>
            <w:tcW w:w="1620" w:type="dxa"/>
            <w:noWrap w:val="0"/>
            <w:vAlign w:val="center"/>
          </w:tcPr>
          <w:p w14:paraId="1C0AF08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0FDF3014">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rPr>
            </w:pPr>
            <w:r>
              <w:rPr>
                <w:rFonts w:hint="eastAsia" w:cs="Times New Roman"/>
                <w:i w:val="0"/>
                <w:iCs w:val="0"/>
                <w:color w:val="auto"/>
                <w:kern w:val="0"/>
                <w:sz w:val="21"/>
                <w:szCs w:val="21"/>
                <w:u w:val="none"/>
                <w:lang w:val="en-US" w:eastAsia="zh-CN" w:bidi="ar"/>
              </w:rPr>
              <w:t>0.63</w:t>
            </w:r>
          </w:p>
        </w:tc>
        <w:tc>
          <w:tcPr>
            <w:tcW w:w="1456" w:type="dxa"/>
            <w:noWrap w:val="0"/>
            <w:vAlign w:val="center"/>
          </w:tcPr>
          <w:p w14:paraId="4B991170">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rPr>
            </w:pPr>
            <w:r>
              <w:rPr>
                <w:rFonts w:hint="eastAsia" w:cs="Times New Roman"/>
                <w:i w:val="0"/>
                <w:iCs w:val="0"/>
                <w:color w:val="auto"/>
                <w:kern w:val="0"/>
                <w:sz w:val="21"/>
                <w:szCs w:val="21"/>
                <w:u w:val="none"/>
                <w:lang w:val="en-US" w:eastAsia="zh-CN" w:bidi="ar"/>
              </w:rPr>
              <w:t>+0.63</w:t>
            </w:r>
          </w:p>
        </w:tc>
      </w:tr>
      <w:tr w14:paraId="5C314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4D0D32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6681D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124AE6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0D70C07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66977F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B32F80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w:t>
            </w:r>
          </w:p>
        </w:tc>
        <w:tc>
          <w:tcPr>
            <w:tcW w:w="1620" w:type="dxa"/>
            <w:noWrap w:val="0"/>
            <w:vAlign w:val="center"/>
          </w:tcPr>
          <w:p w14:paraId="6C88CEA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31C03A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i w:val="0"/>
                <w:iCs w:val="0"/>
                <w:color w:val="auto"/>
                <w:kern w:val="0"/>
                <w:sz w:val="21"/>
                <w:szCs w:val="21"/>
                <w:u w:val="none"/>
                <w:lang w:val="en-US" w:eastAsia="zh-CN" w:bidi="ar"/>
              </w:rPr>
              <w:t>2</w:t>
            </w:r>
          </w:p>
        </w:tc>
        <w:tc>
          <w:tcPr>
            <w:tcW w:w="1456" w:type="dxa"/>
            <w:noWrap w:val="0"/>
            <w:vAlign w:val="center"/>
          </w:tcPr>
          <w:p w14:paraId="6FE0C17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+2</w:t>
            </w:r>
          </w:p>
        </w:tc>
      </w:tr>
      <w:tr w14:paraId="117A1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1AE4D21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1ABF5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7485DF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3DE8F3B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17D2BE8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88E177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1620" w:type="dxa"/>
            <w:noWrap w:val="0"/>
            <w:vAlign w:val="center"/>
          </w:tcPr>
          <w:p w14:paraId="2C9EA43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235DA77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1456" w:type="dxa"/>
            <w:noWrap w:val="0"/>
            <w:vAlign w:val="center"/>
          </w:tcPr>
          <w:p w14:paraId="49784D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44.8</w:t>
            </w:r>
          </w:p>
        </w:tc>
      </w:tr>
      <w:tr w14:paraId="29048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018132F">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045FC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6CF5F4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22BB219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7E9753D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43FD2B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6D45E01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50D417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7A67E9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0BC77D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D0C5FF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1667A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2DCC06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608370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3636B89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2BDD9E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1620" w:type="dxa"/>
            <w:noWrap w:val="0"/>
            <w:vAlign w:val="center"/>
          </w:tcPr>
          <w:p w14:paraId="6002928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A0D7B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1456" w:type="dxa"/>
            <w:noWrap w:val="0"/>
            <w:vAlign w:val="center"/>
          </w:tcPr>
          <w:p w14:paraId="6BC1FF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0.008</w:t>
            </w:r>
          </w:p>
        </w:tc>
      </w:tr>
      <w:tr w14:paraId="74D77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C177AD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B7DC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813940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A7D9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74B3A4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B3DE6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620" w:type="dxa"/>
            <w:noWrap w:val="0"/>
            <w:vAlign w:val="center"/>
          </w:tcPr>
          <w:p w14:paraId="2497878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D3EC44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456" w:type="dxa"/>
            <w:noWrap w:val="0"/>
            <w:vAlign w:val="center"/>
          </w:tcPr>
          <w:p w14:paraId="533A3C8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5A9D7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941189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919A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990194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C55C62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32821D6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DC7DFE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620" w:type="dxa"/>
            <w:noWrap w:val="0"/>
            <w:vAlign w:val="center"/>
          </w:tcPr>
          <w:p w14:paraId="04B82AE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3EAF8BD9">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456" w:type="dxa"/>
            <w:noWrap w:val="0"/>
            <w:vAlign w:val="center"/>
          </w:tcPr>
          <w:p w14:paraId="6CDE4887">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r>
      <w:tr w14:paraId="7E5469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FD54E7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3F629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1744D7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1F4F6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50086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52F78C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620" w:type="dxa"/>
            <w:noWrap w:val="0"/>
            <w:vAlign w:val="center"/>
          </w:tcPr>
          <w:p w14:paraId="49AC815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6C2F42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456" w:type="dxa"/>
            <w:noWrap w:val="0"/>
            <w:vAlign w:val="center"/>
          </w:tcPr>
          <w:p w14:paraId="6AADC2A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43EAE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C7DA1E2">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0F5B5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B8FB94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0EC9C90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7092A0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AD95F1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620" w:type="dxa"/>
            <w:noWrap w:val="0"/>
            <w:vAlign w:val="center"/>
          </w:tcPr>
          <w:p w14:paraId="77AE3F0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8F6CBF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456" w:type="dxa"/>
            <w:noWrap w:val="0"/>
            <w:vAlign w:val="center"/>
          </w:tcPr>
          <w:p w14:paraId="52D75D1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r>
      <w:tr w14:paraId="0CC29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78963E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D409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AF9932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20592BE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BB80BB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943E7C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620" w:type="dxa"/>
            <w:noWrap w:val="0"/>
            <w:vAlign w:val="center"/>
          </w:tcPr>
          <w:p w14:paraId="49D7115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7CE26BCA">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456" w:type="dxa"/>
            <w:noWrap w:val="0"/>
            <w:vAlign w:val="center"/>
          </w:tcPr>
          <w:p w14:paraId="49CB5FD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r>
      <w:tr w14:paraId="05DDE5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1DE84E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3B1B4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53BC3D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2A4A40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A6108B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26BA52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c>
          <w:tcPr>
            <w:tcW w:w="1620" w:type="dxa"/>
            <w:noWrap w:val="0"/>
            <w:vAlign w:val="center"/>
          </w:tcPr>
          <w:p w14:paraId="1EEE1B0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458CC4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c>
          <w:tcPr>
            <w:tcW w:w="1456" w:type="dxa"/>
            <w:noWrap w:val="0"/>
            <w:vAlign w:val="center"/>
          </w:tcPr>
          <w:p w14:paraId="190CB1C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r>
      <w:tr w14:paraId="46134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AC306B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77726E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喷枪清洗液</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AE42E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E2A541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50F949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0D79A1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3F9BCF9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295314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8D9B42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757C5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5F7CC80A">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9562E7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废静电喷粉滤芯</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1FA987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96D6F7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C1FA57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5DC10EE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620" w:type="dxa"/>
            <w:noWrap w:val="0"/>
            <w:vAlign w:val="center"/>
          </w:tcPr>
          <w:p w14:paraId="4766498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3BACCA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456" w:type="dxa"/>
            <w:noWrap w:val="0"/>
            <w:vAlign w:val="center"/>
          </w:tcPr>
          <w:p w14:paraId="5204CE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r>
      <w:tr w14:paraId="3F2D76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8B29F5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30E58FA">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废过滤棉</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365418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B65527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700D67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D92CE0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620" w:type="dxa"/>
            <w:noWrap w:val="0"/>
            <w:vAlign w:val="center"/>
          </w:tcPr>
          <w:p w14:paraId="19FAC4E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344361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456" w:type="dxa"/>
            <w:noWrap w:val="0"/>
            <w:vAlign w:val="center"/>
          </w:tcPr>
          <w:p w14:paraId="7839923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r>
      <w:tr w14:paraId="167C9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A3E032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55E6B8C3">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废活性炭</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1BBC967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F92B5E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68BE6A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8A49A2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648626B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CE9A4D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3B0AC8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29A35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2E877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1CC752F">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废粉末涂料</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3650B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1653322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BA98FF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16B7333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4B8D6F4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5873D1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3EBD54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4D0BF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333C55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0973F91">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废催化剂</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058BD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398BF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18CB5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EB05A1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620" w:type="dxa"/>
            <w:noWrap w:val="0"/>
            <w:vAlign w:val="center"/>
          </w:tcPr>
          <w:p w14:paraId="27A77A1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2E295D5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456" w:type="dxa"/>
            <w:noWrap w:val="0"/>
            <w:vAlign w:val="center"/>
          </w:tcPr>
          <w:p w14:paraId="6A5A0D48">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r>
      <w:tr w14:paraId="743FE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D30D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2D5A0595">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喷淋废液及沉渣</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6D983A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319C912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E1F11E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1DF5AF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5778E28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10AD5D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2A1996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2F3DDD2C">
      <w:pPr>
        <w:widowControl w:val="0"/>
        <w:adjustRightInd w:val="0"/>
        <w:snapToGrid w:val="0"/>
        <w:spacing w:before="192" w:beforeLines="80" w:after="24" w:afterLines="10" w:line="259" w:lineRule="auto"/>
        <w:ind w:firstLine="480" w:firstLineChars="200"/>
        <w:jc w:val="left"/>
        <w:rPr>
          <w:rFonts w:hint="eastAsia" w:ascii="宋体" w:hAnsi="Times New Roman" w:eastAsia="宋体" w:cs="Times New Roman"/>
          <w:color w:val="auto"/>
          <w:kern w:val="0"/>
          <w:sz w:val="24"/>
          <w:szCs w:val="20"/>
          <w:highlight w:val="none"/>
          <w:lang w:val="en-US" w:eastAsia="zh-CN" w:bidi="ar-SA"/>
        </w:rPr>
      </w:pPr>
      <w:r>
        <w:rPr>
          <w:rFonts w:ascii="宋体" w:hAnsi="宋体" w:eastAsia="宋体" w:cs="Times New Roman"/>
          <w:snapToGrid w:val="0"/>
          <w:color w:val="auto"/>
          <w:kern w:val="21"/>
          <w:sz w:val="24"/>
          <w:szCs w:val="21"/>
          <w:highlight w:val="none"/>
          <w:lang w:val="en-US" w:eastAsia="zh-CN" w:bidi="ar-SA"/>
        </w:rPr>
        <w:t>注：</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3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③</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4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④</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5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⑤</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7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⑦</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p>
    <w:p w14:paraId="0115BCF2">
      <w:pPr>
        <w:rPr>
          <w:color w:val="auto"/>
          <w:highlight w:val="none"/>
        </w:rPr>
        <w:sectPr>
          <w:headerReference r:id="rId8" w:type="default"/>
          <w:footerReference r:id="rId9" w:type="default"/>
          <w:type w:val="continuous"/>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67C95FBF">
      <w:pPr>
        <w:widowControl/>
        <w:snapToGrid w:val="0"/>
        <w:spacing w:before="60" w:after="0" w:line="240" w:lineRule="auto"/>
        <w:ind w:right="113"/>
        <w:jc w:val="center"/>
        <w:rPr>
          <w:rFonts w:hint="eastAsia" w:ascii="Times New Roman" w:hAnsi="Times New Roman" w:eastAsia="宋体" w:cs="Times New Roman"/>
          <w:b/>
          <w:color w:val="auto"/>
          <w:kern w:val="0"/>
          <w:sz w:val="28"/>
          <w:szCs w:val="28"/>
          <w:highlight w:val="none"/>
          <w:lang w:val="en-US" w:eastAsia="zh-CN" w:bidi="ar-SA"/>
        </w:rPr>
      </w:pPr>
      <w:bookmarkStart w:id="50" w:name="_Toc32557"/>
      <w:bookmarkStart w:id="51" w:name="_Toc18569"/>
      <w:bookmarkStart w:id="52" w:name="_Toc10618"/>
      <w:bookmarkStart w:id="53" w:name="_Toc9175"/>
      <w:bookmarkStart w:id="54" w:name="_Toc29450"/>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1771650</wp:posOffset>
                </wp:positionH>
                <wp:positionV relativeFrom="paragraph">
                  <wp:posOffset>1002030</wp:posOffset>
                </wp:positionV>
                <wp:extent cx="771525" cy="336550"/>
                <wp:effectExtent l="5080" t="4445" r="423545" b="535305"/>
                <wp:wrapNone/>
                <wp:docPr id="14" name="自选图形 1026"/>
                <wp:cNvGraphicFramePr/>
                <a:graphic xmlns:a="http://schemas.openxmlformats.org/drawingml/2006/main">
                  <a:graphicData uri="http://schemas.microsoft.com/office/word/2010/wordprocessingShape">
                    <wps:wsp>
                      <wps:cNvSpPr/>
                      <wps:spPr>
                        <a:xfrm>
                          <a:off x="0" y="0"/>
                          <a:ext cx="771525" cy="336550"/>
                        </a:xfrm>
                        <a:prstGeom prst="wedgeRoundRectCallout">
                          <a:avLst>
                            <a:gd name="adj1" fmla="val 99301"/>
                            <a:gd name="adj2" fmla="val 20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0BDF635">
                            <w:pPr>
                              <w:rPr>
                                <w:b/>
                                <w:bCs/>
                                <w:color w:val="FF0000"/>
                              </w:rPr>
                            </w:pPr>
                            <w:r>
                              <w:rPr>
                                <w:rFonts w:hint="eastAsia"/>
                                <w:b/>
                                <w:bCs/>
                                <w:color w:val="FF0000"/>
                              </w:rPr>
                              <w:t>项目选址</w:t>
                            </w:r>
                          </w:p>
                        </w:txbxContent>
                      </wps:txbx>
                      <wps:bodyPr vert="horz" wrap="square" anchor="t" anchorCtr="0" upright="1"/>
                    </wps:wsp>
                  </a:graphicData>
                </a:graphic>
              </wp:anchor>
            </w:drawing>
          </mc:Choice>
          <mc:Fallback>
            <w:pict>
              <v:shape id="自选图形 1026" o:spid="_x0000_s1026" o:spt="62" type="#_x0000_t62" style="position:absolute;left:0pt;margin-left:139.5pt;margin-top:78.9pt;height:26.5pt;width:60.75pt;z-index:251671552;mso-width-relative:page;mso-height-relative:page;" fillcolor="#FFFFFF" filled="t" stroked="t" coordsize="21600,21600" o:gfxdata="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TzlBPZAAAACwEAAA8AAAAAAAAAAQAgAAAAIgAAAGRycy9kb3ducmV2LnhtbFBL&#10;AQIUABQAAAAIAIdO4kAAvj+AZwIAAOwEAAAOAAAAAAAAAAEAIAAAACgBAABkcnMvZTJvRG9jLnht&#10;bFBLBQYAAAAABgAGAFkBAAABBgAAAAA=&#10;" adj="32249,54000,14400">
                <v:fill on="t" focussize="0,0"/>
                <v:stroke color="#000000" joinstyle="miter"/>
                <v:imagedata o:title=""/>
                <o:lock v:ext="edit" aspectratio="f"/>
                <v:textbox>
                  <w:txbxContent>
                    <w:p w14:paraId="20BDF635">
                      <w:pPr>
                        <w:rPr>
                          <w:b/>
                          <w:bCs/>
                          <w:color w:val="FF0000"/>
                        </w:rPr>
                      </w:pPr>
                      <w:r>
                        <w:rPr>
                          <w:rFonts w:hint="eastAsia"/>
                          <w:b/>
                          <w:bCs/>
                          <w:color w:val="FF0000"/>
                        </w:rPr>
                        <w:t>项目选址</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2900045</wp:posOffset>
                </wp:positionH>
                <wp:positionV relativeFrom="paragraph">
                  <wp:posOffset>1793875</wp:posOffset>
                </wp:positionV>
                <wp:extent cx="76200" cy="76200"/>
                <wp:effectExtent l="4445" t="4445" r="14605" b="14605"/>
                <wp:wrapNone/>
                <wp:docPr id="13" name="自选图形 1027"/>
                <wp:cNvGraphicFramePr/>
                <a:graphic xmlns:a="http://schemas.openxmlformats.org/drawingml/2006/main">
                  <a:graphicData uri="http://schemas.microsoft.com/office/word/2010/wordprocessingShape">
                    <wps:wsp>
                      <wps:cNvSpPr/>
                      <wps:spPr>
                        <a:xfrm>
                          <a:off x="0" y="0"/>
                          <a:ext cx="76200" cy="76200"/>
                        </a:xfrm>
                        <a:prstGeom prst="flowChartSummingJunction">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1027" o:spid="_x0000_s1026" o:spt="123" type="#_x0000_t123" style="position:absolute;left:0pt;margin-left:228.35pt;margin-top:141.25pt;height:6pt;width:6pt;z-index:251670528;mso-width-relative:page;mso-height-relative:page;" fillcolor="#FF0000" filled="t" stroked="t" coordsize="21600,21600" o:gfxdata="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8l/QR2gAAAAsBAAAPAAAAAAAAAAEAIAAAACIAAABkcnMvZG93bnJldi54bWxQ&#10;SwECFAAUAAAACACHTuJACKJ2wS4CAABiBAAADgAAAAAAAAABACAAAAApAQAAZHJzL2Uyb0RvYy54&#10;bWxQSwUGAAAAAAYABgBZAQAAyQUAAAAA&#10;">
                <v:fill on="t"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91008" behindDoc="0" locked="0" layoutInCell="1" allowOverlap="1">
            <wp:simplePos x="0" y="0"/>
            <wp:positionH relativeFrom="column">
              <wp:posOffset>7146290</wp:posOffset>
            </wp:positionH>
            <wp:positionV relativeFrom="paragraph">
              <wp:posOffset>304165</wp:posOffset>
            </wp:positionV>
            <wp:extent cx="1391920" cy="1304925"/>
            <wp:effectExtent l="0" t="0" r="17780" b="9525"/>
            <wp:wrapNone/>
            <wp:docPr id="35" name="图片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85"/>
                    <pic:cNvPicPr>
                      <a:picLocks noChangeAspect="1"/>
                    </pic:cNvPicPr>
                  </pic:nvPicPr>
                  <pic:blipFill>
                    <a:blip r:embed="rId54"/>
                    <a:stretch>
                      <a:fillRect/>
                    </a:stretch>
                  </pic:blipFill>
                  <pic:spPr>
                    <a:xfrm>
                      <a:off x="0" y="0"/>
                      <a:ext cx="1391920" cy="1304925"/>
                    </a:xfrm>
                    <a:prstGeom prst="rect">
                      <a:avLst/>
                    </a:prstGeom>
                    <a:noFill/>
                    <a:ln>
                      <a:noFill/>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3693795</wp:posOffset>
                </wp:positionH>
                <wp:positionV relativeFrom="paragraph">
                  <wp:posOffset>2029460</wp:posOffset>
                </wp:positionV>
                <wp:extent cx="1876425" cy="1600835"/>
                <wp:effectExtent l="0" t="4445" r="9525" b="13970"/>
                <wp:wrapNone/>
                <wp:docPr id="2" name="任意多边形 1028"/>
                <wp:cNvGraphicFramePr/>
                <a:graphic xmlns:a="http://schemas.openxmlformats.org/drawingml/2006/main">
                  <a:graphicData uri="http://schemas.microsoft.com/office/word/2010/wordprocessingShape">
                    <wps:wsp>
                      <wps:cNvSpPr/>
                      <wps:spPr>
                        <a:xfrm rot="10800000">
                          <a:off x="0" y="0"/>
                          <a:ext cx="1876425" cy="1600835"/>
                        </a:xfrm>
                        <a:custGeom>
                          <a:avLst/>
                          <a:gdLst/>
                          <a:ahLst/>
                          <a:cxnLst/>
                          <a:pathLst>
                            <a:path w="2550" h="2280">
                              <a:moveTo>
                                <a:pt x="0" y="0"/>
                              </a:moveTo>
                              <a:lnTo>
                                <a:pt x="675" y="2280"/>
                              </a:lnTo>
                              <a:lnTo>
                                <a:pt x="2550" y="2280"/>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028" o:spid="_x0000_s1026" o:spt="100" style="position:absolute;left:0pt;margin-left:290.85pt;margin-top:159.8pt;height:126.05pt;width:147.75pt;rotation:11796480f;z-index:251661312;mso-width-relative:page;mso-height-relative:page;" filled="f" stroked="t" coordsize="2550,2280" o:gfxdata="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10NG02AAAAAsBAAAPAAAAAAAAAAEAIAAAACIAAABkcnMvZG93bnJl&#10;di54bWxQSwECFAAUAAAACACHTuJA9AzZqW8CAAACBQAADgAAAAAAAAABACAAAAAnAQAAZHJzL2Uy&#10;b0RvYy54bWxQSwUGAAAAAAYABgBZAQAACAYAAAAA&#10;" path="m0,0l675,2280,2550,2280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69504" behindDoc="0" locked="0" layoutInCell="1" allowOverlap="1">
            <wp:simplePos x="0" y="0"/>
            <wp:positionH relativeFrom="column">
              <wp:posOffset>409575</wp:posOffset>
            </wp:positionH>
            <wp:positionV relativeFrom="paragraph">
              <wp:posOffset>614045</wp:posOffset>
            </wp:positionV>
            <wp:extent cx="3284855" cy="3117850"/>
            <wp:effectExtent l="9525" t="9525" r="20320" b="15875"/>
            <wp:wrapNone/>
            <wp:docPr id="12"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29"/>
                    <pic:cNvPicPr>
                      <a:picLocks noChangeAspect="1"/>
                    </pic:cNvPicPr>
                  </pic:nvPicPr>
                  <pic:blipFill>
                    <a:blip r:embed="rId55"/>
                    <a:stretch>
                      <a:fillRect/>
                    </a:stretch>
                  </pic:blipFill>
                  <pic:spPr>
                    <a:xfrm>
                      <a:off x="0" y="0"/>
                      <a:ext cx="3284855" cy="3117850"/>
                    </a:xfrm>
                    <a:prstGeom prst="rect">
                      <a:avLst/>
                    </a:prstGeom>
                    <a:noFill/>
                    <a:ln w="9525" cap="flat" cmpd="sng">
                      <a:solidFill>
                        <a:srgbClr val="FF0000"/>
                      </a:solidFill>
                      <a:prstDash val="solid"/>
                      <a:miter/>
                      <a:headEnd type="none" w="med" len="med"/>
                      <a:tailEnd type="none" w="med" len="med"/>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5107940</wp:posOffset>
                </wp:positionH>
                <wp:positionV relativeFrom="paragraph">
                  <wp:posOffset>3618865</wp:posOffset>
                </wp:positionV>
                <wp:extent cx="922655" cy="862965"/>
                <wp:effectExtent l="5080" t="4445" r="5715" b="8890"/>
                <wp:wrapNone/>
                <wp:docPr id="1" name="矩形 1030"/>
                <wp:cNvGraphicFramePr/>
                <a:graphic xmlns:a="http://schemas.openxmlformats.org/drawingml/2006/main">
                  <a:graphicData uri="http://schemas.microsoft.com/office/word/2010/wordprocessingShape">
                    <wps:wsp>
                      <wps:cNvSpPr/>
                      <wps:spPr>
                        <a:xfrm>
                          <a:off x="0" y="0"/>
                          <a:ext cx="922655" cy="862965"/>
                        </a:xfrm>
                        <a:prstGeom prst="rect">
                          <a:avLst/>
                        </a:prstGeom>
                        <a:noFill/>
                        <a:ln w="9525"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030" o:spid="_x0000_s1026" o:spt="1" style="position:absolute;left:0pt;margin-left:402.2pt;margin-top:284.95pt;height:67.95pt;width:72.65pt;z-index:251660288;mso-width-relative:page;mso-height-relative:page;" filled="f" stroked="t" coordsize="21600,21600" o:gfxdata="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ORDyF3AAAAAsBAAAP&#10;AAAAAAAAAAEAIAAAACIAAABkcnMvZG93bnJldi54bWxQSwECFAAUAAAACACHTuJAPEoYtBQCAAAq&#10;BAAADgAAAAAAAAABACAAAAArAQAAZHJzL2Uyb0RvYy54bWxQSwUGAAAAAAYABgBZAQAAsQUAAAAA&#10;">
                <v:fill on="f" focussize="0,0"/>
                <v:stroke color="#FF0000" joinstyle="miter"/>
                <v:imagedata o:title=""/>
                <o:lock v:ext="edit" aspectratio="f"/>
              </v:rect>
            </w:pict>
          </mc:Fallback>
        </mc:AlternateContent>
      </w:r>
      <w:r>
        <w:rPr>
          <w:rFonts w:hint="eastAsia" w:ascii="Times New Roman" w:hAnsi="Times New Roman" w:eastAsia="宋体" w:cs="Times New Roman"/>
          <w:b/>
          <w:color w:val="auto"/>
          <w:kern w:val="0"/>
          <w:sz w:val="28"/>
          <w:szCs w:val="28"/>
          <w:highlight w:val="none"/>
          <w:lang w:val="en-US" w:eastAsia="zh-CN" w:bidi="ar-SA"/>
        </w:rPr>
        <w:drawing>
          <wp:inline distT="0" distB="0" distL="114300" distR="114300">
            <wp:extent cx="8583930" cy="5890260"/>
            <wp:effectExtent l="0" t="0" r="7620" b="15240"/>
            <wp:docPr id="106" name="图片 395" descr="4开乐昌市地图有邻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95" descr="4开乐昌市地图有邻区"/>
                    <pic:cNvPicPr>
                      <a:picLocks noChangeAspect="1"/>
                    </pic:cNvPicPr>
                  </pic:nvPicPr>
                  <pic:blipFill>
                    <a:blip r:embed="rId56"/>
                    <a:srcRect l="2934" t="3183" r="3163" b="4150"/>
                    <a:stretch>
                      <a:fillRect/>
                    </a:stretch>
                  </pic:blipFill>
                  <pic:spPr>
                    <a:xfrm>
                      <a:off x="0" y="0"/>
                      <a:ext cx="8583930" cy="5890260"/>
                    </a:xfrm>
                    <a:prstGeom prst="rect">
                      <a:avLst/>
                    </a:prstGeom>
                    <a:noFill/>
                    <a:ln>
                      <a:noFill/>
                    </a:ln>
                  </pic:spPr>
                </pic:pic>
              </a:graphicData>
            </a:graphic>
          </wp:inline>
        </w:drawing>
      </w:r>
    </w:p>
    <w:p w14:paraId="26F464A9">
      <w:pPr>
        <w:widowControl/>
        <w:snapToGrid w:val="0"/>
        <w:spacing w:before="60" w:after="0" w:line="240" w:lineRule="auto"/>
        <w:ind w:right="113"/>
        <w:jc w:val="center"/>
        <w:outlineLvl w:val="0"/>
        <w:rPr>
          <w:rFonts w:hint="default" w:ascii="Times New Roman" w:hAnsi="Times New Roman" w:eastAsia="宋体" w:cs="Times New Roman"/>
          <w:b/>
          <w:color w:val="auto"/>
          <w:kern w:val="0"/>
          <w:sz w:val="24"/>
          <w:szCs w:val="24"/>
          <w:highlight w:val="none"/>
          <w:lang w:val="en-US" w:eastAsia="zh-CN" w:bidi="ar-SA"/>
        </w:rPr>
      </w:pPr>
      <w:bookmarkStart w:id="55" w:name="_Toc8498"/>
      <w:bookmarkStart w:id="56" w:name="_Toc2694"/>
      <w:bookmarkStart w:id="57" w:name="_Toc18338"/>
      <w:bookmarkStart w:id="58" w:name="_Toc19765"/>
      <w:r>
        <w:rPr>
          <w:rFonts w:hint="default" w:ascii="Times New Roman" w:hAnsi="Times New Roman" w:eastAsia="宋体" w:cs="Times New Roman"/>
          <w:b/>
          <w:color w:val="auto"/>
          <w:kern w:val="0"/>
          <w:sz w:val="24"/>
          <w:szCs w:val="24"/>
          <w:highlight w:val="none"/>
          <w:lang w:val="en-US" w:eastAsia="zh-CN" w:bidi="ar-SA"/>
        </w:rPr>
        <w:t>附图1 项目地理位置图</w:t>
      </w:r>
      <w:bookmarkEnd w:id="55"/>
      <w:bookmarkEnd w:id="56"/>
      <w:bookmarkEnd w:id="57"/>
      <w:bookmarkEnd w:id="58"/>
    </w:p>
    <w:p w14:paraId="277B20FC">
      <w:pPr>
        <w:rPr>
          <w:rFonts w:hint="default" w:ascii="Times New Roman" w:hAnsi="Times New Roman" w:cs="Times New Roman"/>
          <w:color w:val="auto"/>
          <w:sz w:val="24"/>
          <w:highlight w:val="none"/>
        </w:rPr>
        <w:sectPr>
          <w:pgSz w:w="16838" w:h="11906" w:orient="landscape"/>
          <w:pgMar w:top="737" w:right="1417" w:bottom="737" w:left="1417" w:header="567" w:footer="794" w:gutter="340"/>
          <w:pgBorders>
            <w:top w:val="none" w:sz="0" w:space="0"/>
            <w:left w:val="none" w:sz="0" w:space="0"/>
            <w:bottom w:val="none" w:sz="0" w:space="0"/>
            <w:right w:val="none" w:sz="0" w:space="0"/>
          </w:pgBorders>
          <w:pgNumType w:fmt="decimal"/>
          <w:cols w:space="720" w:num="1"/>
          <w:docGrid w:type="lines" w:linePitch="412" w:charSpace="0"/>
        </w:sectPr>
      </w:pPr>
    </w:p>
    <w:p w14:paraId="45F5CA67">
      <w:pPr>
        <w:widowControl/>
        <w:snapToGrid w:val="0"/>
        <w:spacing w:before="60" w:after="0" w:line="240" w:lineRule="auto"/>
        <w:ind w:right="113"/>
        <w:jc w:val="center"/>
        <w:outlineLvl w:val="9"/>
        <w:rPr>
          <w:rFonts w:ascii="宋体" w:hAnsi="Times New Roman" w:eastAsia="宋体" w:cs="Times New Roman"/>
          <w:b/>
          <w:bCs/>
          <w:color w:val="auto"/>
          <w:kern w:val="2"/>
          <w:sz w:val="32"/>
          <w:szCs w:val="32"/>
          <w:highlight w:val="none"/>
          <w:lang w:val="en-US" w:eastAsia="zh-CN" w:bidi="ar-SA"/>
        </w:rPr>
      </w:pPr>
      <w:r>
        <w:rPr>
          <w:rFonts w:ascii="Times New Roman" w:hAnsi="Times New Roman" w:eastAsia="宋体" w:cs="Times New Roman"/>
          <w:kern w:val="0"/>
          <w:sz w:val="18"/>
          <w:szCs w:val="20"/>
          <w:lang w:val="en-US" w:eastAsia="zh-CN" w:bidi="ar-SA"/>
        </w:rPr>
        <w:drawing>
          <wp:anchor distT="0" distB="0" distL="114300" distR="114300" simplePos="0" relativeHeight="251770880" behindDoc="0" locked="0" layoutInCell="1" allowOverlap="1">
            <wp:simplePos x="0" y="0"/>
            <wp:positionH relativeFrom="column">
              <wp:posOffset>27940</wp:posOffset>
            </wp:positionH>
            <wp:positionV relativeFrom="paragraph">
              <wp:posOffset>6012815</wp:posOffset>
            </wp:positionV>
            <wp:extent cx="676275" cy="533400"/>
            <wp:effectExtent l="0" t="0" r="9525" b="0"/>
            <wp:wrapNone/>
            <wp:docPr id="27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2"/>
                    <pic:cNvPicPr>
                      <a:picLocks noChangeAspect="1"/>
                    </pic:cNvPicPr>
                  </pic:nvPicPr>
                  <pic:blipFill>
                    <a:blip r:embed="rId57">
                      <a:clrChange>
                        <a:clrFrom>
                          <a:srgbClr val="506B64">
                            <a:alpha val="100000"/>
                          </a:srgbClr>
                        </a:clrFrom>
                        <a:clrTo>
                          <a:srgbClr val="506B64">
                            <a:alpha val="100000"/>
                            <a:alpha val="0"/>
                          </a:srgbClr>
                        </a:clrTo>
                      </a:clrChange>
                    </a:blip>
                    <a:stretch>
                      <a:fillRect/>
                    </a:stretch>
                  </pic:blipFill>
                  <pic:spPr>
                    <a:xfrm>
                      <a:off x="0" y="0"/>
                      <a:ext cx="676275" cy="533400"/>
                    </a:xfrm>
                    <a:prstGeom prst="rect">
                      <a:avLst/>
                    </a:prstGeom>
                    <a:noFill/>
                    <a:ln>
                      <a:noFill/>
                    </a:ln>
                  </pic:spPr>
                </pic:pic>
              </a:graphicData>
            </a:graphic>
          </wp:anchor>
        </w:drawing>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5469255</wp:posOffset>
                </wp:positionH>
                <wp:positionV relativeFrom="paragraph">
                  <wp:posOffset>2213610</wp:posOffset>
                </wp:positionV>
                <wp:extent cx="444500" cy="557530"/>
                <wp:effectExtent l="0" t="0" r="0" b="0"/>
                <wp:wrapNone/>
                <wp:docPr id="24" name="文本框 1873"/>
                <wp:cNvGraphicFramePr/>
                <a:graphic xmlns:a="http://schemas.openxmlformats.org/drawingml/2006/main">
                  <a:graphicData uri="http://schemas.microsoft.com/office/word/2010/wordprocessingShape">
                    <wps:wsp>
                      <wps:cNvSpPr txBox="1"/>
                      <wps:spPr>
                        <a:xfrm>
                          <a:off x="0" y="0"/>
                          <a:ext cx="444500" cy="557530"/>
                        </a:xfrm>
                        <a:prstGeom prst="rect">
                          <a:avLst/>
                        </a:prstGeom>
                        <a:noFill/>
                        <a:ln>
                          <a:noFill/>
                        </a:ln>
                      </wps:spPr>
                      <wps:txb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wps:txbx>
                      <wps:bodyPr vert="horz" wrap="square" anchor="t" anchorCtr="0" upright="1"/>
                    </wps:wsp>
                  </a:graphicData>
                </a:graphic>
              </wp:anchor>
            </w:drawing>
          </mc:Choice>
          <mc:Fallback>
            <w:pict>
              <v:shape id="文本框 1873" o:spid="_x0000_s1026" o:spt="202" type="#_x0000_t202" style="position:absolute;left:0pt;margin-left:430.65pt;margin-top:174.3pt;height:43.9pt;width:35pt;z-index:251681792;mso-width-relative:page;mso-height-relative:page;" filled="f" stroked="f" coordsize="21600,21600" o:gfxdata="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202SzYAAAACwEAAA8AAAAAAAAAAQAgAAAAIgAA&#10;AGRycy9kb3ducmV2LnhtbFBLAQIUABQAAAAIAIdO4kAi/mrWzwEAAIQDAAAOAAAAAAAAAAEAIAAA&#10;ACcBAABkcnMvZTJvRG9jLnhtbFBLBQYAAAAABgAGAFkBAABoBQAAAAA=&#10;">
                <v:fill on="f" focussize="0,0"/>
                <v:stroke on="f"/>
                <v:imagedata o:title=""/>
                <o:lock v:ext="edit" aspectratio="f"/>
                <v:textbo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1728" behindDoc="0" locked="0" layoutInCell="1" allowOverlap="1">
                <wp:simplePos x="0" y="0"/>
                <wp:positionH relativeFrom="column">
                  <wp:posOffset>5539105</wp:posOffset>
                </wp:positionH>
                <wp:positionV relativeFrom="paragraph">
                  <wp:posOffset>2889250</wp:posOffset>
                </wp:positionV>
                <wp:extent cx="539750" cy="914400"/>
                <wp:effectExtent l="0" t="0" r="0" b="0"/>
                <wp:wrapNone/>
                <wp:docPr id="236" name="文本框 236"/>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6.15pt;margin-top:227.5pt;height:72pt;width:42.5pt;z-index:251721728;mso-width-relative:page;mso-height-relative:page;" filled="f" stroked="f" coordsize="21600,21600" o:gfxdata="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o66LXAAAACwEAAA8AAAAAAAAAAQAg&#10;AAAAIgAAAGRycy9kb3ducmV2LnhtbFBLAQIUABQAAAAIAIdO4kCeioWpSAIAAIMEAAAOAAAAAAAA&#10;AAEAIAAAACYBAABkcnMvZTJvRG9jLnhtbFBLBQYAAAAABgAGAFkBAADgBQAAAAA=&#10;">
                <v:fill on="f" focussize="0,0"/>
                <v:stroke on="f" weight="0.5pt"/>
                <v:imagedata o:title=""/>
                <o:lock v:ext="edit" aspectratio="f"/>
                <v:textbox style="mso-fit-shape-to-text:t;">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1968" behindDoc="0" locked="0" layoutInCell="1" allowOverlap="1">
                <wp:simplePos x="0" y="0"/>
                <wp:positionH relativeFrom="column">
                  <wp:posOffset>5306695</wp:posOffset>
                </wp:positionH>
                <wp:positionV relativeFrom="paragraph">
                  <wp:posOffset>869950</wp:posOffset>
                </wp:positionV>
                <wp:extent cx="154305" cy="3429635"/>
                <wp:effectExtent l="360680" t="0" r="361315" b="0"/>
                <wp:wrapNone/>
                <wp:docPr id="63" name="矩形 1872"/>
                <wp:cNvGraphicFramePr/>
                <a:graphic xmlns:a="http://schemas.openxmlformats.org/drawingml/2006/main">
                  <a:graphicData uri="http://schemas.microsoft.com/office/word/2010/wordprocessingShape">
                    <wps:wsp>
                      <wps:cNvSpPr/>
                      <wps:spPr>
                        <a:xfrm rot="720000">
                          <a:off x="0" y="0"/>
                          <a:ext cx="154305" cy="3429635"/>
                        </a:xfrm>
                        <a:prstGeom prst="rect">
                          <a:avLst/>
                        </a:prstGeom>
                        <a:pattFill prst="openDmnd">
                          <a:fgClr>
                            <a:srgbClr val="000000"/>
                          </a:fgClr>
                          <a:bgClr>
                            <a:srgbClr val="FFFFFF"/>
                          </a:bgClr>
                        </a:patt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2" o:spid="_x0000_s1026" o:spt="1" style="position:absolute;left:0pt;margin-left:417.85pt;margin-top:68.5pt;height:270.05pt;width:12.15pt;rotation:786432f;z-index:251731968;mso-width-relative:page;mso-height-relative:page;" fillcolor="#000000" filled="t" stroked="t" coordsize="21600,21600" o:gfxdata="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PBvLgtoAAAALAQAADwAAAAAAAAABACAAAAAi&#10;AAAAZHJzL2Rvd25yZXYueG1sUEsBAhQAFAAAAAgAh07iQP8R6ZxBAgAArwQAAA4AAAAAAAAAAQAg&#10;AAAAKQEAAGRycy9lMm9Eb2MueG1sUEsFBgAAAAAGAAYAWQEAANwFAAAAAA==&#10;">
                <v:fill type="pattern" on="t" color2="#FFFFFF" o:title="轮廓式菱形" focussize="0,0" r:id="rId58"/>
                <v:stroke color="#000000"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0704" behindDoc="0" locked="0" layoutInCell="1" allowOverlap="1">
                <wp:simplePos x="0" y="0"/>
                <wp:positionH relativeFrom="column">
                  <wp:posOffset>4298315</wp:posOffset>
                </wp:positionH>
                <wp:positionV relativeFrom="paragraph">
                  <wp:posOffset>1969135</wp:posOffset>
                </wp:positionV>
                <wp:extent cx="855345" cy="914400"/>
                <wp:effectExtent l="0" t="0" r="0" b="0"/>
                <wp:wrapNone/>
                <wp:docPr id="235" name="文本框 235"/>
                <wp:cNvGraphicFramePr/>
                <a:graphic xmlns:a="http://schemas.openxmlformats.org/drawingml/2006/main">
                  <a:graphicData uri="http://schemas.microsoft.com/office/word/2010/wordprocessingShape">
                    <wps:wsp>
                      <wps:cNvSpPr txBox="1"/>
                      <wps:spPr>
                        <a:xfrm>
                          <a:off x="0" y="0"/>
                          <a:ext cx="855345" cy="914400"/>
                        </a:xfrm>
                        <a:prstGeom prst="rect">
                          <a:avLst/>
                        </a:prstGeom>
                        <a:noFill/>
                        <a:ln w="6350">
                          <a:noFill/>
                        </a:ln>
                        <a:effectLst/>
                      </wps:spPr>
                      <wps:txbx>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38.45pt;margin-top:155.05pt;height:72pt;width:67.35pt;z-index:251720704;mso-width-relative:page;mso-height-relative:page;" filled="f" stroked="f" coordsize="21600,21600" o:gfxdata="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e+cE61wAAAAsBAAAPAAAAAAAAAAEA&#10;IAAAACIAAABkcnMvZG93bnJldi54bWxQSwECFAAUAAAACACHTuJAZCP6KkkCAACDBAAADgAAAAAA&#10;AAABACAAAAAmAQAAZHJzL2Uyb0RvYy54bWxQSwUGAAAAAAYABgBZAQAA4QUAAAAA&#10;">
                <v:fill on="f" focussize="0,0"/>
                <v:stroke on="f" weight="0.5pt"/>
                <v:imagedata o:title=""/>
                <o:lock v:ext="edit" aspectratio="f"/>
                <v:textbox style="mso-fit-shape-to-text:t;">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30944" behindDoc="0" locked="0" layoutInCell="1" allowOverlap="1">
                <wp:simplePos x="0" y="0"/>
                <wp:positionH relativeFrom="column">
                  <wp:posOffset>3975100</wp:posOffset>
                </wp:positionH>
                <wp:positionV relativeFrom="paragraph">
                  <wp:posOffset>920115</wp:posOffset>
                </wp:positionV>
                <wp:extent cx="539750" cy="914400"/>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3pt;margin-top:72.45pt;height:72pt;width:42.5pt;z-index:251730944;mso-width-relative:page;mso-height-relative:page;" filled="f" stroked="f" coordsize="21600,21600" o:gfxdata="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GaYTHXAAAACwEAAA8AAAAAAAAAAQAg&#10;AAAAIgAAAGRycy9kb3ducmV2LnhtbFBLAQIUABQAAAAIAIdO4kBrWYN8SAIAAIMEAAAOAAAAAAAA&#10;AAEAIAAAACYBAABkcnMvZTJvRG9jLnhtbFBLBQYAAAAABgAGAFkBAADgBQAAAAA=&#10;">
                <v:fill on="f" focussize="0,0"/>
                <v:stroke on="f" weight="0.5pt"/>
                <v:imagedata o:title=""/>
                <o:lock v:ext="edit" aspectratio="f"/>
                <v:textbox style="mso-fit-shape-to-text:t;">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4016" behindDoc="0" locked="0" layoutInCell="1" allowOverlap="1">
                <wp:simplePos x="0" y="0"/>
                <wp:positionH relativeFrom="column">
                  <wp:posOffset>3254375</wp:posOffset>
                </wp:positionH>
                <wp:positionV relativeFrom="paragraph">
                  <wp:posOffset>227965</wp:posOffset>
                </wp:positionV>
                <wp:extent cx="2378710" cy="2263775"/>
                <wp:effectExtent l="4445" t="4445" r="17145" b="17780"/>
                <wp:wrapNone/>
                <wp:docPr id="66" name="任意多边形 146"/>
                <wp:cNvGraphicFramePr/>
                <a:graphic xmlns:a="http://schemas.openxmlformats.org/drawingml/2006/main">
                  <a:graphicData uri="http://schemas.microsoft.com/office/word/2010/wordprocessingShape">
                    <wps:wsp>
                      <wps:cNvSpPr/>
                      <wps:spPr>
                        <a:xfrm>
                          <a:off x="0" y="0"/>
                          <a:ext cx="2378710" cy="2263775"/>
                        </a:xfrm>
                        <a:custGeom>
                          <a:avLst/>
                          <a:gdLst/>
                          <a:ahLst/>
                          <a:cxnLst/>
                          <a:pathLst>
                            <a:path w="3854" h="3565">
                              <a:moveTo>
                                <a:pt x="0" y="33"/>
                              </a:moveTo>
                              <a:lnTo>
                                <a:pt x="2677" y="0"/>
                              </a:lnTo>
                              <a:lnTo>
                                <a:pt x="3854" y="1361"/>
                              </a:lnTo>
                              <a:lnTo>
                                <a:pt x="3497" y="2341"/>
                              </a:lnTo>
                              <a:lnTo>
                                <a:pt x="3300" y="2076"/>
                              </a:lnTo>
                              <a:lnTo>
                                <a:pt x="1177" y="2123"/>
                              </a:lnTo>
                              <a:lnTo>
                                <a:pt x="1200" y="3565"/>
                              </a:lnTo>
                              <a:lnTo>
                                <a:pt x="35" y="3368"/>
                              </a:lnTo>
                              <a:lnTo>
                                <a:pt x="0" y="33"/>
                              </a:lnTo>
                              <a:close/>
                            </a:path>
                          </a:pathLst>
                        </a:custGeom>
                        <a:no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任意多边形 146" o:spid="_x0000_s1026" o:spt="100" style="position:absolute;left:0pt;margin-left:256.25pt;margin-top:17.95pt;height:178.25pt;width:187.3pt;z-index:251734016;mso-width-relative:page;mso-height-relative:page;" filled="f" stroked="t" coordsize="3854,3565" o:gfxdata="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NtS9o2QAAAAoBAAAPAAAAAAAAAAEAIAAAACIAAABk&#10;cnMvZG93bnJldi54bWxQSwECFAAUAAAACACHTuJA/rjM27ACAADxBQAADgAAAAAAAAABACAAAAAo&#10;AQAAZHJzL2Uyb0RvYy54bWxQSwUGAAAAAAYABgBZAQAASgYAAAAA&#10;" path="m0,33l2677,0,3854,1361,3497,2341,3300,2076,1177,2123,1200,3565,35,3368,0,33xe">
                <v:fill on="f"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2992" behindDoc="0" locked="0" layoutInCell="1" allowOverlap="1">
                <wp:simplePos x="0" y="0"/>
                <wp:positionH relativeFrom="column">
                  <wp:posOffset>4082415</wp:posOffset>
                </wp:positionH>
                <wp:positionV relativeFrom="paragraph">
                  <wp:posOffset>1612900</wp:posOffset>
                </wp:positionV>
                <wp:extent cx="1311910" cy="1031875"/>
                <wp:effectExtent l="9525" t="9525" r="12065" b="25400"/>
                <wp:wrapNone/>
                <wp:docPr id="65" name="任意多边形 145"/>
                <wp:cNvGraphicFramePr/>
                <a:graphic xmlns:a="http://schemas.openxmlformats.org/drawingml/2006/main">
                  <a:graphicData uri="http://schemas.microsoft.com/office/word/2010/wordprocessingShape">
                    <wps:wsp>
                      <wps:cNvSpPr/>
                      <wps:spPr>
                        <a:xfrm>
                          <a:off x="0" y="0"/>
                          <a:ext cx="1311910" cy="1031875"/>
                        </a:xfrm>
                        <a:custGeom>
                          <a:avLst/>
                          <a:gdLst/>
                          <a:ahLst/>
                          <a:cxnLst/>
                          <a:pathLst>
                            <a:path w="2066" h="1625">
                              <a:moveTo>
                                <a:pt x="0" y="1407"/>
                              </a:moveTo>
                              <a:lnTo>
                                <a:pt x="1696" y="1625"/>
                              </a:lnTo>
                              <a:lnTo>
                                <a:pt x="2066" y="195"/>
                              </a:lnTo>
                              <a:lnTo>
                                <a:pt x="1927" y="0"/>
                              </a:lnTo>
                              <a:lnTo>
                                <a:pt x="70" y="22"/>
                              </a:lnTo>
                              <a:lnTo>
                                <a:pt x="0" y="1407"/>
                              </a:lnTo>
                              <a:close/>
                            </a:path>
                          </a:pathLst>
                        </a:custGeom>
                        <a:noFill/>
                        <a:ln w="1905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45" o:spid="_x0000_s1026" o:spt="100" style="position:absolute;left:0pt;margin-left:321.45pt;margin-top:127pt;height:81.25pt;width:103.3pt;z-index:251732992;mso-width-relative:page;mso-height-relative:page;" filled="f" stroked="t" coordsize="2066,1625" o:gfxdata="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N004J/b&#10;AAAACwEAAA8AAAAAAAAAAQAgAAAAIgAAAGRycy9kb3ducmV2LnhtbFBLAQIUABQAAAAIAIdO4kDN&#10;FtXZjwIAAHUFAAAOAAAAAAAAAAEAIAAAACoBAABkcnMvZTJvRG9jLnhtbFBLBQYAAAAABgAGAFkB&#10;AAArBgAAAAA=&#10;" path="m0,1407l1696,1625,2066,195,1927,0,70,22,0,1407xe">
                <v:fill on="f" focussize="0,0"/>
                <v:stroke weight="1.5pt"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92032" behindDoc="0" locked="0" layoutInCell="1" allowOverlap="1">
            <wp:simplePos x="0" y="0"/>
            <wp:positionH relativeFrom="column">
              <wp:posOffset>19685</wp:posOffset>
            </wp:positionH>
            <wp:positionV relativeFrom="paragraph">
              <wp:posOffset>117475</wp:posOffset>
            </wp:positionV>
            <wp:extent cx="1076325" cy="1009015"/>
            <wp:effectExtent l="0" t="0" r="9525" b="635"/>
            <wp:wrapNone/>
            <wp:docPr id="36"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886"/>
                    <pic:cNvPicPr>
                      <a:picLocks noChangeAspect="1"/>
                    </pic:cNvPicPr>
                  </pic:nvPicPr>
                  <pic:blipFill>
                    <a:blip r:embed="rId59"/>
                    <a:stretch>
                      <a:fillRect/>
                    </a:stretch>
                  </pic:blipFill>
                  <pic:spPr>
                    <a:xfrm>
                      <a:off x="0" y="0"/>
                      <a:ext cx="1076325" cy="1009015"/>
                    </a:xfrm>
                    <a:prstGeom prst="rect">
                      <a:avLst/>
                    </a:prstGeom>
                    <a:noFill/>
                    <a:ln>
                      <a:noFill/>
                    </a:ln>
                  </pic:spPr>
                </pic:pic>
              </a:graphicData>
            </a:graphic>
          </wp:anchor>
        </w:drawing>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3776" behindDoc="0" locked="0" layoutInCell="1" allowOverlap="1">
                <wp:simplePos x="0" y="0"/>
                <wp:positionH relativeFrom="column">
                  <wp:posOffset>4133850</wp:posOffset>
                </wp:positionH>
                <wp:positionV relativeFrom="paragraph">
                  <wp:posOffset>5144135</wp:posOffset>
                </wp:positionV>
                <wp:extent cx="1044575" cy="527050"/>
                <wp:effectExtent l="0" t="0" r="0" b="0"/>
                <wp:wrapNone/>
                <wp:docPr id="254" name="文本框 254"/>
                <wp:cNvGraphicFramePr/>
                <a:graphic xmlns:a="http://schemas.openxmlformats.org/drawingml/2006/main">
                  <a:graphicData uri="http://schemas.microsoft.com/office/word/2010/wordprocessingShape">
                    <wps:wsp>
                      <wps:cNvSpPr txBox="1"/>
                      <wps:spPr>
                        <a:xfrm>
                          <a:off x="0" y="0"/>
                          <a:ext cx="1044575" cy="527050"/>
                        </a:xfrm>
                        <a:prstGeom prst="rect">
                          <a:avLst/>
                        </a:prstGeom>
                        <a:noFill/>
                        <a:ln w="6350">
                          <a:noFill/>
                        </a:ln>
                        <a:effectLst/>
                      </wps:spPr>
                      <wps:txb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5.5pt;margin-top:405.05pt;height:41.5pt;width:82.25pt;z-index:251723776;mso-width-relative:page;mso-height-relative:page;" filled="f" stroked="f" coordsize="21600,21600" o:gfxdata="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miUFKdwAAAALAQAADwAAAAAA&#10;AAABACAAAAAiAAAAZHJzL2Rvd25yZXYueG1sUEsBAhQAFAAAAAgAh07iQATh8E5IAgAAhAQAAA4A&#10;AAAAAAAAAQAgAAAAKwEAAGRycy9lMm9Eb2MueG1sUEsFBgAAAAAGAAYAWQEAAOUFAAAAAA==&#10;">
                <v:fill on="f" focussize="0,0"/>
                <v:stroke on="f" weight="0.5pt"/>
                <v:imagedata o:title=""/>
                <o:lock v:ext="edit" aspectratio="f"/>
                <v:textbo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9920" behindDoc="0" locked="0" layoutInCell="1" allowOverlap="1">
                <wp:simplePos x="0" y="0"/>
                <wp:positionH relativeFrom="column">
                  <wp:posOffset>1729105</wp:posOffset>
                </wp:positionH>
                <wp:positionV relativeFrom="paragraph">
                  <wp:posOffset>3715385</wp:posOffset>
                </wp:positionV>
                <wp:extent cx="1240790" cy="633095"/>
                <wp:effectExtent l="0" t="0" r="0" b="0"/>
                <wp:wrapNone/>
                <wp:docPr id="266" name="文本框 266"/>
                <wp:cNvGraphicFramePr/>
                <a:graphic xmlns:a="http://schemas.openxmlformats.org/drawingml/2006/main">
                  <a:graphicData uri="http://schemas.microsoft.com/office/word/2010/wordprocessingShape">
                    <wps:wsp>
                      <wps:cNvSpPr txBox="1"/>
                      <wps:spPr>
                        <a:xfrm>
                          <a:off x="0" y="0"/>
                          <a:ext cx="1240790" cy="633095"/>
                        </a:xfrm>
                        <a:prstGeom prst="rect">
                          <a:avLst/>
                        </a:prstGeom>
                        <a:noFill/>
                        <a:ln w="6350">
                          <a:noFill/>
                        </a:ln>
                        <a:effectLst/>
                      </wps:spPr>
                      <wps:txb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36.15pt;margin-top:292.55pt;height:49.85pt;width:97.7pt;z-index:251729920;mso-width-relative:page;mso-height-relative:page;" filled="f" stroked="f" coordsize="21600,21600" o:gfxdata="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NNxHq3QAAAAsBAAAPAAAA&#10;AAAAAAEAIAAAACIAAABkcnMvZG93bnJldi54bWxQSwECFAAUAAAACACHTuJAxY1xFEkCAACEBAAA&#10;DgAAAAAAAAABACAAAAAsAQAAZHJzL2Uyb0RvYy54bWxQSwUGAAAAAAYABgBZAQAA5wUAAAAA&#10;">
                <v:fill on="f" focussize="0,0"/>
                <v:stroke on="f" weight="0.5pt"/>
                <v:imagedata o:title=""/>
                <o:lock v:ext="edit" aspectratio="f"/>
                <v:textbo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8896" behindDoc="0" locked="0" layoutInCell="1" allowOverlap="1">
                <wp:simplePos x="0" y="0"/>
                <wp:positionH relativeFrom="column">
                  <wp:posOffset>1687830</wp:posOffset>
                </wp:positionH>
                <wp:positionV relativeFrom="paragraph">
                  <wp:posOffset>3390265</wp:posOffset>
                </wp:positionV>
                <wp:extent cx="1405255" cy="1282700"/>
                <wp:effectExtent l="6350" t="6350" r="17145" b="25400"/>
                <wp:wrapNone/>
                <wp:docPr id="265" name="任意多边形 265"/>
                <wp:cNvGraphicFramePr/>
                <a:graphic xmlns:a="http://schemas.openxmlformats.org/drawingml/2006/main">
                  <a:graphicData uri="http://schemas.microsoft.com/office/word/2010/wordprocessingShape">
                    <wps:wsp>
                      <wps:cNvSpPr/>
                      <wps:spPr>
                        <a:xfrm>
                          <a:off x="2587625" y="4290060"/>
                          <a:ext cx="1405255" cy="1282700"/>
                        </a:xfrm>
                        <a:custGeom>
                          <a:avLst/>
                          <a:gdLst>
                            <a:gd name="connisteX0" fmla="*/ 37465 w 1405255"/>
                            <a:gd name="connsiteY0" fmla="*/ 1273175 h 1282700"/>
                            <a:gd name="connisteX1" fmla="*/ 1376680 w 1405255"/>
                            <a:gd name="connsiteY1" fmla="*/ 1000125 h 1282700"/>
                            <a:gd name="connisteX2" fmla="*/ 1405255 w 1405255"/>
                            <a:gd name="connsiteY2" fmla="*/ 0 h 1282700"/>
                            <a:gd name="connisteX3" fmla="*/ 9525 w 1405255"/>
                            <a:gd name="connsiteY3" fmla="*/ 9525 h 1282700"/>
                            <a:gd name="connisteX4" fmla="*/ 0 w 1405255"/>
                            <a:gd name="connsiteY4" fmla="*/ 1282700 h 1282700"/>
                            <a:gd name="connisteX5" fmla="*/ 37465 w 1405255"/>
                            <a:gd name="connsiteY5" fmla="*/ 1273175 h 12827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405255" h="1282700">
                              <a:moveTo>
                                <a:pt x="37465" y="1273175"/>
                              </a:moveTo>
                              <a:lnTo>
                                <a:pt x="1376680" y="1000125"/>
                              </a:lnTo>
                              <a:lnTo>
                                <a:pt x="1405255" y="0"/>
                              </a:lnTo>
                              <a:lnTo>
                                <a:pt x="9525" y="9525"/>
                              </a:lnTo>
                              <a:lnTo>
                                <a:pt x="0" y="1282700"/>
                              </a:lnTo>
                              <a:lnTo>
                                <a:pt x="37465" y="127317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132.9pt;margin-top:266.95pt;height:101pt;width:110.65pt;z-index:251728896;mso-width-relative:page;mso-height-relative:page;" filled="f" stroked="t" coordsize="1405255,1282700" o:gfxdata="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BX&#10;Q1+e2wAAAAsBAAAPAAAAAAAAAAEAIAAAACIAAABkcnMvZG93bnJldi54bWxQSwECFAAUAAAACACH&#10;TuJA+epBOXcDAACQCQAADgAAAAAAAAABACAAAAAqAQAAZHJzL2Uyb0RvYy54bWxQSwUGAAAAAAYA&#10;BgBZAQAAEwcAAAAA&#10;" path="m37465,1273175l1376680,1000125,1405255,0,9525,9525,0,1282700,37465,1273175xe">
                <v:path o:connectlocs="37465,1273175;1376680,1000125;1405255,0;9525,9525;0,1282700;37465,1273175" o:connectangles="0,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9680" behindDoc="0" locked="0" layoutInCell="1" allowOverlap="1">
                <wp:simplePos x="0" y="0"/>
                <wp:positionH relativeFrom="column">
                  <wp:posOffset>3811270</wp:posOffset>
                </wp:positionH>
                <wp:positionV relativeFrom="paragraph">
                  <wp:posOffset>3288030</wp:posOffset>
                </wp:positionV>
                <wp:extent cx="709295" cy="914400"/>
                <wp:effectExtent l="0" t="0" r="0" b="0"/>
                <wp:wrapNone/>
                <wp:docPr id="234" name="文本框 234"/>
                <wp:cNvGraphicFramePr/>
                <a:graphic xmlns:a="http://schemas.openxmlformats.org/drawingml/2006/main">
                  <a:graphicData uri="http://schemas.microsoft.com/office/word/2010/wordprocessingShape">
                    <wps:wsp>
                      <wps:cNvSpPr txBox="1"/>
                      <wps:spPr>
                        <a:xfrm>
                          <a:off x="0" y="0"/>
                          <a:ext cx="709295" cy="914400"/>
                        </a:xfrm>
                        <a:prstGeom prst="rect">
                          <a:avLst/>
                        </a:prstGeom>
                        <a:noFill/>
                        <a:ln w="6350">
                          <a:noFill/>
                        </a:ln>
                        <a:effectLst/>
                      </wps:spPr>
                      <wps:txbx>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00.1pt;margin-top:258.9pt;height:72pt;width:55.85pt;z-index:251719680;mso-width-relative:page;mso-height-relative:page;" filled="f" stroked="f" coordsize="21600,21600" o:gfxdata="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tmZB9YAAAALAQAADwAAAAAAAAAB&#10;ACAAAAAiAAAAZHJzL2Rvd25yZXYueG1sUEsBAhQAFAAAAAgAh07iQMgqxuJLAgAAgwQAAA4AAAAA&#10;AAAAAQAgAAAAJQEAAGRycy9lMm9Eb2MueG1sUEsFBgAAAAAGAAYAWQEAAOIFAAAAAA==&#10;">
                <v:fill on="f" focussize="0,0"/>
                <v:stroke on="f" weight="0.5pt"/>
                <v:imagedata o:title=""/>
                <o:lock v:ext="edit" aspectratio="f"/>
                <v:textbox style="mso-fit-shape-to-text:t;">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7872" behindDoc="0" locked="0" layoutInCell="1" allowOverlap="1">
                <wp:simplePos x="0" y="0"/>
                <wp:positionH relativeFrom="column">
                  <wp:posOffset>940435</wp:posOffset>
                </wp:positionH>
                <wp:positionV relativeFrom="paragraph">
                  <wp:posOffset>4934585</wp:posOffset>
                </wp:positionV>
                <wp:extent cx="1890395" cy="416560"/>
                <wp:effectExtent l="0" t="0" r="0" b="0"/>
                <wp:wrapNone/>
                <wp:docPr id="264" name="文本框 264"/>
                <wp:cNvGraphicFramePr/>
                <a:graphic xmlns:a="http://schemas.openxmlformats.org/drawingml/2006/main">
                  <a:graphicData uri="http://schemas.microsoft.com/office/word/2010/wordprocessingShape">
                    <wps:wsp>
                      <wps:cNvSpPr txBox="1"/>
                      <wps:spPr>
                        <a:xfrm rot="21000000">
                          <a:off x="0" y="0"/>
                          <a:ext cx="1890395" cy="416560"/>
                        </a:xfrm>
                        <a:prstGeom prst="rect">
                          <a:avLst/>
                        </a:prstGeom>
                        <a:noFill/>
                        <a:ln w="6350">
                          <a:noFill/>
                        </a:ln>
                        <a:effectLst/>
                      </wps:spPr>
                      <wps:txb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4.05pt;margin-top:388.55pt;height:32.8pt;width:148.85pt;rotation:-655360f;z-index:251727872;mso-width-relative:page;mso-height-relative:page;" filled="f" stroked="f" coordsize="21600,21600" o:gfxdata="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eke+2QAAAAsB&#10;AAAPAAAAAAAAAAEAIAAAACIAAABkcnMvZG93bnJldi54bWxQSwECFAAUAAAACACHTuJAB2h1XFMC&#10;AACTBAAADgAAAAAAAAABACAAAAAoAQAAZHJzL2Uyb0RvYy54bWxQSwUGAAAAAAYABgBZAQAA7QUA&#10;AAAA&#10;">
                <v:fill on="f" focussize="0,0"/>
                <v:stroke on="f" weight="0.5pt"/>
                <v:imagedata o:title=""/>
                <o:lock v:ext="edit" aspectratio="f"/>
                <v:textbo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6848" behindDoc="0" locked="0" layoutInCell="1" allowOverlap="1">
                <wp:simplePos x="0" y="0"/>
                <wp:positionH relativeFrom="column">
                  <wp:posOffset>636905</wp:posOffset>
                </wp:positionH>
                <wp:positionV relativeFrom="paragraph">
                  <wp:posOffset>4910455</wp:posOffset>
                </wp:positionV>
                <wp:extent cx="2411730" cy="446405"/>
                <wp:effectExtent l="27940" t="213360" r="36830" b="216535"/>
                <wp:wrapNone/>
                <wp:docPr id="263" name="矩形 263"/>
                <wp:cNvGraphicFramePr/>
                <a:graphic xmlns:a="http://schemas.openxmlformats.org/drawingml/2006/main">
                  <a:graphicData uri="http://schemas.microsoft.com/office/word/2010/wordprocessingShape">
                    <wps:wsp>
                      <wps:cNvSpPr/>
                      <wps:spPr>
                        <a:xfrm rot="21000000">
                          <a:off x="1536700" y="5810250"/>
                          <a:ext cx="2411730" cy="4464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15pt;margin-top:386.65pt;height:35.15pt;width:189.9pt;rotation:-655360f;z-index:251726848;v-text-anchor:middle;mso-width-relative:page;mso-height-relative:page;" filled="f" stroked="t" coordsize="21600,21600" o:gfxdata="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ScENi2QAA&#10;AAsBAAAPAAAAAAAAAAEAIAAAACIAAABkcnMvZG93bnJldi54bWxQSwECFAAUAAAACACHTuJAZ5Kz&#10;/I8CAAAMBQAADgAAAAAAAAABACAAAAAoAQAAZHJzL2Uyb0RvYy54bWxQSwUGAAAAAAYABgBZAQAA&#10;KQYAAAAA&#10;">
                <v:fill on="f" focussize="0,0"/>
                <v:stroke weight="1pt" color="#000000" miterlimit="8"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5824" behindDoc="0" locked="0" layoutInCell="1" allowOverlap="1">
                <wp:simplePos x="0" y="0"/>
                <wp:positionH relativeFrom="column">
                  <wp:posOffset>1485265</wp:posOffset>
                </wp:positionH>
                <wp:positionV relativeFrom="paragraph">
                  <wp:posOffset>5536565</wp:posOffset>
                </wp:positionV>
                <wp:extent cx="1576070" cy="401320"/>
                <wp:effectExtent l="0" t="0" r="0" b="0"/>
                <wp:wrapNone/>
                <wp:docPr id="262" name="文本框 262"/>
                <wp:cNvGraphicFramePr/>
                <a:graphic xmlns:a="http://schemas.openxmlformats.org/drawingml/2006/main">
                  <a:graphicData uri="http://schemas.microsoft.com/office/word/2010/wordprocessingShape">
                    <wps:wsp>
                      <wps:cNvSpPr txBox="1"/>
                      <wps:spPr>
                        <a:xfrm rot="21420000">
                          <a:off x="0" y="0"/>
                          <a:ext cx="1576070" cy="401320"/>
                        </a:xfrm>
                        <a:prstGeom prst="rect">
                          <a:avLst/>
                        </a:prstGeom>
                        <a:noFill/>
                        <a:ln w="6350">
                          <a:noFill/>
                        </a:ln>
                        <a:effectLst/>
                      </wps:spPr>
                      <wps:txb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95pt;margin-top:435.95pt;height:31.6pt;width:124.1pt;rotation:-196608f;z-index:251725824;mso-width-relative:page;mso-height-relative:page;" filled="f" stroked="f" coordsize="21600,21600" o:gfxdata="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pHMwjbAAAA&#10;CwEAAA8AAAAAAAAAAQAgAAAAIgAAAGRycy9kb3ducmV2LnhtbFBLAQIUABQAAAAIAIdO4kBTzMFC&#10;UwIAAJMEAAAOAAAAAAAAAAEAIAAAACoBAABkcnMvZTJvRG9jLnhtbFBLBQYAAAAABgAGAFkBAADv&#10;BQAAAAA=&#10;">
                <v:fill on="f" focussize="0,0"/>
                <v:stroke on="f" weight="0.5pt"/>
                <v:imagedata o:title=""/>
                <o:lock v:ext="edit" aspectratio="f"/>
                <v:textbo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4800" behindDoc="0" locked="0" layoutInCell="1" allowOverlap="1">
                <wp:simplePos x="0" y="0"/>
                <wp:positionH relativeFrom="column">
                  <wp:posOffset>1005840</wp:posOffset>
                </wp:positionH>
                <wp:positionV relativeFrom="paragraph">
                  <wp:posOffset>5450840</wp:posOffset>
                </wp:positionV>
                <wp:extent cx="2051050" cy="549275"/>
                <wp:effectExtent l="6350" t="6985" r="19050" b="15240"/>
                <wp:wrapNone/>
                <wp:docPr id="261" name="任意多边形 261"/>
                <wp:cNvGraphicFramePr/>
                <a:graphic xmlns:a="http://schemas.openxmlformats.org/drawingml/2006/main">
                  <a:graphicData uri="http://schemas.microsoft.com/office/word/2010/wordprocessingShape">
                    <wps:wsp>
                      <wps:cNvSpPr/>
                      <wps:spPr>
                        <a:xfrm>
                          <a:off x="1905635" y="6350635"/>
                          <a:ext cx="2051050" cy="549275"/>
                        </a:xfrm>
                        <a:custGeom>
                          <a:avLst/>
                          <a:gdLst>
                            <a:gd name="connisteX0" fmla="*/ 8890 w 2051050"/>
                            <a:gd name="connsiteY0" fmla="*/ 179705 h 549275"/>
                            <a:gd name="connisteX1" fmla="*/ 2051050 w 2051050"/>
                            <a:gd name="connsiteY1" fmla="*/ 0 h 549275"/>
                            <a:gd name="connisteX2" fmla="*/ 2051050 w 2051050"/>
                            <a:gd name="connsiteY2" fmla="*/ 360680 h 549275"/>
                            <a:gd name="connisteX3" fmla="*/ 0 w 2051050"/>
                            <a:gd name="connsiteY3" fmla="*/ 549275 h 549275"/>
                            <a:gd name="connisteX4" fmla="*/ 8890 w 2051050"/>
                            <a:gd name="connsiteY4" fmla="*/ 179705 h 5492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051050" h="549275">
                              <a:moveTo>
                                <a:pt x="8890" y="179705"/>
                              </a:moveTo>
                              <a:lnTo>
                                <a:pt x="2051050" y="0"/>
                              </a:lnTo>
                              <a:lnTo>
                                <a:pt x="2051050" y="360680"/>
                              </a:lnTo>
                              <a:lnTo>
                                <a:pt x="0" y="549275"/>
                              </a:lnTo>
                              <a:lnTo>
                                <a:pt x="8890" y="17970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79.2pt;margin-top:429.2pt;height:43.25pt;width:161.5pt;z-index:251724800;mso-width-relative:page;mso-height-relative:page;" filled="f" stroked="t" coordsize="2051050,549275" o:gfxdata="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aT5+KtcAAAALAQAADwAAAAAAAAABACAAAAAiAAAAZHJzL2Rvd25yZXYueG1sUEsBAhQAFAAAAAgA&#10;h07iQBRw07JDAwAAsggAAA4AAAAAAAAAAQAgAAAAJgEAAGRycy9lMm9Eb2MueG1sUEsFBgAAAAAG&#10;AAYAWQEAANsGAAAAAA==&#10;" path="m8890,179705l2051050,0,2051050,360680,0,549275,8890,179705xe">
                <v:path o:connectlocs="8890,179705;2051050,0;2051050,360680;0,549275;8890,17970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8656" behindDoc="0" locked="0" layoutInCell="1" allowOverlap="1">
                <wp:simplePos x="0" y="0"/>
                <wp:positionH relativeFrom="column">
                  <wp:posOffset>3175000</wp:posOffset>
                </wp:positionH>
                <wp:positionV relativeFrom="paragraph">
                  <wp:posOffset>4781550</wp:posOffset>
                </wp:positionV>
                <wp:extent cx="1018540" cy="914400"/>
                <wp:effectExtent l="0" t="0" r="0" b="0"/>
                <wp:wrapNone/>
                <wp:docPr id="220" name="文本框 220"/>
                <wp:cNvGraphicFramePr/>
                <a:graphic xmlns:a="http://schemas.openxmlformats.org/drawingml/2006/main">
                  <a:graphicData uri="http://schemas.microsoft.com/office/word/2010/wordprocessingShape">
                    <wps:wsp>
                      <wps:cNvSpPr txBox="1"/>
                      <wps:spPr>
                        <a:xfrm>
                          <a:off x="4377055" y="5647055"/>
                          <a:ext cx="1018540" cy="914400"/>
                        </a:xfrm>
                        <a:prstGeom prst="rect">
                          <a:avLst/>
                        </a:prstGeom>
                        <a:noFill/>
                        <a:ln w="6350">
                          <a:noFill/>
                        </a:ln>
                        <a:effectLst/>
                      </wps:spPr>
                      <wps:txbx>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0pt;margin-top:376.5pt;height:72pt;width:80.2pt;z-index:251718656;mso-width-relative:page;mso-height-relative:page;" filled="f" stroked="f" coordsize="21600,21600" o:gfxdata="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9yQKJ2AAAAAsB&#10;AAAPAAAAAAAAAAEAIAAAACIAAABkcnMvZG93bnJldi54bWxQSwECFAAUAAAACACHTuJA7xh4H1QC&#10;AACQBAAADgAAAAAAAAABACAAAAAnAQAAZHJzL2Uyb0RvYy54bWxQSwUGAAAAAAYABgBZAQAA7QUA&#10;AAAA&#10;">
                <v:fill on="f" focussize="0,0"/>
                <v:stroke on="f" weight="0.5pt"/>
                <v:imagedata o:title=""/>
                <o:lock v:ext="edit" aspectratio="f"/>
                <v:textbox style="mso-fit-shape-to-text:t;">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2752" behindDoc="0" locked="0" layoutInCell="1" allowOverlap="1">
                <wp:simplePos x="0" y="0"/>
                <wp:positionH relativeFrom="column">
                  <wp:posOffset>4215130</wp:posOffset>
                </wp:positionH>
                <wp:positionV relativeFrom="paragraph">
                  <wp:posOffset>5146675</wp:posOffset>
                </wp:positionV>
                <wp:extent cx="746760" cy="498475"/>
                <wp:effectExtent l="6350" t="6350" r="8890" b="9525"/>
                <wp:wrapNone/>
                <wp:docPr id="240" name="任意多边形 240"/>
                <wp:cNvGraphicFramePr/>
                <a:graphic xmlns:a="http://schemas.openxmlformats.org/drawingml/2006/main">
                  <a:graphicData uri="http://schemas.microsoft.com/office/word/2010/wordprocessingShape">
                    <wps:wsp>
                      <wps:cNvSpPr/>
                      <wps:spPr>
                        <a:xfrm>
                          <a:off x="5114925" y="6046470"/>
                          <a:ext cx="746760" cy="498475"/>
                        </a:xfrm>
                        <a:custGeom>
                          <a:avLst/>
                          <a:gdLst>
                            <a:gd name="connisteX0" fmla="*/ 0 w 746760"/>
                            <a:gd name="connsiteY0" fmla="*/ 0 h 498475"/>
                            <a:gd name="connisteX1" fmla="*/ 746760 w 746760"/>
                            <a:gd name="connsiteY1" fmla="*/ 0 h 498475"/>
                            <a:gd name="connisteX2" fmla="*/ 738505 w 746760"/>
                            <a:gd name="connsiteY2" fmla="*/ 438150 h 498475"/>
                            <a:gd name="connisteX3" fmla="*/ 0 w 746760"/>
                            <a:gd name="connsiteY3" fmla="*/ 498475 h 498475"/>
                            <a:gd name="connisteX4" fmla="*/ 0 w 746760"/>
                            <a:gd name="connsiteY4" fmla="*/ 0 h 4984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746760" h="498475">
                              <a:moveTo>
                                <a:pt x="0" y="0"/>
                              </a:moveTo>
                              <a:lnTo>
                                <a:pt x="746760" y="0"/>
                              </a:lnTo>
                              <a:lnTo>
                                <a:pt x="738505" y="438150"/>
                              </a:lnTo>
                              <a:lnTo>
                                <a:pt x="0" y="498475"/>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331.9pt;margin-top:405.25pt;height:39.25pt;width:58.8pt;z-index:251722752;mso-width-relative:page;mso-height-relative:page;" filled="f" stroked="t" coordsize="746760,498475" o:gfxdata="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ofkqSNkAAAALAQAADwAAAAAAAAABACAAAAAiAAAAZHJzL2Rvd25yZXYueG1sUEsBAhQAFAAAAAgA&#10;h07iQN1KyRdBAwAAhwgAAA4AAAAAAAAAAQAgAAAAKAEAAGRycy9lMm9Eb2MueG1sUEsFBgAAAAAG&#10;AAYAWQEAANsGAAAAAA==&#10;" path="m0,0l746760,0,738505,438150,0,498475,0,0xe">
                <v:path o:connectlocs="0,0;746760,0;738505,438150;0,498475;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6608" behindDoc="0" locked="0" layoutInCell="1" allowOverlap="1">
                <wp:simplePos x="0" y="0"/>
                <wp:positionH relativeFrom="column">
                  <wp:posOffset>3211195</wp:posOffset>
                </wp:positionH>
                <wp:positionV relativeFrom="paragraph">
                  <wp:posOffset>4412615</wp:posOffset>
                </wp:positionV>
                <wp:extent cx="961390" cy="1355725"/>
                <wp:effectExtent l="6350" t="6985" r="22860" b="8890"/>
                <wp:wrapNone/>
                <wp:docPr id="214" name="任意多边形 214"/>
                <wp:cNvGraphicFramePr/>
                <a:graphic xmlns:a="http://schemas.openxmlformats.org/drawingml/2006/main">
                  <a:graphicData uri="http://schemas.microsoft.com/office/word/2010/wordprocessingShape">
                    <wps:wsp>
                      <wps:cNvSpPr/>
                      <wps:spPr>
                        <a:xfrm>
                          <a:off x="4110990" y="5312410"/>
                          <a:ext cx="961390" cy="1355725"/>
                        </a:xfrm>
                        <a:custGeom>
                          <a:avLst/>
                          <a:gdLst>
                            <a:gd name="connisteX0" fmla="*/ 17145 w 961390"/>
                            <a:gd name="connsiteY0" fmla="*/ 111125 h 1355725"/>
                            <a:gd name="connisteX1" fmla="*/ 961390 w 961390"/>
                            <a:gd name="connsiteY1" fmla="*/ 0 h 1355725"/>
                            <a:gd name="connisteX2" fmla="*/ 935355 w 961390"/>
                            <a:gd name="connsiteY2" fmla="*/ 1235710 h 1355725"/>
                            <a:gd name="connisteX3" fmla="*/ 0 w 961390"/>
                            <a:gd name="connsiteY3" fmla="*/ 1355725 h 1355725"/>
                            <a:gd name="connisteX4" fmla="*/ 17145 w 961390"/>
                            <a:gd name="connsiteY4" fmla="*/ 111125 h 135572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61390" h="1355725">
                              <a:moveTo>
                                <a:pt x="17145" y="111125"/>
                              </a:moveTo>
                              <a:lnTo>
                                <a:pt x="961390" y="0"/>
                              </a:lnTo>
                              <a:lnTo>
                                <a:pt x="935355" y="1235710"/>
                              </a:lnTo>
                              <a:lnTo>
                                <a:pt x="0" y="1355725"/>
                              </a:lnTo>
                              <a:lnTo>
                                <a:pt x="17145" y="11112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2.85pt;margin-top:347.45pt;height:106.75pt;width:75.7pt;z-index:251716608;mso-width-relative:page;mso-height-relative:page;" filled="f" stroked="t" coordsize="961390,1355725" o:gfxdata="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BxSrCPYAAAACwEAAA8AAAAAAAAAAQAgAAAAIgAAAGRycy9kb3ducmV2Lnht&#10;bFBLAQIUABQAAAAIAIdO4kAiZsQaTwMAALYIAAAOAAAAAAAAAAEAIAAAACcBAABkcnMvZTJvRG9j&#10;LnhtbFBLBQYAAAAABgAGAFkBAADoBgAAAAA=&#10;" path="m17145,111125l961390,0,935355,1235710,0,1355725,17145,111125xe">
                <v:path o:connectlocs="17145,111125;961390,0;935355,1235710;0,1355725;17145,11112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5584" behindDoc="0" locked="0" layoutInCell="1" allowOverlap="1">
                <wp:simplePos x="0" y="0"/>
                <wp:positionH relativeFrom="column">
                  <wp:posOffset>3270250</wp:posOffset>
                </wp:positionH>
                <wp:positionV relativeFrom="paragraph">
                  <wp:posOffset>2486025</wp:posOffset>
                </wp:positionV>
                <wp:extent cx="1913255" cy="1882140"/>
                <wp:effectExtent l="6350" t="7620" r="23495" b="15240"/>
                <wp:wrapNone/>
                <wp:docPr id="208" name="任意多边形 208"/>
                <wp:cNvGraphicFramePr/>
                <a:graphic xmlns:a="http://schemas.openxmlformats.org/drawingml/2006/main">
                  <a:graphicData uri="http://schemas.microsoft.com/office/word/2010/wordprocessingShape">
                    <wps:wsp>
                      <wps:cNvSpPr/>
                      <wps:spPr>
                        <a:xfrm>
                          <a:off x="4170045" y="3385820"/>
                          <a:ext cx="1913255" cy="1882140"/>
                        </a:xfrm>
                        <a:custGeom>
                          <a:avLst/>
                          <a:gdLst>
                            <a:gd name="connisteX0" fmla="*/ 0 w 1913255"/>
                            <a:gd name="connsiteY0" fmla="*/ 0 h 1882140"/>
                            <a:gd name="connisteX1" fmla="*/ 1913255 w 1913255"/>
                            <a:gd name="connsiteY1" fmla="*/ 331470 h 1882140"/>
                            <a:gd name="connisteX2" fmla="*/ 1677035 w 1913255"/>
                            <a:gd name="connsiteY2" fmla="*/ 1574800 h 1882140"/>
                            <a:gd name="connisteX3" fmla="*/ 0 w 1913255"/>
                            <a:gd name="connsiteY3" fmla="*/ 1882140 h 1882140"/>
                            <a:gd name="connisteX4" fmla="*/ 0 w 1913255"/>
                            <a:gd name="connsiteY4" fmla="*/ 0 h 188214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913255" h="1882140">
                              <a:moveTo>
                                <a:pt x="0" y="0"/>
                              </a:moveTo>
                              <a:lnTo>
                                <a:pt x="1913255" y="331470"/>
                              </a:lnTo>
                              <a:lnTo>
                                <a:pt x="1677035" y="1574800"/>
                              </a:lnTo>
                              <a:lnTo>
                                <a:pt x="0" y="1882140"/>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7.5pt;margin-top:195.75pt;height:148.2pt;width:150.65pt;z-index:251715584;mso-width-relative:page;mso-height-relative:page;" filled="f" stroked="t" coordsize="1913255,1882140" o:gfxdata="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CCipX9gAAAALAQAADwAAAAAAAAABACAAAAAiAAAAZHJzL2Rvd25yZXYueG1sUEsB&#10;AhQAFAAAAAgAh07iQN5Mvf9LAwAApwgAAA4AAAAAAAAAAQAgAAAAJwEAAGRycy9lMm9Eb2MueG1s&#10;UEsFBgAAAAAGAAYAWQEAAOQGAAAAAA==&#10;" path="m0,0l1913255,331470,1677035,1574800,0,1882140,0,0xe">
                <v:path o:connectlocs="0,0;1913255,331470;1677035,1574800;0,1882140;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w:drawing>
          <wp:inline distT="0" distB="0" distL="114300" distR="114300">
            <wp:extent cx="6000750" cy="6515100"/>
            <wp:effectExtent l="12700" t="12700" r="25400" b="25400"/>
            <wp:docPr id="10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77"/>
                    <pic:cNvPicPr>
                      <a:picLocks noChangeAspect="1"/>
                    </pic:cNvPicPr>
                  </pic:nvPicPr>
                  <pic:blipFill>
                    <a:blip r:embed="rId60"/>
                    <a:stretch>
                      <a:fillRect/>
                    </a:stretch>
                  </pic:blipFill>
                  <pic:spPr>
                    <a:xfrm>
                      <a:off x="0" y="0"/>
                      <a:ext cx="6000750" cy="6515100"/>
                    </a:xfrm>
                    <a:prstGeom prst="rect">
                      <a:avLst/>
                    </a:prstGeom>
                    <a:noFill/>
                    <a:ln w="12700" cap="flat" cmpd="sng">
                      <a:solidFill>
                        <a:srgbClr val="000000"/>
                      </a:solidFill>
                      <a:prstDash val="solid"/>
                      <a:round/>
                      <a:headEnd type="none" w="med" len="med"/>
                      <a:tailEnd type="none" w="med" len="med"/>
                    </a:ln>
                  </pic:spPr>
                </pic:pic>
              </a:graphicData>
            </a:graphic>
          </wp:inline>
        </w:drawing>
      </w:r>
    </w:p>
    <w:p w14:paraId="1BC40F1F">
      <w:pPr>
        <w:spacing w:after="0" w:line="240" w:lineRule="auto"/>
        <w:jc w:val="center"/>
        <w:outlineLvl w:val="0"/>
        <w:rPr>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59" w:name="_Toc17747"/>
      <w:r>
        <w:rPr>
          <w:rFonts w:hint="default" w:ascii="Times New Roman" w:hAnsi="Times New Roman" w:eastAsia="宋体" w:cs="Times New Roman"/>
          <w:b/>
          <w:color w:val="auto"/>
          <w:kern w:val="0"/>
          <w:sz w:val="24"/>
          <w:szCs w:val="20"/>
          <w:highlight w:val="none"/>
          <w:lang w:val="en-US" w:eastAsia="zh-CN" w:bidi="ar-SA"/>
        </w:rPr>
        <w:t>附图2 项目卫星四至及实景图</w:t>
      </w:r>
      <w:bookmarkEnd w:id="59"/>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1"/>
        <w:gridCol w:w="6841"/>
      </w:tblGrid>
      <w:tr w14:paraId="775E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40" w:hRule="atLeast"/>
          <w:jc w:val="center"/>
        </w:trPr>
        <w:tc>
          <w:tcPr>
            <w:tcW w:w="2573" w:type="pct"/>
            <w:noWrap w:val="0"/>
            <w:vAlign w:val="center"/>
          </w:tcPr>
          <w:p w14:paraId="61CA02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bookmarkStart w:id="60" w:name="_Toc30211"/>
            <w:bookmarkStart w:id="61" w:name="_Toc25378"/>
            <w:bookmarkStart w:id="62" w:name="_Toc3905"/>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3943985" cy="2567305"/>
                  <wp:effectExtent l="0" t="0" r="18415" b="4445"/>
                  <wp:docPr id="108" name="图片 570" descr="9ce7d48652ceff3ffb645e5d65948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570" descr="9ce7d48652ceff3ffb645e5d65948a78"/>
                          <pic:cNvPicPr>
                            <a:picLocks noChangeAspect="1"/>
                          </pic:cNvPicPr>
                        </pic:nvPicPr>
                        <pic:blipFill>
                          <a:blip r:embed="rId61"/>
                          <a:stretch>
                            <a:fillRect/>
                          </a:stretch>
                        </pic:blipFill>
                        <pic:spPr>
                          <a:xfrm>
                            <a:off x="0" y="0"/>
                            <a:ext cx="3943985" cy="2567305"/>
                          </a:xfrm>
                          <a:prstGeom prst="rect">
                            <a:avLst/>
                          </a:prstGeom>
                          <a:noFill/>
                          <a:ln>
                            <a:noFill/>
                          </a:ln>
                        </pic:spPr>
                      </pic:pic>
                    </a:graphicData>
                  </a:graphic>
                </wp:inline>
              </w:drawing>
            </w:r>
          </w:p>
        </w:tc>
        <w:tc>
          <w:tcPr>
            <w:tcW w:w="2426" w:type="pct"/>
            <w:noWrap w:val="0"/>
            <w:vAlign w:val="center"/>
          </w:tcPr>
          <w:p w14:paraId="3534DA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18940" cy="2463800"/>
                  <wp:effectExtent l="0" t="0" r="10160" b="12700"/>
                  <wp:docPr id="109" name="图片 574" descr="2bca4e7733fd6a417c7150c5bf4b2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74" descr="2bca4e7733fd6a417c7150c5bf4b203a"/>
                          <pic:cNvPicPr>
                            <a:picLocks noChangeAspect="1"/>
                          </pic:cNvPicPr>
                        </pic:nvPicPr>
                        <pic:blipFill>
                          <a:blip r:embed="rId62"/>
                          <a:srcRect t="28311" b="17552"/>
                          <a:stretch>
                            <a:fillRect/>
                          </a:stretch>
                        </pic:blipFill>
                        <pic:spPr>
                          <a:xfrm>
                            <a:off x="0" y="0"/>
                            <a:ext cx="4218940" cy="2463800"/>
                          </a:xfrm>
                          <a:prstGeom prst="rect">
                            <a:avLst/>
                          </a:prstGeom>
                          <a:noFill/>
                          <a:ln>
                            <a:noFill/>
                          </a:ln>
                        </pic:spPr>
                      </pic:pic>
                    </a:graphicData>
                  </a:graphic>
                </wp:inline>
              </w:drawing>
            </w:r>
          </w:p>
        </w:tc>
      </w:tr>
      <w:tr w14:paraId="116C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573" w:type="pct"/>
            <w:noWrap w:val="0"/>
            <w:vAlign w:val="center"/>
          </w:tcPr>
          <w:p w14:paraId="52E484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项目东面-平整空地</w:t>
            </w:r>
          </w:p>
        </w:tc>
        <w:tc>
          <w:tcPr>
            <w:tcW w:w="2426" w:type="pct"/>
            <w:noWrap w:val="0"/>
            <w:vAlign w:val="center"/>
          </w:tcPr>
          <w:p w14:paraId="6829F2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w:t>
            </w:r>
            <w:r>
              <w:rPr>
                <w:rFonts w:hint="eastAsia" w:ascii="Times New Roman" w:hAnsi="Times New Roman" w:eastAsia="宋体....." w:cs="Times New Roman"/>
                <w:b/>
                <w:bCs/>
                <w:color w:val="auto"/>
                <w:kern w:val="2"/>
                <w:sz w:val="21"/>
                <w:szCs w:val="21"/>
                <w:highlight w:val="none"/>
                <w:lang w:val="en-US" w:eastAsia="zh-CN" w:bidi="ar-SA"/>
              </w:rPr>
              <w:t>南</w:t>
            </w:r>
            <w:r>
              <w:rPr>
                <w:rFonts w:hint="eastAsia" w:ascii="Times New Roman" w:hAnsi="Times New Roman" w:eastAsia="宋体" w:cs="Times New Roman"/>
                <w:b/>
                <w:bCs/>
                <w:color w:val="auto"/>
                <w:kern w:val="2"/>
                <w:sz w:val="21"/>
                <w:szCs w:val="21"/>
                <w:highlight w:val="none"/>
                <w:lang w:val="en-US" w:eastAsia="zh-CN" w:bidi="ar-SA"/>
              </w:rPr>
              <w:t>面</w:t>
            </w:r>
            <w:r>
              <w:rPr>
                <w:rFonts w:hint="eastAsia" w:ascii="Times New Roman" w:hAnsi="Times New Roman" w:eastAsia="宋体....." w:cs="Times New Roman"/>
                <w:b/>
                <w:bCs/>
                <w:color w:val="auto"/>
                <w:kern w:val="2"/>
                <w:sz w:val="21"/>
                <w:szCs w:val="21"/>
                <w:highlight w:val="none"/>
                <w:lang w:val="en-US" w:eastAsia="zh-CN" w:bidi="ar-SA"/>
              </w:rPr>
              <w:t>-平整空地</w:t>
            </w:r>
          </w:p>
        </w:tc>
      </w:tr>
      <w:tr w14:paraId="2FE6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2573" w:type="pct"/>
            <w:noWrap w:val="0"/>
            <w:vAlign w:val="center"/>
          </w:tcPr>
          <w:p w14:paraId="363880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06240" cy="2366010"/>
                  <wp:effectExtent l="0" t="0" r="3810" b="15240"/>
                  <wp:docPr id="110" name="图片 572" descr="f13ab5e261df47048984cbb8a9341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72" descr="f13ab5e261df47048984cbb8a9341c00"/>
                          <pic:cNvPicPr>
                            <a:picLocks noChangeAspect="1"/>
                          </pic:cNvPicPr>
                        </pic:nvPicPr>
                        <pic:blipFill>
                          <a:blip r:embed="rId63"/>
                          <a:stretch>
                            <a:fillRect/>
                          </a:stretch>
                        </pic:blipFill>
                        <pic:spPr>
                          <a:xfrm>
                            <a:off x="0" y="0"/>
                            <a:ext cx="4206240" cy="2366010"/>
                          </a:xfrm>
                          <a:prstGeom prst="rect">
                            <a:avLst/>
                          </a:prstGeom>
                          <a:noFill/>
                          <a:ln>
                            <a:noFill/>
                          </a:ln>
                        </pic:spPr>
                      </pic:pic>
                    </a:graphicData>
                  </a:graphic>
                </wp:inline>
              </w:drawing>
            </w:r>
          </w:p>
        </w:tc>
        <w:tc>
          <w:tcPr>
            <w:tcW w:w="2426" w:type="pct"/>
            <w:noWrap w:val="0"/>
            <w:vAlign w:val="center"/>
          </w:tcPr>
          <w:p w14:paraId="593B8C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169410" cy="2345690"/>
                  <wp:effectExtent l="0" t="0" r="2540" b="16510"/>
                  <wp:docPr id="111" name="图片 573" descr="291db2fb075068544c979d838cbe60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73" descr="291db2fb075068544c979d838cbe609c"/>
                          <pic:cNvPicPr>
                            <a:picLocks noChangeAspect="1"/>
                          </pic:cNvPicPr>
                        </pic:nvPicPr>
                        <pic:blipFill>
                          <a:blip r:embed="rId64"/>
                          <a:stretch>
                            <a:fillRect/>
                          </a:stretch>
                        </pic:blipFill>
                        <pic:spPr>
                          <a:xfrm>
                            <a:off x="0" y="0"/>
                            <a:ext cx="4169410" cy="2345690"/>
                          </a:xfrm>
                          <a:prstGeom prst="rect">
                            <a:avLst/>
                          </a:prstGeom>
                          <a:noFill/>
                          <a:ln>
                            <a:noFill/>
                          </a:ln>
                        </pic:spPr>
                      </pic:pic>
                    </a:graphicData>
                  </a:graphic>
                </wp:inline>
              </w:drawing>
            </w:r>
          </w:p>
        </w:tc>
      </w:tr>
      <w:tr w14:paraId="71D0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573" w:type="pct"/>
            <w:noWrap w:val="0"/>
            <w:vAlign w:val="center"/>
          </w:tcPr>
          <w:p w14:paraId="0306A8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项目西面-平整空地</w:t>
            </w:r>
          </w:p>
        </w:tc>
        <w:tc>
          <w:tcPr>
            <w:tcW w:w="2426" w:type="pct"/>
            <w:noWrap w:val="0"/>
            <w:vAlign w:val="center"/>
          </w:tcPr>
          <w:p w14:paraId="610F60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项目北面-平整空地</w:t>
            </w:r>
          </w:p>
        </w:tc>
      </w:tr>
    </w:tbl>
    <w:p w14:paraId="37274632">
      <w:pPr>
        <w:keepNext w:val="0"/>
        <w:keepLines w:val="0"/>
        <w:pageBreakBefore w:val="0"/>
        <w:widowControl w:val="0"/>
        <w:kinsoku w:val="0"/>
        <w:wordWrap/>
        <w:overflowPunct w:val="0"/>
        <w:topLinePunct w:val="0"/>
        <w:autoSpaceDE/>
        <w:autoSpaceDN/>
        <w:bidi w:val="0"/>
        <w:adjustRightInd w:val="0"/>
        <w:snapToGrid w:val="0"/>
        <w:spacing w:line="120" w:lineRule="exact"/>
        <w:ind w:firstLine="422" w:firstLineChars="200"/>
        <w:jc w:val="center"/>
        <w:textAlignment w:val="auto"/>
        <w:outlineLvl w:val="9"/>
        <w:rPr>
          <w:b/>
          <w:bCs/>
          <w:color w:val="auto"/>
          <w:sz w:val="21"/>
          <w:szCs w:val="21"/>
          <w:highlight w:val="none"/>
        </w:rPr>
      </w:pPr>
      <w:bookmarkStart w:id="63" w:name="_Toc24195"/>
      <w:bookmarkStart w:id="64" w:name="_Toc30362"/>
      <w:bookmarkStart w:id="65" w:name="_Toc28856"/>
      <w:bookmarkStart w:id="66" w:name="_Toc20038"/>
    </w:p>
    <w:p w14:paraId="729DE53B">
      <w:pPr>
        <w:kinsoku w:val="0"/>
        <w:overflowPunct w:val="0"/>
        <w:adjustRightInd w:val="0"/>
        <w:snapToGrid w:val="0"/>
        <w:spacing w:line="360" w:lineRule="auto"/>
        <w:ind w:firstLine="422" w:firstLineChars="200"/>
        <w:jc w:val="center"/>
        <w:outlineLvl w:val="0"/>
        <w:rPr>
          <w:b/>
          <w:bCs/>
          <w:color w:val="auto"/>
          <w:sz w:val="21"/>
          <w:szCs w:val="21"/>
          <w:highlight w:val="none"/>
        </w:rPr>
      </w:pPr>
      <w:bookmarkStart w:id="67" w:name="_Toc2303"/>
      <w:bookmarkStart w:id="68" w:name="_Toc28683"/>
      <w:bookmarkStart w:id="69" w:name="_Toc31743"/>
      <w:r>
        <w:rPr>
          <w:b/>
          <w:bCs/>
          <w:color w:val="auto"/>
          <w:sz w:val="21"/>
          <w:szCs w:val="21"/>
          <w:highlight w:val="none"/>
        </w:rPr>
        <w:t>附图</w:t>
      </w:r>
      <w:r>
        <w:rPr>
          <w:rFonts w:hint="eastAsia" w:ascii="Times New Roman" w:eastAsia="宋体"/>
          <w:b/>
          <w:bCs/>
          <w:color w:val="auto"/>
          <w:sz w:val="21"/>
          <w:szCs w:val="21"/>
          <w:highlight w:val="none"/>
          <w:lang w:val="en-US" w:eastAsia="zh-CN"/>
        </w:rPr>
        <w:t>3</w:t>
      </w:r>
      <w:r>
        <w:rPr>
          <w:b/>
          <w:bCs/>
          <w:color w:val="auto"/>
          <w:sz w:val="21"/>
          <w:szCs w:val="21"/>
          <w:highlight w:val="none"/>
        </w:rPr>
        <w:t xml:space="preserve"> </w:t>
      </w:r>
      <w:r>
        <w:rPr>
          <w:rFonts w:hint="eastAsia" w:ascii="Times New Roman" w:eastAsia="宋体"/>
          <w:b/>
          <w:bCs/>
          <w:color w:val="auto"/>
          <w:sz w:val="21"/>
          <w:szCs w:val="21"/>
          <w:highlight w:val="none"/>
          <w:lang w:val="en-US" w:eastAsia="zh-CN"/>
        </w:rPr>
        <w:t>项目</w:t>
      </w:r>
      <w:r>
        <w:rPr>
          <w:b/>
          <w:bCs/>
          <w:color w:val="auto"/>
          <w:sz w:val="21"/>
          <w:szCs w:val="21"/>
          <w:highlight w:val="none"/>
        </w:rPr>
        <w:t>周边现状</w:t>
      </w:r>
      <w:r>
        <w:rPr>
          <w:rFonts w:hint="eastAsia"/>
          <w:b/>
          <w:bCs/>
          <w:color w:val="auto"/>
          <w:sz w:val="21"/>
          <w:szCs w:val="21"/>
          <w:highlight w:val="none"/>
        </w:rPr>
        <w:t>图</w:t>
      </w:r>
      <w:bookmarkEnd w:id="63"/>
      <w:bookmarkEnd w:id="64"/>
      <w:bookmarkEnd w:id="65"/>
      <w:bookmarkEnd w:id="66"/>
      <w:bookmarkEnd w:id="67"/>
      <w:bookmarkEnd w:id="68"/>
      <w:bookmarkEnd w:id="69"/>
    </w:p>
    <w:p w14:paraId="5796AC16">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7F789645">
      <w:pPr>
        <w:jc w:val="center"/>
        <w:outlineLvl w:val="9"/>
        <w:rPr>
          <w:color w:val="auto"/>
          <w:highlight w:val="none"/>
        </w:rPr>
      </w:pPr>
      <w:bookmarkStart w:id="70" w:name="_Toc25813"/>
      <w:r>
        <mc:AlternateContent>
          <mc:Choice Requires="wps">
            <w:drawing>
              <wp:anchor distT="0" distB="0" distL="114300" distR="114300" simplePos="0" relativeHeight="251782144" behindDoc="0" locked="0" layoutInCell="1" allowOverlap="1">
                <wp:simplePos x="0" y="0"/>
                <wp:positionH relativeFrom="column">
                  <wp:posOffset>3967480</wp:posOffset>
                </wp:positionH>
                <wp:positionV relativeFrom="paragraph">
                  <wp:posOffset>1043940</wp:posOffset>
                </wp:positionV>
                <wp:extent cx="596265" cy="353060"/>
                <wp:effectExtent l="0" t="0" r="0" b="0"/>
                <wp:wrapNone/>
                <wp:docPr id="32" name="文本框 1881"/>
                <wp:cNvGraphicFramePr/>
                <a:graphic xmlns:a="http://schemas.openxmlformats.org/drawingml/2006/main">
                  <a:graphicData uri="http://schemas.microsoft.com/office/word/2010/wordprocessingShape">
                    <wps:wsp>
                      <wps:cNvSpPr txBox="1"/>
                      <wps:spPr>
                        <a:xfrm>
                          <a:off x="0" y="0"/>
                          <a:ext cx="596265" cy="353060"/>
                        </a:xfrm>
                        <a:prstGeom prst="rect">
                          <a:avLst/>
                        </a:prstGeom>
                        <a:noFill/>
                        <a:ln>
                          <a:noFill/>
                        </a:ln>
                      </wps:spPr>
                      <wps:txbx>
                        <w:txbxContent>
                          <w:p w14:paraId="5A0A00B8">
                            <w:pPr>
                              <w:rPr>
                                <w:rFonts w:hint="default" w:eastAsia="宋体"/>
                                <w:b/>
                                <w:bCs/>
                                <w:highlight w:val="yellow"/>
                                <w:lang w:val="en-US" w:eastAsia="zh-CN"/>
                              </w:rPr>
                            </w:pPr>
                            <w:r>
                              <w:rPr>
                                <w:rFonts w:hint="eastAsia"/>
                                <w:b/>
                                <w:bCs/>
                                <w:highlight w:val="yellow"/>
                                <w:lang w:val="en-US" w:eastAsia="zh-CN"/>
                              </w:rPr>
                              <w:t>DA003</w:t>
                            </w:r>
                          </w:p>
                        </w:txbxContent>
                      </wps:txbx>
                      <wps:bodyPr upright="1"/>
                    </wps:wsp>
                  </a:graphicData>
                </a:graphic>
              </wp:anchor>
            </w:drawing>
          </mc:Choice>
          <mc:Fallback>
            <w:pict>
              <v:shape id="文本框 1881" o:spid="_x0000_s1026" o:spt="202" type="#_x0000_t202" style="position:absolute;left:0pt;margin-left:312.4pt;margin-top:82.2pt;height:27.8pt;width:46.95pt;z-index:251782144;mso-width-relative:page;mso-height-relative:page;" filled="f" stroked="f" coordsize="21600,21600" o:gfxdata="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ekbt9&#10;1wAAAAsBAAAPAAAAAAAAAAEAIAAAACIAAABkcnMvZG93bnJldi54bWxQSwECFAAUAAAACACHTuJA&#10;I4fCYLABAABRAwAADgAAAAAAAAABACAAAAAmAQAAZHJzL2Uyb0RvYy54bWxQSwUGAAAAAAYABgBZ&#10;AQAASAUAAAAA&#10;">
                <v:fill on="f" focussize="0,0"/>
                <v:stroke on="f"/>
                <v:imagedata o:title=""/>
                <o:lock v:ext="edit" aspectratio="f"/>
                <v:textbox>
                  <w:txbxContent>
                    <w:p w14:paraId="5A0A00B8">
                      <w:pPr>
                        <w:rPr>
                          <w:rFonts w:hint="default" w:eastAsia="宋体"/>
                          <w:b/>
                          <w:bCs/>
                          <w:highlight w:val="yellow"/>
                          <w:lang w:val="en-US" w:eastAsia="zh-CN"/>
                        </w:rPr>
                      </w:pPr>
                      <w:r>
                        <w:rPr>
                          <w:rFonts w:hint="eastAsia"/>
                          <w:b/>
                          <w:bCs/>
                          <w:highlight w:val="yellow"/>
                          <w:lang w:val="en-US" w:eastAsia="zh-CN"/>
                        </w:rPr>
                        <w:t>DA003</w:t>
                      </w:r>
                    </w:p>
                  </w:txbxContent>
                </v:textbox>
              </v:shape>
            </w:pict>
          </mc:Fallback>
        </mc:AlternateContent>
      </w:r>
      <w:r>
        <w:rPr>
          <w:sz w:val="18"/>
        </w:rPr>
        <mc:AlternateContent>
          <mc:Choice Requires="wps">
            <w:drawing>
              <wp:anchor distT="0" distB="0" distL="114300" distR="114300" simplePos="0" relativeHeight="251688960" behindDoc="0" locked="0" layoutInCell="1" allowOverlap="1">
                <wp:simplePos x="0" y="0"/>
                <wp:positionH relativeFrom="column">
                  <wp:posOffset>4048760</wp:posOffset>
                </wp:positionH>
                <wp:positionV relativeFrom="paragraph">
                  <wp:posOffset>3050540</wp:posOffset>
                </wp:positionV>
                <wp:extent cx="114300" cy="121920"/>
                <wp:effectExtent l="4445" t="4445" r="14605" b="6985"/>
                <wp:wrapNone/>
                <wp:docPr id="31" name="椭圆 1879"/>
                <wp:cNvGraphicFramePr/>
                <a:graphic xmlns:a="http://schemas.openxmlformats.org/drawingml/2006/main">
                  <a:graphicData uri="http://schemas.microsoft.com/office/word/2010/wordprocessingShape">
                    <wps:wsp>
                      <wps:cNvSpPr/>
                      <wps:spPr>
                        <a:xfrm>
                          <a:off x="5128895" y="3842385"/>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79" o:spid="_x0000_s1026" o:spt="3" type="#_x0000_t3" style="position:absolute;left:0pt;margin-left:318.8pt;margin-top:240.2pt;height:9.6pt;width:9pt;z-index:251688960;mso-width-relative:page;mso-height-relative:page;" fillcolor="#00B0F0" filled="t" stroked="t" coordsize="21600,21600" o:gfxdata="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qotTLcAAAACwEAAA8AAAAAAAAAAQAgAAAAIgAAAGRycy9kb3ducmV2LnhtbFBL&#10;AQIUABQAAAAIAIdO4kAmQ7J0KwIAAFkEAAAOAAAAAAAAAAEAIAAAACsBAABkcnMvZTJvRG9jLnht&#10;bFBLBQYAAAAABgAGAFkBAADI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73952" behindDoc="0" locked="0" layoutInCell="1" allowOverlap="1">
                <wp:simplePos x="0" y="0"/>
                <wp:positionH relativeFrom="column">
                  <wp:posOffset>1189990</wp:posOffset>
                </wp:positionH>
                <wp:positionV relativeFrom="paragraph">
                  <wp:posOffset>2759075</wp:posOffset>
                </wp:positionV>
                <wp:extent cx="710565" cy="353060"/>
                <wp:effectExtent l="0" t="0" r="0" b="0"/>
                <wp:wrapNone/>
                <wp:docPr id="276"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wps:txbx>
                      <wps:bodyPr vert="horz" wrap="square" anchor="t" anchorCtr="0" upright="1"/>
                    </wps:wsp>
                  </a:graphicData>
                </a:graphic>
              </wp:anchor>
            </w:drawing>
          </mc:Choice>
          <mc:Fallback>
            <w:pict>
              <v:shape id="文本框 4" o:spid="_x0000_s1026" o:spt="202" type="#_x0000_t202" style="position:absolute;left:0pt;margin-left:93.7pt;margin-top:217.25pt;height:27.8pt;width:55.95pt;z-index:251773952;mso-width-relative:page;mso-height-relative:page;" filled="f" stroked="f" coordsize="21600,21600" o:gfxdata="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GgPY+2AAAAAsBAAAPAAAAAAAAAAEAIAAAACIAAABk&#10;cnMvZG93bnJldi54bWxQSwECFAAUAAAACACHTuJAoEw8cs0BAACCAwAADgAAAAAAAAABACAAAAAn&#10;AQAAZHJzL2Uyb0RvYy54bWxQSwUGAAAAAAYABgBZAQAAZgUAAAAA&#10;">
                <v:fill on="f" focussize="0,0"/>
                <v:stroke on="f"/>
                <v:imagedata o:title=""/>
                <o:lock v:ext="edit" aspectratio="f"/>
                <v:textbo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v:textbox>
              </v:shape>
            </w:pict>
          </mc:Fallback>
        </mc:AlternateContent>
      </w:r>
      <w:r>
        <w:rPr>
          <w:color w:val="auto"/>
          <w:sz w:val="18"/>
          <w:highlight w:val="none"/>
        </w:rPr>
        <mc:AlternateContent>
          <mc:Choice Requires="wps">
            <w:drawing>
              <wp:anchor distT="0" distB="0" distL="114300" distR="114300" simplePos="0" relativeHeight="251772928" behindDoc="0" locked="0" layoutInCell="1" allowOverlap="1">
                <wp:simplePos x="0" y="0"/>
                <wp:positionH relativeFrom="column">
                  <wp:posOffset>1751965</wp:posOffset>
                </wp:positionH>
                <wp:positionV relativeFrom="paragraph">
                  <wp:posOffset>2978150</wp:posOffset>
                </wp:positionV>
                <wp:extent cx="114300" cy="121920"/>
                <wp:effectExtent l="4445" t="4445" r="14605" b="6985"/>
                <wp:wrapNone/>
                <wp:docPr id="275"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5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137.95pt;margin-top:234.5pt;height:9.6pt;width:9pt;z-index:251772928;mso-width-relative:page;mso-height-relative:page;" fillcolor="#00B050" filled="t" stroked="t" coordsize="21600,21600" o:gfxdata="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I27KTZAAAA&#10;CwEAAA8AAAAAAAAAAQAgAAAAIgAAAGRycy9kb3ducmV2LnhtbFBLAQIUABQAAAAIAIdO4kC/DR1Z&#10;HAIAAEsEAAAOAAAAAAAAAAEAIAAAACgBAABkcnMvZTJvRG9jLnhtbFBLBQYAAAAABgAGAFkBAAC2&#10;BQAAAAA=&#10;">
                <v:fill on="t" focussize="0,0"/>
                <v:stroke color="#000000" joinstyle="round"/>
                <v:imagedata o:title=""/>
                <o:lock v:ext="edit" aspectratio="f"/>
              </v:shape>
            </w:pict>
          </mc:Fallback>
        </mc:AlternateContent>
      </w:r>
      <w:r>
        <w:rPr>
          <w:sz w:val="18"/>
        </w:rPr>
        <mc:AlternateContent>
          <mc:Choice Requires="wps">
            <w:drawing>
              <wp:anchor distT="0" distB="0" distL="114300" distR="114300" simplePos="0" relativeHeight="251771904" behindDoc="0" locked="0" layoutInCell="1" allowOverlap="1">
                <wp:simplePos x="0" y="0"/>
                <wp:positionH relativeFrom="column">
                  <wp:posOffset>1764030</wp:posOffset>
                </wp:positionH>
                <wp:positionV relativeFrom="paragraph">
                  <wp:posOffset>1757680</wp:posOffset>
                </wp:positionV>
                <wp:extent cx="925830" cy="2164080"/>
                <wp:effectExtent l="0" t="12700" r="7620" b="13970"/>
                <wp:wrapNone/>
                <wp:docPr id="274" name="任意多边形 274"/>
                <wp:cNvGraphicFramePr/>
                <a:graphic xmlns:a="http://schemas.openxmlformats.org/drawingml/2006/main">
                  <a:graphicData uri="http://schemas.microsoft.com/office/word/2010/wordprocessingShape">
                    <wps:wsp>
                      <wps:cNvSpPr/>
                      <wps:spPr>
                        <a:xfrm>
                          <a:off x="2895600" y="2549525"/>
                          <a:ext cx="925830" cy="2164080"/>
                        </a:xfrm>
                        <a:custGeom>
                          <a:avLst/>
                          <a:gdLst>
                            <a:gd name="connisteX0" fmla="*/ 0 w 519430"/>
                            <a:gd name="connsiteY0" fmla="*/ 0 h 2120900"/>
                            <a:gd name="connisteX1" fmla="*/ 95250 w 519430"/>
                            <a:gd name="connsiteY1" fmla="*/ 0 h 2120900"/>
                            <a:gd name="connisteX2" fmla="*/ 95250 w 519430"/>
                            <a:gd name="connsiteY2" fmla="*/ 2025650 h 2120900"/>
                            <a:gd name="connisteX3" fmla="*/ 519430 w 519430"/>
                            <a:gd name="connsiteY3" fmla="*/ 2120900 h 2120900"/>
                          </a:gdLst>
                          <a:ahLst/>
                          <a:cxnLst>
                            <a:cxn ang="0">
                              <a:pos x="connisteX0" y="connsiteY0"/>
                            </a:cxn>
                            <a:cxn ang="0">
                              <a:pos x="connisteX1" y="connsiteY1"/>
                            </a:cxn>
                            <a:cxn ang="0">
                              <a:pos x="connisteX2" y="connsiteY2"/>
                            </a:cxn>
                            <a:cxn ang="0">
                              <a:pos x="connisteX3" y="connsiteY3"/>
                            </a:cxn>
                          </a:cxnLst>
                          <a:rect l="l" t="t" r="r" b="b"/>
                          <a:pathLst>
                            <a:path w="519430" h="2120900">
                              <a:moveTo>
                                <a:pt x="0" y="0"/>
                              </a:moveTo>
                              <a:lnTo>
                                <a:pt x="95250" y="0"/>
                              </a:lnTo>
                              <a:lnTo>
                                <a:pt x="95250" y="2025650"/>
                              </a:lnTo>
                              <a:lnTo>
                                <a:pt x="519430" y="212090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38.9pt;margin-top:138.4pt;height:170.4pt;width:72.9pt;z-index:251771904;mso-width-relative:page;mso-height-relative:page;" filled="f" stroked="t" coordsize="519430,2120900" o:gfxdata="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" path="m0,0l95250,0,95250,2025650,519430,2120900e">
                <v:path o:connectlocs="0,0;169773,0;169773,2066890;925830,2164080" o:connectangles="0,0,0,0"/>
                <v:fill on="f" focussize="0,0"/>
                <v:stroke weight="2pt" color="#1005F9 [2404]"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05344" behindDoc="0" locked="0" layoutInCell="1" allowOverlap="1">
                <wp:simplePos x="0" y="0"/>
                <wp:positionH relativeFrom="column">
                  <wp:posOffset>1989455</wp:posOffset>
                </wp:positionH>
                <wp:positionV relativeFrom="paragraph">
                  <wp:posOffset>616585</wp:posOffset>
                </wp:positionV>
                <wp:extent cx="886460" cy="338455"/>
                <wp:effectExtent l="4445" t="4445" r="23495" b="19050"/>
                <wp:wrapNone/>
                <wp:docPr id="51" name="文本框 1860"/>
                <wp:cNvGraphicFramePr/>
                <a:graphic xmlns:a="http://schemas.openxmlformats.org/drawingml/2006/main">
                  <a:graphicData uri="http://schemas.microsoft.com/office/word/2010/wordprocessingShape">
                    <wps:wsp>
                      <wps:cNvSpPr txBox="1"/>
                      <wps:spPr>
                        <a:xfrm>
                          <a:off x="0" y="0"/>
                          <a:ext cx="886460"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wps:txbx>
                      <wps:bodyPr vert="horz" wrap="square" anchor="t" anchorCtr="0" upright="1"/>
                    </wps:wsp>
                  </a:graphicData>
                </a:graphic>
              </wp:anchor>
            </w:drawing>
          </mc:Choice>
          <mc:Fallback>
            <w:pict>
              <v:shape id="文本框 1860" o:spid="_x0000_s1026" o:spt="202" type="#_x0000_t202" style="position:absolute;left:0pt;margin-left:156.65pt;margin-top:48.55pt;height:26.65pt;width:69.8pt;z-index:251705344;mso-width-relative:page;mso-height-relative:page;" fillcolor="#FFFFFF" filled="t" stroked="t" coordsize="21600,21600" o:gfxdata="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6d/Z2gAAAAoBAAAPAAAAAAAAAAEAIAAAACIAAABkcnMvZG93bnJldi54bWxQSwEC&#10;FAAUAAAACACHTuJAEDTrcSsCAABsBAAADgAAAAAAAAABACAAAAApAQAAZHJzL2Uyb0RvYy54bWxQ&#10;SwUGAAAAAAYABgBZAQAAxgUAAAAA&#10;">
                <v:fill on="t" focussize="0,0"/>
                <v:stroke color="#000000" joinstyle="miter"/>
                <v:imagedata o:title=""/>
                <o:lock v:ext="edit" aspectratio="f"/>
                <v:textbo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v:textbox>
              </v:shape>
            </w:pict>
          </mc:Fallback>
        </mc:AlternateContent>
      </w:r>
      <w:r>
        <w:rPr>
          <w:color w:val="auto"/>
          <w:highlight w:val="none"/>
        </w:rPr>
        <w:drawing>
          <wp:anchor distT="0" distB="0" distL="114300" distR="114300" simplePos="0" relativeHeight="251769856" behindDoc="0" locked="0" layoutInCell="1" allowOverlap="1">
            <wp:simplePos x="0" y="0"/>
            <wp:positionH relativeFrom="column">
              <wp:posOffset>523240</wp:posOffset>
            </wp:positionH>
            <wp:positionV relativeFrom="paragraph">
              <wp:posOffset>121920</wp:posOffset>
            </wp:positionV>
            <wp:extent cx="1076325" cy="1009015"/>
            <wp:effectExtent l="0" t="0" r="9525" b="635"/>
            <wp:wrapNone/>
            <wp:docPr id="272"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886"/>
                    <pic:cNvPicPr>
                      <a:picLocks noChangeAspect="1"/>
                    </pic:cNvPicPr>
                  </pic:nvPicPr>
                  <pic:blipFill>
                    <a:blip r:embed="rId59"/>
                    <a:stretch>
                      <a:fillRect/>
                    </a:stretch>
                  </pic:blipFill>
                  <pic:spPr>
                    <a:xfrm>
                      <a:off x="0" y="0"/>
                      <a:ext cx="1076325" cy="1009015"/>
                    </a:xfrm>
                    <a:prstGeom prst="rect">
                      <a:avLst/>
                    </a:prstGeom>
                    <a:noFill/>
                    <a:ln>
                      <a:noFill/>
                    </a:ln>
                  </pic:spPr>
                </pic:pic>
              </a:graphicData>
            </a:graphic>
          </wp:anchor>
        </w:drawing>
      </w:r>
      <w:r>
        <w:rPr>
          <w:sz w:val="18"/>
        </w:rPr>
        <mc:AlternateContent>
          <mc:Choice Requires="wps">
            <w:drawing>
              <wp:anchor distT="0" distB="0" distL="114300" distR="114300" simplePos="0" relativeHeight="251765760" behindDoc="0" locked="0" layoutInCell="1" allowOverlap="1">
                <wp:simplePos x="0" y="0"/>
                <wp:positionH relativeFrom="column">
                  <wp:posOffset>3035300</wp:posOffset>
                </wp:positionH>
                <wp:positionV relativeFrom="paragraph">
                  <wp:posOffset>348615</wp:posOffset>
                </wp:positionV>
                <wp:extent cx="3940810" cy="311785"/>
                <wp:effectExtent l="4445" t="4445" r="17145" b="7620"/>
                <wp:wrapNone/>
                <wp:docPr id="267" name="文本框 267"/>
                <wp:cNvGraphicFramePr/>
                <a:graphic xmlns:a="http://schemas.openxmlformats.org/drawingml/2006/main">
                  <a:graphicData uri="http://schemas.microsoft.com/office/word/2010/wordprocessingShape">
                    <wps:wsp>
                      <wps:cNvSpPr txBox="1"/>
                      <wps:spPr>
                        <a:xfrm>
                          <a:off x="6125210" y="1140460"/>
                          <a:ext cx="3940810" cy="31178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pt;margin-top:27.45pt;height:24.55pt;width:310.3pt;z-index:251765760;mso-width-relative:page;mso-height-relative:page;" fillcolor="#FFFFFF" filled="t" stroked="t" coordsize="21600,21600" o:gfxdata="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J+7e7YAAAACwEAAA8AAAAAAAAAAQAgAAAAIgAAAGRycy9kb3ducmV2Lnht&#10;bFBLAQIUABQAAAAIAIdO4kAI233fawIAANUEAAAOAAAAAAAAAAEAIAAAACcBAABkcnMvZTJvRG9j&#10;LnhtbFBLBQYAAAAABgAGAFkBAAAEBgAAAAA=&#10;">
                <v:fill on="t" focussize="0,0"/>
                <v:stroke weight="0.5pt" color="#000000 [3204]" joinstyle="round"/>
                <v:imagedata o:title=""/>
                <o:lock v:ext="edit" aspectratio="f"/>
                <v:textbo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v:textbox>
              </v:shape>
            </w:pict>
          </mc:Fallback>
        </mc:AlternateContent>
      </w:r>
      <w:r>
        <w:rPr>
          <w:sz w:val="18"/>
        </w:rPr>
        <mc:AlternateContent>
          <mc:Choice Requires="wps">
            <w:drawing>
              <wp:anchor distT="0" distB="0" distL="114300" distR="114300" simplePos="0" relativeHeight="251768832" behindDoc="0" locked="0" layoutInCell="1" allowOverlap="1">
                <wp:simplePos x="0" y="0"/>
                <wp:positionH relativeFrom="column">
                  <wp:posOffset>4126865</wp:posOffset>
                </wp:positionH>
                <wp:positionV relativeFrom="paragraph">
                  <wp:posOffset>521970</wp:posOffset>
                </wp:positionV>
                <wp:extent cx="303530" cy="635"/>
                <wp:effectExtent l="0" t="12700" r="1270" b="15240"/>
                <wp:wrapNone/>
                <wp:docPr id="271" name="直接连接符 271"/>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C000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24.95pt;margin-top:41.1pt;height:0.05pt;width:23.9pt;z-index:251768832;mso-width-relative:page;mso-height-relative:page;" filled="f" stroked="t" coordsize="21600,21600" o:gfxdata="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5ufy9sAAAAJAQAADwAAAAAAAAABACAAAAAiAAAAZHJzL2Rvd25yZXYueG1sUEsBAhQAFAAAAAgA&#10;h07iQNj0U07pAQAAuAMAAA4AAAAAAAAAAQAgAAAAKgEAAGRycy9lMm9Eb2MueG1sUEsFBgAAAAAG&#10;AAYAWQEAAIUFAAAAAA==&#10;">
                <v:fill on="f" focussize="0,0"/>
                <v:stroke weight="2pt" color="#C00000 [3204]" joinstyle="round"/>
                <v:imagedata o:title=""/>
                <o:lock v:ext="edit" aspectratio="f"/>
              </v:line>
            </w:pict>
          </mc:Fallback>
        </mc:AlternateContent>
      </w:r>
      <w:r>
        <w:rPr>
          <w:sz w:val="18"/>
        </w:rPr>
        <mc:AlternateContent>
          <mc:Choice Requires="wps">
            <w:drawing>
              <wp:anchor distT="0" distB="0" distL="114300" distR="114300" simplePos="0" relativeHeight="251766784" behindDoc="0" locked="0" layoutInCell="1" allowOverlap="1">
                <wp:simplePos x="0" y="0"/>
                <wp:positionH relativeFrom="column">
                  <wp:posOffset>5348605</wp:posOffset>
                </wp:positionH>
                <wp:positionV relativeFrom="paragraph">
                  <wp:posOffset>539115</wp:posOffset>
                </wp:positionV>
                <wp:extent cx="303530" cy="635"/>
                <wp:effectExtent l="0" t="12700" r="1270" b="15240"/>
                <wp:wrapNone/>
                <wp:docPr id="269" name="直接连接符 269"/>
                <wp:cNvGraphicFramePr/>
                <a:graphic xmlns:a="http://schemas.openxmlformats.org/drawingml/2006/main">
                  <a:graphicData uri="http://schemas.microsoft.com/office/word/2010/wordprocessingShape">
                    <wps:wsp>
                      <wps:cNvCnPr/>
                      <wps:spPr>
                        <a:xfrm flipV="1">
                          <a:off x="5415280" y="1313815"/>
                          <a:ext cx="303530" cy="635"/>
                        </a:xfrm>
                        <a:prstGeom prst="line">
                          <a:avLst/>
                        </a:prstGeom>
                        <a:noFill/>
                        <a:ln w="25400" cap="flat" cmpd="sng" algn="ctr">
                          <a:solidFill>
                            <a:srgbClr val="00B05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21.15pt;margin-top:42.45pt;height:0.05pt;width:23.9pt;z-index:251766784;mso-width-relative:page;mso-height-relative:page;" filled="f" stroked="t" coordsize="21600,21600" o:gfxdata="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f90h21gAAAAkBAAAPAAAAAAAAAAEAIAAAACIAAABkcnMvZG93bnJldi54bWxQ&#10;SwECFAAUAAAACACHTuJA6KRWvPkBAADEAwAADgAAAAAAAAABACAAAAAlAQAAZHJzL2Uyb0RvYy54&#10;bWxQSwUGAAAAAAYABgBZAQAAkAUAAAAA&#10;">
                <v:fill on="f" focussize="0,0"/>
                <v:stroke weight="2pt" color="#00B050 [3204]" joinstyle="round"/>
                <v:imagedata o:title=""/>
                <o:lock v:ext="edit" aspectratio="f"/>
              </v:line>
            </w:pict>
          </mc:Fallback>
        </mc:AlternateContent>
      </w:r>
      <w:r>
        <w:rPr>
          <w:sz w:val="18"/>
        </w:rPr>
        <mc:AlternateContent>
          <mc:Choice Requires="wps">
            <w:drawing>
              <wp:anchor distT="0" distB="0" distL="114300" distR="114300" simplePos="0" relativeHeight="251767808" behindDoc="0" locked="0" layoutInCell="1" allowOverlap="1">
                <wp:simplePos x="0" y="0"/>
                <wp:positionH relativeFrom="column">
                  <wp:posOffset>6452870</wp:posOffset>
                </wp:positionH>
                <wp:positionV relativeFrom="paragraph">
                  <wp:posOffset>527050</wp:posOffset>
                </wp:positionV>
                <wp:extent cx="303530" cy="635"/>
                <wp:effectExtent l="0" t="12700" r="1270" b="15240"/>
                <wp:wrapNone/>
                <wp:docPr id="270" name="直接连接符 270"/>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FFFF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508.1pt;margin-top:41.5pt;height:0.05pt;width:23.9pt;z-index:251767808;mso-width-relative:page;mso-height-relative:page;" filled="f" stroked="t" coordsize="21600,21600" o:gfxdata="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wnw1XX&#10;AAAACwEAAA8AAAAAAAAAAQAgAAAAIgAAAGRycy9kb3ducmV2LnhtbFBLAQIUABQAAAAIAIdO4kDr&#10;3fRz6AEAALgDAAAOAAAAAAAAAAEAIAAAACYBAABkcnMvZTJvRG9jLnhtbFBLBQYAAAAABgAGAFkB&#10;AACABQAAAAA=&#10;">
                <v:fill on="f" focussize="0,0"/>
                <v:stroke weight="2pt" color="#FFFF00 [3204]" joinstyle="round"/>
                <v:imagedata o:title=""/>
                <o:lock v:ext="edit" aspectratio="f"/>
              </v:line>
            </w:pict>
          </mc:Fallback>
        </mc:AlternateContent>
      </w:r>
      <w:r>
        <w:rPr>
          <w:sz w:val="18"/>
        </w:rPr>
        <mc:AlternateContent>
          <mc:Choice Requires="wps">
            <w:drawing>
              <wp:anchor distT="0" distB="0" distL="114300" distR="114300" simplePos="0" relativeHeight="251761664" behindDoc="0" locked="0" layoutInCell="1" allowOverlap="1">
                <wp:simplePos x="0" y="0"/>
                <wp:positionH relativeFrom="column">
                  <wp:posOffset>1824990</wp:posOffset>
                </wp:positionH>
                <wp:positionV relativeFrom="paragraph">
                  <wp:posOffset>1656080</wp:posOffset>
                </wp:positionV>
                <wp:extent cx="2631440" cy="181610"/>
                <wp:effectExtent l="0" t="12700" r="16510" b="15240"/>
                <wp:wrapNone/>
                <wp:docPr id="257" name="任意多边形 257"/>
                <wp:cNvGraphicFramePr/>
                <a:graphic xmlns:a="http://schemas.openxmlformats.org/drawingml/2006/main">
                  <a:graphicData uri="http://schemas.microsoft.com/office/word/2010/wordprocessingShape">
                    <wps:wsp>
                      <wps:cNvSpPr/>
                      <wps:spPr>
                        <a:xfrm flipH="1" flipV="1">
                          <a:off x="4982210" y="2153920"/>
                          <a:ext cx="2631440" cy="181610"/>
                        </a:xfrm>
                        <a:custGeom>
                          <a:avLst/>
                          <a:gdLst>
                            <a:gd name="connisteX0" fmla="*/ 1264285 w 1264285"/>
                            <a:gd name="connsiteY0" fmla="*/ 155575 h 155575"/>
                            <a:gd name="connisteX1" fmla="*/ 0 w 1264285"/>
                            <a:gd name="connsiteY1" fmla="*/ 138430 h 155575"/>
                            <a:gd name="connisteX2" fmla="*/ 0 w 1264285"/>
                            <a:gd name="connsiteY2" fmla="*/ 0 h 155575"/>
                          </a:gdLst>
                          <a:ahLst/>
                          <a:cxnLst>
                            <a:cxn ang="0">
                              <a:pos x="connisteX0" y="connsiteY0"/>
                            </a:cxn>
                            <a:cxn ang="0">
                              <a:pos x="connisteX1" y="connsiteY1"/>
                            </a:cxn>
                            <a:cxn ang="0">
                              <a:pos x="connisteX2" y="connsiteY2"/>
                            </a:cxn>
                          </a:cxnLst>
                          <a:rect l="l" t="t" r="r" b="b"/>
                          <a:pathLst>
                            <a:path w="1264285" h="155575">
                              <a:moveTo>
                                <a:pt x="1264285" y="155575"/>
                              </a:moveTo>
                              <a:lnTo>
                                <a:pt x="0" y="138430"/>
                              </a:lnTo>
                              <a:lnTo>
                                <a:pt x="0" y="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 y;margin-left:143.7pt;margin-top:130.4pt;height:14.3pt;width:207.2pt;z-index:251761664;mso-width-relative:page;mso-height-relative:page;" filled="f" stroked="t" coordsize="1264285,155575" o:gfxdata="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IHUNRtgAAAALAQAADwAAAAAAAAABACAAAAAiAAAAZHJzL2Rvd25yZXYu&#10;eG1sUEsBAhQAFAAAAAgAh07iQJMSnvHfAgAAtgYAAA4AAAAAAAAAAQAgAAAAJwEAAGRycy9lMm9E&#10;b2MueG1sUEsFBgAAAAAGAAYAWQEAAHgGAAAAAA==&#10;" path="m1264285,155575l0,138430,0,0e">
                <v:path o:connectlocs="2631440,181610;0,161595;0,0" o:connectangles="0,0,0"/>
                <v:fill on="f" focussize="0,0"/>
                <v:stroke weight="2pt" color="#1005F9 [2404]" joinstyle="round"/>
                <v:imagedata o:title=""/>
                <o:lock v:ext="edit" aspectratio="f"/>
              </v:shape>
            </w:pict>
          </mc:Fallback>
        </mc:AlternateContent>
      </w:r>
      <w:r>
        <w:rPr>
          <w:sz w:val="18"/>
        </w:rPr>
        <mc:AlternateContent>
          <mc:Choice Requires="wps">
            <w:drawing>
              <wp:anchor distT="0" distB="0" distL="114300" distR="114300" simplePos="0" relativeHeight="251764736" behindDoc="0" locked="0" layoutInCell="1" allowOverlap="1">
                <wp:simplePos x="0" y="0"/>
                <wp:positionH relativeFrom="column">
                  <wp:posOffset>5711825</wp:posOffset>
                </wp:positionH>
                <wp:positionV relativeFrom="paragraph">
                  <wp:posOffset>1292860</wp:posOffset>
                </wp:positionV>
                <wp:extent cx="26035" cy="2779395"/>
                <wp:effectExtent l="12700" t="0" r="18415" b="1905"/>
                <wp:wrapNone/>
                <wp:docPr id="260" name="任意多边形 260"/>
                <wp:cNvGraphicFramePr/>
                <a:graphic xmlns:a="http://schemas.openxmlformats.org/drawingml/2006/main">
                  <a:graphicData uri="http://schemas.microsoft.com/office/word/2010/wordprocessingShape">
                    <wps:wsp>
                      <wps:cNvSpPr/>
                      <wps:spPr>
                        <a:xfrm>
                          <a:off x="6791960" y="2084705"/>
                          <a:ext cx="26035" cy="2779395"/>
                        </a:xfrm>
                        <a:custGeom>
                          <a:avLst/>
                          <a:gdLst>
                            <a:gd name="connisteX0" fmla="*/ 0 w 26035"/>
                            <a:gd name="connsiteY0" fmla="*/ 2779395 h 2779395"/>
                            <a:gd name="connisteX1" fmla="*/ 26035 w 26035"/>
                            <a:gd name="connsiteY1" fmla="*/ 0 h 2779395"/>
                          </a:gdLst>
                          <a:ahLst/>
                          <a:cxnLst>
                            <a:cxn ang="0">
                              <a:pos x="connisteX0" y="connsiteY0"/>
                            </a:cxn>
                            <a:cxn ang="0">
                              <a:pos x="connisteX1" y="connsiteY1"/>
                            </a:cxn>
                          </a:cxnLst>
                          <a:rect l="l" t="t" r="r" b="b"/>
                          <a:pathLst>
                            <a:path w="26035" h="2779395">
                              <a:moveTo>
                                <a:pt x="0" y="2779395"/>
                              </a:moveTo>
                              <a:lnTo>
                                <a:pt x="26035" y="0"/>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49.75pt;margin-top:101.8pt;height:218.85pt;width:2.05pt;z-index:251764736;mso-width-relative:page;mso-height-relative:page;" filled="f" stroked="t" coordsize="26035,2779395" o:gfxdata="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ySIl32AAAAAsBAAAPAAAAAAAAAAEAIAAAACIAAABkcnMvZG93bnJldi54bWxQ&#10;SwECFAAUAAAACACHTuJAuY93saICAADUBQAADgAAAAAAAAABACAAAAAnAQAAZHJzL2Uyb0RvYy54&#10;bWxQSwUGAAAAAAYABgBZAQAAOwYAAAAA&#10;" path="m0,2779395l26035,0e">
                <v:path o:connectlocs="0,2779395;26035,0"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3712" behindDoc="0" locked="0" layoutInCell="1" allowOverlap="1">
                <wp:simplePos x="0" y="0"/>
                <wp:positionH relativeFrom="column">
                  <wp:posOffset>1893570</wp:posOffset>
                </wp:positionH>
                <wp:positionV relativeFrom="paragraph">
                  <wp:posOffset>3032760</wp:posOffset>
                </wp:positionV>
                <wp:extent cx="4805680" cy="17145"/>
                <wp:effectExtent l="0" t="0" r="0" b="0"/>
                <wp:wrapNone/>
                <wp:docPr id="259" name="任意多边形 259"/>
                <wp:cNvGraphicFramePr/>
                <a:graphic xmlns:a="http://schemas.openxmlformats.org/drawingml/2006/main">
                  <a:graphicData uri="http://schemas.microsoft.com/office/word/2010/wordprocessingShape">
                    <wps:wsp>
                      <wps:cNvSpPr/>
                      <wps:spPr>
                        <a:xfrm>
                          <a:off x="2973705" y="3824605"/>
                          <a:ext cx="4805680" cy="17145"/>
                        </a:xfrm>
                        <a:custGeom>
                          <a:avLst/>
                          <a:gdLst>
                            <a:gd name="connisteX0" fmla="*/ 4805680 w 4805680"/>
                            <a:gd name="connsiteY0" fmla="*/ 0 h 17145"/>
                            <a:gd name="connisteX1" fmla="*/ 0 w 4805680"/>
                            <a:gd name="connsiteY1" fmla="*/ 17145 h 17145"/>
                          </a:gdLst>
                          <a:ahLst/>
                          <a:cxnLst>
                            <a:cxn ang="0">
                              <a:pos x="connisteX0" y="connsiteY0"/>
                            </a:cxn>
                            <a:cxn ang="0">
                              <a:pos x="connisteX1" y="connsiteY1"/>
                            </a:cxn>
                          </a:cxnLst>
                          <a:rect l="l" t="t" r="r" b="b"/>
                          <a:pathLst>
                            <a:path w="4805680" h="17145">
                              <a:moveTo>
                                <a:pt x="4805680" y="0"/>
                              </a:moveTo>
                              <a:lnTo>
                                <a:pt x="0" y="1714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9.1pt;margin-top:238.8pt;height:1.35pt;width:378.4pt;z-index:251763712;mso-width-relative:page;mso-height-relative:page;" filled="f" stroked="t" coordsize="4805680,17145" o:gfxdata="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Fug6+PaAAAADAEAAA8AAAAAAAAAAQAgAAAAIgAAAGRycy9kb3ducmV2&#10;LnhtbFBLAQIUABQAAAAIAIdO4kBcXXRVpQIAANQFAAAOAAAAAAAAAAEAIAAAACkBAABkcnMvZTJv&#10;RG9jLnhtbFBLBQYAAAAABgAGAFkBAABABgAAAAA=&#10;" path="m4805680,0l0,17145e">
                <v:path o:connectlocs="4805680,0;0,17145"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2688" behindDoc="0" locked="0" layoutInCell="1" allowOverlap="1">
                <wp:simplePos x="0" y="0"/>
                <wp:positionH relativeFrom="column">
                  <wp:posOffset>3729355</wp:posOffset>
                </wp:positionH>
                <wp:positionV relativeFrom="paragraph">
                  <wp:posOffset>1924685</wp:posOffset>
                </wp:positionV>
                <wp:extent cx="34290" cy="2251075"/>
                <wp:effectExtent l="12700" t="635" r="29210" b="15240"/>
                <wp:wrapNone/>
                <wp:docPr id="258" name="任意多边形 258"/>
                <wp:cNvGraphicFramePr/>
                <a:graphic xmlns:a="http://schemas.openxmlformats.org/drawingml/2006/main">
                  <a:graphicData uri="http://schemas.microsoft.com/office/word/2010/wordprocessingShape">
                    <wps:wsp>
                      <wps:cNvSpPr/>
                      <wps:spPr>
                        <a:xfrm>
                          <a:off x="4809490" y="2716530"/>
                          <a:ext cx="34290" cy="2251075"/>
                        </a:xfrm>
                        <a:custGeom>
                          <a:avLst/>
                          <a:gdLst>
                            <a:gd name="connisteX0" fmla="*/ 0 w 34290"/>
                            <a:gd name="connsiteY0" fmla="*/ 0 h 2251075"/>
                            <a:gd name="connisteX1" fmla="*/ 34290 w 34290"/>
                            <a:gd name="connsiteY1" fmla="*/ 1108075 h 2251075"/>
                            <a:gd name="connisteX2" fmla="*/ 8255 w 34290"/>
                            <a:gd name="connsiteY2" fmla="*/ 2025650 h 2251075"/>
                            <a:gd name="connisteX3" fmla="*/ 34290 w 34290"/>
                            <a:gd name="connsiteY3" fmla="*/ 2251075 h 2251075"/>
                          </a:gdLst>
                          <a:ahLst/>
                          <a:cxnLst>
                            <a:cxn ang="0">
                              <a:pos x="connisteX0" y="connsiteY0"/>
                            </a:cxn>
                            <a:cxn ang="0">
                              <a:pos x="connisteX1" y="connsiteY1"/>
                            </a:cxn>
                            <a:cxn ang="0">
                              <a:pos x="connisteX2" y="connsiteY2"/>
                            </a:cxn>
                            <a:cxn ang="0">
                              <a:pos x="connisteX3" y="connsiteY3"/>
                            </a:cxn>
                          </a:cxnLst>
                          <a:rect l="l" t="t" r="r" b="b"/>
                          <a:pathLst>
                            <a:path w="34290" h="2251075">
                              <a:moveTo>
                                <a:pt x="0" y="0"/>
                              </a:moveTo>
                              <a:lnTo>
                                <a:pt x="34290" y="1108075"/>
                              </a:lnTo>
                              <a:lnTo>
                                <a:pt x="8255" y="2025650"/>
                              </a:lnTo>
                              <a:lnTo>
                                <a:pt x="34290" y="225107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93.65pt;margin-top:151.55pt;height:177.25pt;width:2.7pt;z-index:251762688;mso-width-relative:page;mso-height-relative:page;" filled="f" stroked="t" coordsize="34290,2251075" o:gfxdata="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ByDOXf2wAAAAsBAAAPAAAAAAAAAAEAIAAA&#10;ACIAAABkcnMvZG93bnJldi54bWxQSwECFAAUAAAACACHTuJAQFrgtu0CAAB0BwAADgAAAAAAAAAB&#10;ACAAAAAqAQAAZHJzL2Uyb0RvYy54bWxQSwUGAAAAAAYABgBZAQAAiQYAAAAA&#10;" path="m0,0l34290,1108075,8255,2025650,34290,2251075e">
                <v:path o:connectlocs="0,0;34290,1108075;8255,2025650;34290,2251075" o:connectangles="0,0,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0640" behindDoc="0" locked="0" layoutInCell="1" allowOverlap="1">
                <wp:simplePos x="0" y="0"/>
                <wp:positionH relativeFrom="column">
                  <wp:posOffset>5850890</wp:posOffset>
                </wp:positionH>
                <wp:positionV relativeFrom="paragraph">
                  <wp:posOffset>1795145</wp:posOffset>
                </wp:positionV>
                <wp:extent cx="207645" cy="2380615"/>
                <wp:effectExtent l="19050" t="0" r="1905" b="19685"/>
                <wp:wrapNone/>
                <wp:docPr id="256" name="任意多边形 256"/>
                <wp:cNvGraphicFramePr/>
                <a:graphic xmlns:a="http://schemas.openxmlformats.org/drawingml/2006/main">
                  <a:graphicData uri="http://schemas.microsoft.com/office/word/2010/wordprocessingShape">
                    <wps:wsp>
                      <wps:cNvSpPr/>
                      <wps:spPr>
                        <a:xfrm>
                          <a:off x="6931025" y="4154170"/>
                          <a:ext cx="207645" cy="2380615"/>
                        </a:xfrm>
                        <a:custGeom>
                          <a:avLst/>
                          <a:gdLst>
                            <a:gd name="connisteX0" fmla="*/ 0 w 207645"/>
                            <a:gd name="connsiteY0" fmla="*/ 0 h 813435"/>
                            <a:gd name="connisteX1" fmla="*/ 8255 w 207645"/>
                            <a:gd name="connsiteY1" fmla="*/ 813435 h 813435"/>
                            <a:gd name="connisteX2" fmla="*/ 207645 w 207645"/>
                            <a:gd name="connsiteY2" fmla="*/ 813435 h 813435"/>
                          </a:gdLst>
                          <a:ahLst/>
                          <a:cxnLst>
                            <a:cxn ang="0">
                              <a:pos x="connisteX0" y="connsiteY0"/>
                            </a:cxn>
                            <a:cxn ang="0">
                              <a:pos x="connisteX1" y="connsiteY1"/>
                            </a:cxn>
                            <a:cxn ang="0">
                              <a:pos x="connisteX2" y="connsiteY2"/>
                            </a:cxn>
                          </a:cxnLst>
                          <a:rect l="l" t="t" r="r" b="b"/>
                          <a:pathLst>
                            <a:path w="207645" h="813435">
                              <a:moveTo>
                                <a:pt x="0" y="0"/>
                              </a:moveTo>
                              <a:lnTo>
                                <a:pt x="8255" y="813435"/>
                              </a:lnTo>
                              <a:lnTo>
                                <a:pt x="207645" y="813435"/>
                              </a:lnTo>
                            </a:path>
                          </a:pathLst>
                        </a:custGeom>
                        <a:noFill/>
                        <a:ln w="381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60.7pt;margin-top:141.35pt;height:187.45pt;width:16.35pt;z-index:251760640;mso-width-relative:page;mso-height-relative:page;" filled="f" stroked="t" coordsize="207645,813435" o:gfxdata="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MtfX3DYAAAACwEAAA8AAAAAAAAAAQAgAAAAIgAAAGRycy9kb3ducmV2LnhtbFBLAQIUABQAAAAI&#10;AIdO4kBwBVS90QIAAKIGAAAOAAAAAAAAAAEAIAAAACcBAABkcnMvZTJvRG9jLnhtbFBLBQYAAAAA&#10;BgAGAFkBAABqBgAAAAA=&#10;" path="m0,0l8255,813435,207645,813435e">
                <v:path o:connectlocs="0,0;8255,2380615;207645,2380615" o:connectangles="0,0,0"/>
                <v:fill on="f" focussize="0,0"/>
                <v:stroke weight="3pt" color="#1005F9 [2404]" joinstyle="round"/>
                <v:imagedata o:title=""/>
                <o:lock v:ext="edit" aspectratio="f"/>
              </v:shape>
            </w:pict>
          </mc:Fallback>
        </mc:AlternateContent>
      </w:r>
      <w:r>
        <w:rPr>
          <w:sz w:val="18"/>
        </w:rPr>
        <mc:AlternateContent>
          <mc:Choice Requires="wpg">
            <w:drawing>
              <wp:anchor distT="0" distB="0" distL="114300" distR="114300" simplePos="0" relativeHeight="251752448" behindDoc="0" locked="0" layoutInCell="1" allowOverlap="1">
                <wp:simplePos x="0" y="0"/>
                <wp:positionH relativeFrom="column">
                  <wp:posOffset>3788410</wp:posOffset>
                </wp:positionH>
                <wp:positionV relativeFrom="paragraph">
                  <wp:posOffset>2146935</wp:posOffset>
                </wp:positionV>
                <wp:extent cx="751840" cy="353060"/>
                <wp:effectExtent l="4445" t="0" r="0" b="0"/>
                <wp:wrapNone/>
                <wp:docPr id="3" name="组合 20"/>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8"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9" name="文本框 1881"/>
                        <wps:cNvSpPr txBox="1"/>
                        <wps:spPr>
                          <a:xfrm>
                            <a:off x="8924" y="1984447"/>
                            <a:ext cx="939" cy="556"/>
                          </a:xfrm>
                          <a:prstGeom prst="rect">
                            <a:avLst/>
                          </a:prstGeom>
                          <a:noFill/>
                          <a:ln>
                            <a:noFill/>
                          </a:ln>
                        </wps:spPr>
                        <wps:txbx>
                          <w:txbxContent>
                            <w:p w14:paraId="20879805">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20" o:spid="_x0000_s1026" o:spt="203" style="position:absolute;left:0pt;margin-left:298.3pt;margin-top:169.05pt;height:27.8pt;width:59.2pt;z-index:251752448;mso-width-relative:page;mso-height-relative:page;" coordorigin="8678,1984447" coordsize="1184,556" o:gfxdata="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y&#10;b0+e2wAAAAsBAAAPAAAAAAAAAAEAIAAAACIAAABkcnMvZG93bnJldi54bWxQSwECFAAUAAAACACH&#10;TuJA2sABE8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ACg3dbwAAADb&#10;AAAADwAAAGRycy9kb3ducmV2LnhtbEVPz2vCMBS+D/wfwhN2GZp2jCHVtAdBVDaH6wSvj+bZVpuX&#10;kmS2+++Xw2DHj+/3qhhNJ+7kfGtZQTpPQBBXVrdcKzh9bWYLED4ga+wsk4If8lDkk4cVZtoO/En3&#10;MtQihrDPUEETQp9J6auGDPq57Ykjd7HOYIjQ1VI7HGK46eRzkrxKgy3HhgZ7WjdU3cpvo4Cq7S11&#10;5/KweTm+28PT2/70cd0r9ThNkyWIQGP4F/+5d1rBIo6NX+IP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oN3W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0879805">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1424" behindDoc="0" locked="0" layoutInCell="1" allowOverlap="1">
                <wp:simplePos x="0" y="0"/>
                <wp:positionH relativeFrom="column">
                  <wp:posOffset>3788410</wp:posOffset>
                </wp:positionH>
                <wp:positionV relativeFrom="paragraph">
                  <wp:posOffset>2650490</wp:posOffset>
                </wp:positionV>
                <wp:extent cx="751840" cy="353060"/>
                <wp:effectExtent l="4445" t="0" r="0" b="0"/>
                <wp:wrapNone/>
                <wp:docPr id="4" name="组合 12"/>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5"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6" name="文本框 1881"/>
                        <wps:cNvSpPr txBox="1"/>
                        <wps:spPr>
                          <a:xfrm>
                            <a:off x="8924" y="1984447"/>
                            <a:ext cx="939" cy="556"/>
                          </a:xfrm>
                          <a:prstGeom prst="rect">
                            <a:avLst/>
                          </a:prstGeom>
                          <a:noFill/>
                          <a:ln>
                            <a:noFill/>
                          </a:ln>
                        </wps:spPr>
                        <wps:txbx>
                          <w:txbxContent>
                            <w:p w14:paraId="01FAB9B3">
                              <w:pPr>
                                <w:rPr>
                                  <w:rFonts w:hint="default" w:eastAsia="宋体"/>
                                  <w:b/>
                                  <w:bCs/>
                                  <w:highlight w:val="yellow"/>
                                  <w:lang w:val="en-US" w:eastAsia="zh-CN"/>
                                </w:rPr>
                              </w:pPr>
                              <w:r>
                                <w:rPr>
                                  <w:rFonts w:hint="eastAsia"/>
                                  <w:b/>
                                  <w:bCs/>
                                  <w:highlight w:val="yellow"/>
                                  <w:lang w:val="en-US" w:eastAsia="zh-CN"/>
                                </w:rPr>
                                <w:t>DA002</w:t>
                              </w:r>
                            </w:p>
                          </w:txbxContent>
                        </wps:txbx>
                        <wps:bodyPr upright="1"/>
                      </wps:wsp>
                    </wpg:wgp>
                  </a:graphicData>
                </a:graphic>
              </wp:anchor>
            </w:drawing>
          </mc:Choice>
          <mc:Fallback>
            <w:pict>
              <v:group id="组合 12" o:spid="_x0000_s1026" o:spt="203" style="position:absolute;left:0pt;margin-left:298.3pt;margin-top:208.7pt;height:27.8pt;width:59.2pt;z-index:251751424;mso-width-relative:page;mso-height-relative:page;" coordorigin="8678,1984447" coordsize="1184,556" o:gfxdata="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W&#10;dNJK2wAAAAsBAAAPAAAAAAAAAAEAIAAAACIAAABkcnMvZG93bnJldi54bWxQSwECFAAUAAAACACH&#10;TuJACxQI6M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7imY678AAADb&#10;AAAADwAAAGRycy9kb3ducmV2LnhtbEWPT2sCMRTE70K/Q3gFL1KzKyqyNXooiIpV7Fbo9bF53d26&#10;eVmS+O/bN4LgcZiZ3zDT+dU04kzO15YVpP0EBHFhdc2lgsP34m0CwgdkjY1lUnAjD/PZS2eKmbYX&#10;/qJzHkoRIewzVFCF0GZS+qIig75vW+Lo/VpnMETpSqkdXiLcNHKQJGNpsOa4UGFLHxUVx/xkFFCx&#10;PKbuJ98uhvtPu+1t1ofd31qp7muavIMIdA3P8KO90gomI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pmOu/&#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Sxwunr0AAADb&#10;AAAADwAAAGRycy9kb3ducmV2LnhtbEWPzWrDMBCE74W8g9hCbo3k0oTUsexDSqGnhPwVclusjW1q&#10;rYylxs7bR4FCj8PMfMNkxWhbcaXeN441JDMFgrh0puFKw/Hw+bIE4QOywdYxabiRhyKfPGWYGjfw&#10;jq77UIkIYZ+ihjqELpXSlzVZ9DPXEUfv4nqLIcq+kqbHIcJtK1+VWkiLDceFGjta11T+7H+thtPm&#10;cv5+U9vqw867wY1Ksn2XWk+fE7UCEWgM/+G/9pfRsFzA40v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C6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1FAB9B3">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50400" behindDoc="0" locked="0" layoutInCell="1" allowOverlap="1">
                <wp:simplePos x="0" y="0"/>
                <wp:positionH relativeFrom="column">
                  <wp:posOffset>4274820</wp:posOffset>
                </wp:positionH>
                <wp:positionV relativeFrom="paragraph">
                  <wp:posOffset>2148840</wp:posOffset>
                </wp:positionV>
                <wp:extent cx="974090" cy="464820"/>
                <wp:effectExtent l="0" t="0" r="16510" b="11430"/>
                <wp:wrapNone/>
                <wp:docPr id="5" name="组合 10"/>
                <wp:cNvGraphicFramePr/>
                <a:graphic xmlns:a="http://schemas.openxmlformats.org/drawingml/2006/main">
                  <a:graphicData uri="http://schemas.microsoft.com/office/word/2010/wordprocessingGroup">
                    <wpg:wgp>
                      <wpg:cNvGrpSpPr/>
                      <wpg:grpSpPr>
                        <a:xfrm>
                          <a:off x="0" y="0"/>
                          <a:ext cx="974090" cy="464820"/>
                          <a:chOff x="9034" y="1983295"/>
                          <a:chExt cx="1534" cy="744"/>
                        </a:xfrm>
                      </wpg:grpSpPr>
                      <wps:wsp>
                        <wps:cNvPr id="82" name="文本框 7"/>
                        <wps:cNvSpPr txBox="1"/>
                        <wps:spPr>
                          <a:xfrm>
                            <a:off x="9054" y="1983295"/>
                            <a:ext cx="1514" cy="709"/>
                          </a:xfrm>
                          <a:prstGeom prst="rect">
                            <a:avLst/>
                          </a:prstGeom>
                          <a:solidFill>
                            <a:srgbClr val="FFFFFF"/>
                          </a:solidFill>
                          <a:ln w="9525">
                            <a:noFill/>
                          </a:ln>
                        </wps:spPr>
                        <wps:txb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wps:txbx>
                        <wps:bodyPr vert="horz" anchor="t" anchorCtr="0" upright="1"/>
                      </wps:wsp>
                      <wps:wsp>
                        <wps:cNvPr id="83" name="文本框 9"/>
                        <wps:cNvSpPr txBox="1"/>
                        <wps:spPr>
                          <a:xfrm>
                            <a:off x="9034" y="1983561"/>
                            <a:ext cx="1514" cy="478"/>
                          </a:xfrm>
                          <a:prstGeom prst="rect">
                            <a:avLst/>
                          </a:prstGeom>
                          <a:noFill/>
                          <a:ln w="9525">
                            <a:noFill/>
                          </a:ln>
                        </wps:spPr>
                        <wps:txb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wps:txbx>
                        <wps:bodyPr vert="horz" anchor="t" anchorCtr="0" upright="1"/>
                      </wps:wsp>
                    </wpg:wgp>
                  </a:graphicData>
                </a:graphic>
              </wp:anchor>
            </w:drawing>
          </mc:Choice>
          <mc:Fallback>
            <w:pict>
              <v:group id="组合 10" o:spid="_x0000_s1026" o:spt="203" style="position:absolute;left:0pt;margin-left:336.6pt;margin-top:169.2pt;height:36.6pt;width:76.7pt;z-index:251750400;mso-width-relative:page;mso-height-relative:page;" coordorigin="9034,1983295" coordsize="1534,744" o:gfxdata="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BVGDlTbAAAACwEAAA8AAAAAAAAAAQAgAAAAIgAA&#10;AGRycy9kb3ducmV2LnhtbFBLAQIUABQAAAAIAIdO4kCM115KdwIAAH0GAAAOAAAAAAAAAAEAIAAA&#10;ACoBAABkcnMvZTJvRG9jLnhtbFBLBQYAAAAABgAGAFkBAAATBgAAAAA=&#10;">
                <o:lock v:ext="edit" aspectratio="f"/>
                <v:shape id="文本框 7" o:spid="_x0000_s1026" o:spt="202" type="#_x0000_t202" style="position:absolute;left:9054;top:1983295;height:709;width:1514;" fillcolor="#FFFFFF" filled="t" stroked="f" coordsize="21600,21600" o:gfxdata="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cYGG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v:textbox>
                </v:shape>
                <v:shape id="文本框 9" o:spid="_x0000_s1026" o:spt="202" type="#_x0000_t202" style="position:absolute;left:9034;top:1983561;height:478;width:1514;" filled="f" stroked="f" coordsize="21600,21600" o:gfxdata="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rjQa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v:textbox>
                </v:shape>
              </v:group>
            </w:pict>
          </mc:Fallback>
        </mc:AlternateContent>
      </w:r>
      <w:r>
        <w:rPr>
          <w:color w:val="auto"/>
          <w:sz w:val="21"/>
          <w:highlight w:val="none"/>
        </w:rPr>
        <mc:AlternateContent>
          <mc:Choice Requires="wps">
            <w:drawing>
              <wp:anchor distT="0" distB="0" distL="114300" distR="114300" simplePos="0" relativeHeight="251749376" behindDoc="0" locked="0" layoutInCell="1" allowOverlap="1">
                <wp:simplePos x="0" y="0"/>
                <wp:positionH relativeFrom="column">
                  <wp:posOffset>2929255</wp:posOffset>
                </wp:positionH>
                <wp:positionV relativeFrom="paragraph">
                  <wp:posOffset>3103245</wp:posOffset>
                </wp:positionV>
                <wp:extent cx="1087755" cy="316230"/>
                <wp:effectExtent l="0" t="0" r="0" b="0"/>
                <wp:wrapNone/>
                <wp:docPr id="81" name="文本框 176"/>
                <wp:cNvGraphicFramePr/>
                <a:graphic xmlns:a="http://schemas.openxmlformats.org/drawingml/2006/main">
                  <a:graphicData uri="http://schemas.microsoft.com/office/word/2010/wordprocessingShape">
                    <wps:wsp>
                      <wps:cNvSpPr txBox="1"/>
                      <wps:spPr>
                        <a:xfrm>
                          <a:off x="0" y="0"/>
                          <a:ext cx="1087755" cy="316230"/>
                        </a:xfrm>
                        <a:prstGeom prst="rect">
                          <a:avLst/>
                        </a:prstGeom>
                        <a:noFill/>
                        <a:ln w="12700">
                          <a:noFill/>
                        </a:ln>
                      </wps:spPr>
                      <wps:txb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wps:txbx>
                      <wps:bodyPr vert="horz" wrap="square" anchor="t" anchorCtr="0" upright="0"/>
                    </wps:wsp>
                  </a:graphicData>
                </a:graphic>
              </wp:anchor>
            </w:drawing>
          </mc:Choice>
          <mc:Fallback>
            <w:pict>
              <v:shape id="文本框 176" o:spid="_x0000_s1026" o:spt="202" type="#_x0000_t202" style="position:absolute;left:0pt;margin-left:230.65pt;margin-top:244.35pt;height:24.9pt;width:85.65pt;z-index:251749376;mso-width-relative:page;mso-height-relative:page;" filled="f" stroked="f" coordsize="21600,21600" o:gfxdata="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U5Jsw2gAAAAsBAAAPAAAAAAAA&#10;AAEAIAAAACIAAABkcnMvZG93bnJldi54bWxQSwECFAAUAAAACACHTuJAVOrfkNcBAACOAwAADgAA&#10;AAAAAAABACAAAAApAQAAZHJzL2Uyb0RvYy54bWxQSwUGAAAAAAYABgBZAQAAcgUAAAAA&#10;">
                <v:fill on="f" focussize="0,0"/>
                <v:stroke on="f" weight="1pt"/>
                <v:imagedata o:title=""/>
                <o:lock v:ext="edit" aspectratio="f"/>
                <v:textbo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v:textbox>
              </v:shape>
            </w:pict>
          </mc:Fallback>
        </mc:AlternateContent>
      </w:r>
      <w:r>
        <w:rPr>
          <w:color w:val="auto"/>
          <w:sz w:val="21"/>
          <w:highlight w:val="none"/>
        </w:rPr>
        <mc:AlternateContent>
          <mc:Choice Requires="wps">
            <w:drawing>
              <wp:anchor distT="0" distB="0" distL="114300" distR="114300" simplePos="0" relativeHeight="251735040" behindDoc="0" locked="0" layoutInCell="1" allowOverlap="1">
                <wp:simplePos x="0" y="0"/>
                <wp:positionH relativeFrom="column">
                  <wp:posOffset>4454525</wp:posOffset>
                </wp:positionH>
                <wp:positionV relativeFrom="paragraph">
                  <wp:posOffset>1600835</wp:posOffset>
                </wp:positionV>
                <wp:extent cx="1688465" cy="316230"/>
                <wp:effectExtent l="0" t="0" r="0" b="0"/>
                <wp:wrapNone/>
                <wp:docPr id="67" name="文本框 149"/>
                <wp:cNvGraphicFramePr/>
                <a:graphic xmlns:a="http://schemas.openxmlformats.org/drawingml/2006/main">
                  <a:graphicData uri="http://schemas.microsoft.com/office/word/2010/wordprocessingShape">
                    <wps:wsp>
                      <wps:cNvSpPr txBox="1"/>
                      <wps:spPr>
                        <a:xfrm>
                          <a:off x="0" y="0"/>
                          <a:ext cx="1688465" cy="316230"/>
                        </a:xfrm>
                        <a:prstGeom prst="rect">
                          <a:avLst/>
                        </a:prstGeom>
                        <a:noFill/>
                        <a:ln w="12700">
                          <a:noFill/>
                        </a:ln>
                      </wps:spPr>
                      <wps:txb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wps:txbx>
                      <wps:bodyPr vert="horz" wrap="square" anchor="t" anchorCtr="0" upright="0"/>
                    </wps:wsp>
                  </a:graphicData>
                </a:graphic>
              </wp:anchor>
            </w:drawing>
          </mc:Choice>
          <mc:Fallback>
            <w:pict>
              <v:shape id="文本框 149" o:spid="_x0000_s1026" o:spt="202" type="#_x0000_t202" style="position:absolute;left:0pt;margin-left:350.75pt;margin-top:126.05pt;height:24.9pt;width:132.95pt;z-index:251735040;mso-width-relative:page;mso-height-relative:page;" filled="f" stroked="f" coordsize="21600,21600" o:gfxdata="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x0suNoAAAALAQAADwAAAAAA&#10;AAABACAAAAAiAAAAZHJzL2Rvd25yZXYueG1sUEsBAhQAFAAAAAgAh07iQOzTFRzYAQAAjgMAAA4A&#10;AAAAAAAAAQAgAAAAKQEAAGRycy9lMm9Eb2MueG1sUEsFBgAAAAAGAAYAWQEAAHMFAAAAAA==&#10;">
                <v:fill on="f" focussize="0,0"/>
                <v:stroke on="f" weight="1pt"/>
                <v:imagedata o:title=""/>
                <o:lock v:ext="edit" aspectratio="f"/>
                <v:textbo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v:textbox>
              </v:shape>
            </w:pict>
          </mc:Fallback>
        </mc:AlternateContent>
      </w:r>
      <w:r>
        <w:rPr>
          <w:color w:val="auto"/>
          <w:sz w:val="18"/>
          <w:highlight w:val="none"/>
        </w:rPr>
        <mc:AlternateContent>
          <mc:Choice Requires="wps">
            <w:drawing>
              <wp:anchor distT="0" distB="0" distL="114300" distR="114300" simplePos="0" relativeHeight="251707392" behindDoc="0" locked="0" layoutInCell="1" allowOverlap="1">
                <wp:simplePos x="0" y="0"/>
                <wp:positionH relativeFrom="column">
                  <wp:posOffset>4060190</wp:posOffset>
                </wp:positionH>
                <wp:positionV relativeFrom="paragraph">
                  <wp:posOffset>4524375</wp:posOffset>
                </wp:positionV>
                <wp:extent cx="920115" cy="345440"/>
                <wp:effectExtent l="4445" t="4445" r="8890" b="12065"/>
                <wp:wrapNone/>
                <wp:docPr id="53" name="文本框 1862"/>
                <wp:cNvGraphicFramePr/>
                <a:graphic xmlns:a="http://schemas.openxmlformats.org/drawingml/2006/main">
                  <a:graphicData uri="http://schemas.microsoft.com/office/word/2010/wordprocessingShape">
                    <wps:wsp>
                      <wps:cNvSpPr txBox="1"/>
                      <wps:spPr>
                        <a:xfrm>
                          <a:off x="0" y="0"/>
                          <a:ext cx="920115" cy="345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wps:txbx>
                      <wps:bodyPr vert="horz" wrap="square" anchor="t" anchorCtr="0" upright="1"/>
                    </wps:wsp>
                  </a:graphicData>
                </a:graphic>
              </wp:anchor>
            </w:drawing>
          </mc:Choice>
          <mc:Fallback>
            <w:pict>
              <v:shape id="文本框 1862" o:spid="_x0000_s1026" o:spt="202" type="#_x0000_t202" style="position:absolute;left:0pt;margin-left:319.7pt;margin-top:356.25pt;height:27.2pt;width:72.45pt;z-index:251707392;mso-width-relative:page;mso-height-relative:page;" fillcolor="#FFFFFF" filled="t" stroked="t" coordsize="21600,21600" o:gfxdata="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500N02wAAAAsBAAAPAAAAAAAAAAEAIAAAACIAAABkcnMvZG93bnJldi54bWxQ&#10;SwECFAAUAAAACACHTuJAXVVrXS0CAABsBAAADgAAAAAAAAABACAAAAAqAQAAZHJzL2Uyb0RvYy54&#10;bWxQSwUGAAAAAAYABgBZAQAAyQUAAAAA&#10;">
                <v:fill on="t" focussize="0,0"/>
                <v:stroke color="#000000" joinstyle="miter"/>
                <v:imagedata o:title=""/>
                <o:lock v:ext="edit" aspectratio="f"/>
                <v:textbo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v:textbox>
              </v:shape>
            </w:pict>
          </mc:Fallback>
        </mc:AlternateContent>
      </w:r>
      <w:r>
        <w:rPr>
          <w:color w:val="auto"/>
          <w:sz w:val="18"/>
          <w:highlight w:val="none"/>
        </w:rPr>
        <mc:AlternateContent>
          <mc:Choice Requires="wps">
            <w:drawing>
              <wp:anchor distT="0" distB="0" distL="114300" distR="114300" simplePos="0" relativeHeight="251706368" behindDoc="0" locked="0" layoutInCell="1" allowOverlap="1">
                <wp:simplePos x="0" y="0"/>
                <wp:positionH relativeFrom="column">
                  <wp:posOffset>3898900</wp:posOffset>
                </wp:positionH>
                <wp:positionV relativeFrom="paragraph">
                  <wp:posOffset>4587240</wp:posOffset>
                </wp:positionV>
                <wp:extent cx="180975" cy="190500"/>
                <wp:effectExtent l="4445" t="4445" r="5080" b="14605"/>
                <wp:wrapNone/>
                <wp:docPr id="52" name="自选图形 8"/>
                <wp:cNvGraphicFramePr/>
                <a:graphic xmlns:a="http://schemas.openxmlformats.org/drawingml/2006/main">
                  <a:graphicData uri="http://schemas.microsoft.com/office/word/2010/wordprocessingShape">
                    <wps:wsp>
                      <wps:cNvSpPr/>
                      <wps:spPr>
                        <a:xfrm>
                          <a:off x="0" y="0"/>
                          <a:ext cx="180975" cy="1905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8" o:spid="_x0000_s1026" o:spt="100" style="position:absolute;left:0pt;margin-left:307pt;margin-top:361.2pt;height:15pt;width:14.25pt;z-index:251706368;mso-width-relative:page;mso-height-relative:page;" fillcolor="#FF0000" filled="t" stroked="t" coordsize="21600,21600" o:gfxdata="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JvmG2XYAAAACwEAAA8AAAAAAAAAAQAg&#10;AAAAIgAAAGRycy9kb3ducmV2LnhtbFBLAQIUABQAAAAIAIdO4kAiI18KZAMAAHgJAAAOAAAAAAAA&#10;AAEAIAAAACcBAABkcnMvZTJvRG9jLnhtbFBLBQYAAAAABgAGAFkBAAD9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40160" behindDoc="0" locked="0" layoutInCell="1" allowOverlap="1">
                <wp:simplePos x="0" y="0"/>
                <wp:positionH relativeFrom="column">
                  <wp:posOffset>5069205</wp:posOffset>
                </wp:positionH>
                <wp:positionV relativeFrom="paragraph">
                  <wp:posOffset>1155065</wp:posOffset>
                </wp:positionV>
                <wp:extent cx="190500" cy="180975"/>
                <wp:effectExtent l="3175" t="3175" r="15875" b="6350"/>
                <wp:wrapNone/>
                <wp:docPr id="72" name="直线 155"/>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5" o:spid="_x0000_s1026" o:spt="20" style="position:absolute;left:0pt;margin-left:399.15pt;margin-top:90.95pt;height:14.25pt;width:15pt;z-index:251740160;mso-width-relative:page;mso-height-relative:page;" filled="f" stroked="t" coordsize="21600,21600" o:gfxdata="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geLs9gAAAALAQAADwAAAAAAAAABACAAAAAiAAAAZHJzL2Rvd25yZXYueG1sUEsBAhQAFAAA&#10;AAgAh07iQFnMrSnvAQAA4gMAAA4AAAAAAAAAAQAgAAAAJwEAAGRycy9lMm9Eb2MueG1sUEsFBgAA&#10;AAAGAAYAWQEAAIg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00224" behindDoc="0" locked="0" layoutInCell="1" allowOverlap="1">
                <wp:simplePos x="0" y="0"/>
                <wp:positionH relativeFrom="column">
                  <wp:posOffset>4645025</wp:posOffset>
                </wp:positionH>
                <wp:positionV relativeFrom="paragraph">
                  <wp:posOffset>847090</wp:posOffset>
                </wp:positionV>
                <wp:extent cx="596265" cy="307975"/>
                <wp:effectExtent l="4445" t="4445" r="8890" b="11430"/>
                <wp:wrapNone/>
                <wp:docPr id="46"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wrap="square" upright="1"/>
                    </wps:wsp>
                  </a:graphicData>
                </a:graphic>
              </wp:anchor>
            </w:drawing>
          </mc:Choice>
          <mc:Fallback>
            <w:pict>
              <v:shape id="文本框 1862" o:spid="_x0000_s1026" o:spt="202" type="#_x0000_t202" style="position:absolute;left:0pt;margin-left:365.75pt;margin-top:66.7pt;height:24.25pt;width:46.95pt;z-index:251700224;mso-width-relative:page;mso-height-relative:page;" fillcolor="#FFFFFF" filled="t" stroked="t" coordsize="21600,21600" o:gfxdata="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ZyoITaAAAACwEA&#10;AA8AAAAAAAAAAQAgAAAAIgAAAGRycy9kb3ducmV2LnhtbFBLAQIUABQAAAAIAIdO4kDUdYm4GAIA&#10;AEcEAAAOAAAAAAAAAAEAIAAAACkBAABkcnMvZTJvRG9jLnhtbFBLBQYAAAAABgAGAFkBAACzBQAA&#10;AAA=&#10;">
                <v:fill on="t" focussize="0,0"/>
                <v:stroke color="#000000" joinstyle="miter"/>
                <v:imagedata o:title=""/>
                <o:lock v:ext="edit" aspectratio="f"/>
                <v:textbo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color w:val="auto"/>
          <w:sz w:val="18"/>
          <w:highlight w:val="none"/>
        </w:rPr>
        <mc:AlternateContent>
          <mc:Choice Requires="wps">
            <w:drawing>
              <wp:anchor distT="0" distB="0" distL="114300" distR="114300" simplePos="0" relativeHeight="251677696" behindDoc="0" locked="0" layoutInCell="1" allowOverlap="1">
                <wp:simplePos x="0" y="0"/>
                <wp:positionH relativeFrom="column">
                  <wp:posOffset>5384165</wp:posOffset>
                </wp:positionH>
                <wp:positionV relativeFrom="paragraph">
                  <wp:posOffset>930275</wp:posOffset>
                </wp:positionV>
                <wp:extent cx="596265" cy="307975"/>
                <wp:effectExtent l="4445" t="4445" r="8890" b="11430"/>
                <wp:wrapNone/>
                <wp:docPr id="20"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5"/>
                                          <a:stretch>
                                            <a:fillRect/>
                                          </a:stretch>
                                        </pic:blipFill>
                                        <pic:spPr>
                                          <a:xfrm>
                                            <a:off x="0" y="0"/>
                                            <a:ext cx="12313285" cy="8655050"/>
                                          </a:xfrm>
                                          <a:prstGeom prst="rect">
                                            <a:avLst/>
                                          </a:prstGeom>
                                          <a:noFill/>
                                          <a:ln>
                                            <a:noFill/>
                                          </a:ln>
                                        </pic:spPr>
                                      </pic:pic>
                                    </a:graphicData>
                                  </a:graphic>
                                </wp:inline>
                              </w:drawing>
                            </w:r>
                          </w:p>
                        </w:txbxContent>
                      </wps:txbx>
                      <wps:bodyPr vert="horz" wrap="square" anchor="t" anchorCtr="0" upright="1"/>
                    </wps:wsp>
                  </a:graphicData>
                </a:graphic>
              </wp:anchor>
            </w:drawing>
          </mc:Choice>
          <mc:Fallback>
            <w:pict>
              <v:shape id="文本框 1862" o:spid="_x0000_s1026" o:spt="202" type="#_x0000_t202" style="position:absolute;left:0pt;margin-left:423.95pt;margin-top:73.25pt;height:24.25pt;width:46.95pt;z-index:251677696;mso-width-relative:page;mso-height-relative:page;" fillcolor="#FFFFFF" filled="t" stroked="t" coordsize="21600,21600" o:gfxdata="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x12f/2QAAAAsBAAAPAAAAAAAAAAEAIAAAACIAAABkcnMvZG93bnJldi54bWxQSwEC&#10;FAAUAAAACACHTuJAk3DewCwCAABsBAAADgAAAAAAAAABACAAAAAoAQAAZHJzL2Uyb0RvYy54bWxQ&#10;SwUGAAAAAAYABgBZAQAAxgUAAAAA&#10;">
                <v:fill on="t" focussize="0,0"/>
                <v:stroke color="#000000" joinstyle="miter"/>
                <v:imagedata o:title=""/>
                <o:lock v:ext="edit" aspectratio="f"/>
                <v:textbo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5"/>
                                    <a:stretch>
                                      <a:fillRect/>
                                    </a:stretch>
                                  </pic:blipFill>
                                  <pic:spPr>
                                    <a:xfrm>
                                      <a:off x="0" y="0"/>
                                      <a:ext cx="12313285" cy="8655050"/>
                                    </a:xfrm>
                                    <a:prstGeom prst="rect">
                                      <a:avLst/>
                                    </a:prstGeom>
                                    <a:noFill/>
                                    <a:ln>
                                      <a:noFill/>
                                    </a:ln>
                                  </pic:spPr>
                                </pic:pic>
                              </a:graphicData>
                            </a:graphic>
                          </wp:inline>
                        </w:drawing>
                      </w:r>
                    </w:p>
                  </w:txbxContent>
                </v:textbox>
              </v:shape>
            </w:pict>
          </mc:Fallback>
        </mc:AlternateContent>
      </w:r>
      <w:r>
        <w:rPr>
          <w:color w:val="auto"/>
          <w:sz w:val="18"/>
          <w:highlight w:val="none"/>
        </w:rPr>
        <mc:AlternateContent>
          <mc:Choice Requires="wps">
            <w:drawing>
              <wp:anchor distT="0" distB="0" distL="114300" distR="114300" simplePos="0" relativeHeight="251739136" behindDoc="0" locked="0" layoutInCell="1" allowOverlap="1">
                <wp:simplePos x="0" y="0"/>
                <wp:positionH relativeFrom="column">
                  <wp:posOffset>5261610</wp:posOffset>
                </wp:positionH>
                <wp:positionV relativeFrom="paragraph">
                  <wp:posOffset>1338580</wp:posOffset>
                </wp:positionV>
                <wp:extent cx="146685" cy="104775"/>
                <wp:effectExtent l="5080" t="4445" r="19685" b="5080"/>
                <wp:wrapNone/>
                <wp:docPr id="71" name="矩形 1861"/>
                <wp:cNvGraphicFramePr/>
                <a:graphic xmlns:a="http://schemas.openxmlformats.org/drawingml/2006/main">
                  <a:graphicData uri="http://schemas.microsoft.com/office/word/2010/wordprocessingShape">
                    <wps:wsp>
                      <wps:cNvSpPr/>
                      <wps:spPr>
                        <a:xfrm>
                          <a:off x="0" y="0"/>
                          <a:ext cx="146685" cy="104775"/>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14.3pt;margin-top:105.4pt;height:8.25pt;width:11.55pt;z-index:251739136;mso-width-relative:page;mso-height-relative:page;" fillcolor="#00B0F0" filled="t" stroked="t" coordsize="21600,21600" o:gfxdata="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dxH9cA&#10;AAALAQAADwAAAAAAAAABACAAAAAiAAAAZHJzL2Rvd25yZXYueG1sUEsBAhQAFAAAAAgAh07iQKoI&#10;DVUgAgAAVAQAAA4AAAAAAAAAAQAgAAAAJgEAAGRycy9lMm9Eb2MueG1sUEsFBgAAAAAGAAYAWQEA&#10;ALgFA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738112" behindDoc="0" locked="0" layoutInCell="1" allowOverlap="1">
                <wp:simplePos x="0" y="0"/>
                <wp:positionH relativeFrom="column">
                  <wp:posOffset>5423535</wp:posOffset>
                </wp:positionH>
                <wp:positionV relativeFrom="paragraph">
                  <wp:posOffset>1351915</wp:posOffset>
                </wp:positionV>
                <wp:extent cx="168910" cy="97790"/>
                <wp:effectExtent l="4445" t="4445" r="17145" b="12065"/>
                <wp:wrapNone/>
                <wp:docPr id="70" name="矩形 1861"/>
                <wp:cNvGraphicFramePr/>
                <a:graphic xmlns:a="http://schemas.openxmlformats.org/drawingml/2006/main">
                  <a:graphicData uri="http://schemas.microsoft.com/office/word/2010/wordprocessingShape">
                    <wps:wsp>
                      <wps:cNvSpPr/>
                      <wps:spPr>
                        <a:xfrm>
                          <a:off x="0" y="0"/>
                          <a:ext cx="168910" cy="9779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27.05pt;margin-top:106.45pt;height:7.7pt;width:13.3pt;z-index:251738112;mso-width-relative:page;mso-height-relative:page;" fillcolor="#00B050" filled="t" stroked="t" coordsize="21600,21600" o:gfxdata="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1VeuPXAAAA&#10;CwEAAA8AAAAAAAAAAQAgAAAAIgAAAGRycy9kb3ducmV2LnhtbFBLAQIUABQAAAAIAIdO4kCI+nCY&#10;HgIAAFMEAAAOAAAAAAAAAAEAIAAAACYBAABkcnMvZTJvRG9jLnhtbFBLBQYAAAAABgAGAFkBAAC2&#10;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94080" behindDoc="0" locked="0" layoutInCell="1" allowOverlap="1">
                <wp:simplePos x="0" y="0"/>
                <wp:positionH relativeFrom="column">
                  <wp:posOffset>2656205</wp:posOffset>
                </wp:positionH>
                <wp:positionV relativeFrom="paragraph">
                  <wp:posOffset>3882390</wp:posOffset>
                </wp:positionV>
                <wp:extent cx="114300" cy="121920"/>
                <wp:effectExtent l="4445" t="4445" r="14605" b="6985"/>
                <wp:wrapNone/>
                <wp:docPr id="38"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209.15pt;margin-top:305.7pt;height:9.6pt;width:9pt;z-index:251694080;mso-width-relative:page;mso-height-relative:page;" fillcolor="#FF0000" filled="t" stroked="t" coordsize="21600,21600" o:gfxdata="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Za0eT2AAAAAsBAAAP&#10;AAAAAAAAAAEAIAAAACIAAABkcnMvZG93bnJldi54bWxQSwECFAAUAAAACACHTuJACPEVkxgCAABK&#10;BAAADgAAAAAAAAABACAAAAAnAQAAZHJzL2Uyb0RvYy54bWxQSwUGAAAAAAYABgBZAQAAsQ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96128" behindDoc="0" locked="0" layoutInCell="1" allowOverlap="1">
                <wp:simplePos x="0" y="0"/>
                <wp:positionH relativeFrom="column">
                  <wp:posOffset>2319020</wp:posOffset>
                </wp:positionH>
                <wp:positionV relativeFrom="paragraph">
                  <wp:posOffset>3966210</wp:posOffset>
                </wp:positionV>
                <wp:extent cx="710565" cy="353060"/>
                <wp:effectExtent l="0" t="0" r="0" b="0"/>
                <wp:wrapNone/>
                <wp:docPr id="40"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wps:txbx>
                      <wps:bodyPr vert="horz" wrap="square" anchor="t" anchorCtr="0" upright="1"/>
                    </wps:wsp>
                  </a:graphicData>
                </a:graphic>
              </wp:anchor>
            </w:drawing>
          </mc:Choice>
          <mc:Fallback>
            <w:pict>
              <v:shape id="文本框 4" o:spid="_x0000_s1026" o:spt="202" type="#_x0000_t202" style="position:absolute;left:0pt;margin-left:182.6pt;margin-top:312.3pt;height:27.8pt;width:55.95pt;z-index:251696128;mso-width-relative:page;mso-height-relative:page;" filled="f" stroked="f" coordsize="21600,21600" o:gfxdata="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iCVh2QAAAAsBAAAPAAAAAAAAAAEAIAAAACIAAABk&#10;cnMvZG93bnJldi54bWxQSwECFAAUAAAACACHTuJALQliVcwBAACBAwAADgAAAAAAAAABACAAAAAo&#10;AQAAZHJzL2Uyb0RvYy54bWxQSwUGAAAAAAYABgBZAQAAZgUAAAAA&#10;">
                <v:fill on="f" focussize="0,0"/>
                <v:stroke on="f"/>
                <v:imagedata o:title=""/>
                <o:lock v:ext="edit" aspectratio="f"/>
                <v:textbo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v:textbox>
              </v:shape>
            </w:pict>
          </mc:Fallback>
        </mc:AlternateContent>
      </w:r>
      <w:r>
        <w:rPr>
          <w:color w:val="auto"/>
          <w:sz w:val="18"/>
          <w:highlight w:val="none"/>
        </w:rPr>
        <mc:AlternateContent>
          <mc:Choice Requires="wps">
            <w:drawing>
              <wp:anchor distT="0" distB="0" distL="114300" distR="114300" simplePos="0" relativeHeight="251686912" behindDoc="0" locked="0" layoutInCell="1" allowOverlap="1">
                <wp:simplePos x="0" y="0"/>
                <wp:positionH relativeFrom="column">
                  <wp:posOffset>6132195</wp:posOffset>
                </wp:positionH>
                <wp:positionV relativeFrom="paragraph">
                  <wp:posOffset>4094480</wp:posOffset>
                </wp:positionV>
                <wp:extent cx="674370" cy="314325"/>
                <wp:effectExtent l="0" t="0" r="0" b="0"/>
                <wp:wrapNone/>
                <wp:docPr id="29" name="文本框 1882"/>
                <wp:cNvGraphicFramePr/>
                <a:graphic xmlns:a="http://schemas.openxmlformats.org/drawingml/2006/main">
                  <a:graphicData uri="http://schemas.microsoft.com/office/word/2010/wordprocessingShape">
                    <wps:wsp>
                      <wps:cNvSpPr txBox="1"/>
                      <wps:spPr>
                        <a:xfrm>
                          <a:off x="0" y="0"/>
                          <a:ext cx="674370" cy="314325"/>
                        </a:xfrm>
                        <a:prstGeom prst="rect">
                          <a:avLst/>
                        </a:prstGeom>
                        <a:noFill/>
                        <a:ln>
                          <a:noFill/>
                        </a:ln>
                      </wps:spPr>
                      <wps:txb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wps:txbx>
                      <wps:bodyPr vert="horz" wrap="square" anchor="t" anchorCtr="0" upright="1"/>
                    </wps:wsp>
                  </a:graphicData>
                </a:graphic>
              </wp:anchor>
            </w:drawing>
          </mc:Choice>
          <mc:Fallback>
            <w:pict>
              <v:shape id="文本框 1882" o:spid="_x0000_s1026" o:spt="202" type="#_x0000_t202" style="position:absolute;left:0pt;margin-left:482.85pt;margin-top:322.4pt;height:24.75pt;width:53.1pt;z-index:251686912;mso-width-relative:page;mso-height-relative:page;" filled="f" stroked="f" coordsize="21600,21600" o:gfxdata="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ZI1y02QAAAAwBAAAPAAAAAAAAAAEAIAAAACIA&#10;AABkcnMvZG93bnJldi54bWxQSwECFAAUAAAACACHTuJAUCe97s8BAACEAwAADgAAAAAAAAABACAA&#10;AAAoAQAAZHJzL2Uyb0RvYy54bWxQSwUGAAAAAAYABgBZAQAAaQUAAAAA&#10;">
                <v:fill on="f" focussize="0,0"/>
                <v:stroke on="f"/>
                <v:imagedata o:title=""/>
                <o:lock v:ext="edit" aspectratio="f"/>
                <v:textbo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v:textbox>
              </v:shape>
            </w:pict>
          </mc:Fallback>
        </mc:AlternateContent>
      </w:r>
      <w:r>
        <w:rPr>
          <w:color w:val="auto"/>
          <w:sz w:val="18"/>
          <w:highlight w:val="none"/>
        </w:rPr>
        <mc:AlternateContent>
          <mc:Choice Requires="wps">
            <w:drawing>
              <wp:anchor distT="0" distB="0" distL="114300" distR="114300" simplePos="0" relativeHeight="251695104" behindDoc="0" locked="0" layoutInCell="1" allowOverlap="1">
                <wp:simplePos x="0" y="0"/>
                <wp:positionH relativeFrom="column">
                  <wp:posOffset>5998845</wp:posOffset>
                </wp:positionH>
                <wp:positionV relativeFrom="paragraph">
                  <wp:posOffset>4148455</wp:posOffset>
                </wp:positionV>
                <wp:extent cx="114300" cy="121920"/>
                <wp:effectExtent l="4445" t="4445" r="14605" b="6985"/>
                <wp:wrapNone/>
                <wp:docPr id="39" name="椭圆 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3" o:spid="_x0000_s1026" o:spt="3" type="#_x0000_t3" style="position:absolute;left:0pt;margin-left:472.35pt;margin-top:326.65pt;height:9.6pt;width:9pt;z-index:251695104;mso-width-relative:page;mso-height-relative:page;" fillcolor="#FF0000" filled="t" stroked="t" coordsize="21600,21600" o:gfxdata="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&#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0aO4x2gAAAAsBAAAPAAAAAAAAAAEAIAAAACIAAABk&#10;cnMvZG93bnJldi54bWxQSwECFAAUAAAACACHTuJAHmIqNQQCAAAlBAAADgAAAAAAAAABACAAAAAp&#10;AQAAZHJzL2Uyb0RvYy54bWxQSwUGAAAAAAYABgBZAQAAnw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76672" behindDoc="0" locked="0" layoutInCell="1" allowOverlap="1">
                <wp:simplePos x="0" y="0"/>
                <wp:positionH relativeFrom="column">
                  <wp:posOffset>695960</wp:posOffset>
                </wp:positionH>
                <wp:positionV relativeFrom="paragraph">
                  <wp:posOffset>2012315</wp:posOffset>
                </wp:positionV>
                <wp:extent cx="1151255" cy="338455"/>
                <wp:effectExtent l="4445" t="4445" r="6350" b="19050"/>
                <wp:wrapNone/>
                <wp:docPr id="19" name="文本框 1860"/>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vert="horz" wrap="square" anchor="t" anchorCtr="0" upright="1"/>
                    </wps:wsp>
                  </a:graphicData>
                </a:graphic>
              </wp:anchor>
            </w:drawing>
          </mc:Choice>
          <mc:Fallback>
            <w:pict>
              <v:shape id="文本框 1860" o:spid="_x0000_s1026" o:spt="202" type="#_x0000_t202" style="position:absolute;left:0pt;margin-left:54.8pt;margin-top:158.45pt;height:26.65pt;width:90.65pt;z-index:251676672;mso-width-relative:page;mso-height-relative:page;" fillcolor="#FFFFFF" filled="t" stroked="t" coordsize="21600,21600" o:gfxdata="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JuxU9kAAAALAQAADwAAAAAAAAABACAAAAAiAAAAZHJzL2Rvd25yZXYueG1sUEsBAhQA&#10;FAAAAAgAh07iQDVDveIqAgAAbQQAAA4AAAAAAAAAAQAgAAAAKAEAAGRycy9lMm9Eb2MueG1sUEsF&#10;BgAAAAAGAAYAWQEAAMQFAAAAAA==&#10;">
                <v:fill on="t" focussize="0,0"/>
                <v:stroke color="#000000" joinstyle="miter"/>
                <v:imagedata o:title=""/>
                <o:lock v:ext="edit" aspectratio="f"/>
                <v:textbo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color w:val="auto"/>
          <w:sz w:val="18"/>
          <w:highlight w:val="none"/>
        </w:rPr>
        <mc:AlternateContent>
          <mc:Choice Requires="wps">
            <w:drawing>
              <wp:anchor distT="0" distB="0" distL="114300" distR="114300" simplePos="0" relativeHeight="251743232" behindDoc="0" locked="0" layoutInCell="1" allowOverlap="1">
                <wp:simplePos x="0" y="0"/>
                <wp:positionH relativeFrom="column">
                  <wp:posOffset>1517650</wp:posOffset>
                </wp:positionH>
                <wp:positionV relativeFrom="paragraph">
                  <wp:posOffset>1799590</wp:posOffset>
                </wp:positionV>
                <wp:extent cx="177800" cy="217170"/>
                <wp:effectExtent l="3810" t="3175" r="8890" b="8255"/>
                <wp:wrapNone/>
                <wp:docPr id="75" name="直线 158"/>
                <wp:cNvGraphicFramePr/>
                <a:graphic xmlns:a="http://schemas.openxmlformats.org/drawingml/2006/main">
                  <a:graphicData uri="http://schemas.microsoft.com/office/word/2010/wordprocessingShape">
                    <wps:wsp>
                      <wps:cNvCnPr/>
                      <wps:spPr>
                        <a:xfrm flipH="1">
                          <a:off x="0" y="0"/>
                          <a:ext cx="177800" cy="21717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8" o:spid="_x0000_s1026" o:spt="20" style="position:absolute;left:0pt;flip:x;margin-left:119.5pt;margin-top:141.7pt;height:17.1pt;width:14pt;z-index:251743232;mso-width-relative:page;mso-height-relative:page;" filled="f" stroked="t" coordsize="21600,21600" o:gfxdata="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diuhdkAAAALAQAADwAAAAAAAAABACAAAAAiAAAAZHJzL2Rvd25yZXYueG1s&#10;UEsBAhQAFAAAAAgAh07iQPHVodr3AQAA7AMAAA4AAAAAAAAAAQAgAAAAKAEAAGRycy9lMm9Eb2Mu&#10;eG1sUEsFBgAAAAAGAAYAWQEAAJE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675648" behindDoc="0" locked="0" layoutInCell="1" allowOverlap="1">
                <wp:simplePos x="0" y="0"/>
                <wp:positionH relativeFrom="column">
                  <wp:posOffset>1675765</wp:posOffset>
                </wp:positionH>
                <wp:positionV relativeFrom="paragraph">
                  <wp:posOffset>1530350</wp:posOffset>
                </wp:positionV>
                <wp:extent cx="149860" cy="272415"/>
                <wp:effectExtent l="5080" t="4445" r="16510" b="8890"/>
                <wp:wrapNone/>
                <wp:docPr id="18" name="矩形 1858"/>
                <wp:cNvGraphicFramePr/>
                <a:graphic xmlns:a="http://schemas.openxmlformats.org/drawingml/2006/main">
                  <a:graphicData uri="http://schemas.microsoft.com/office/word/2010/wordprocessingShape">
                    <wps:wsp>
                      <wps:cNvSpPr/>
                      <wps:spPr>
                        <a:xfrm>
                          <a:off x="0" y="0"/>
                          <a:ext cx="149860" cy="272415"/>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31.95pt;margin-top:120.5pt;height:21.45pt;width:11.8pt;z-index:251675648;mso-width-relative:page;mso-height-relative:page;" fillcolor="#0070C0" filled="t" stroked="t" coordsize="21600,21600" o:gfxdata="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0D&#10;zo/aAAAACwEAAA8AAAAAAAAAAQAgAAAAIgAAAGRycy9kb3ducmV2LnhtbFBLAQIUABQAAAAIAIdO&#10;4kAj0Q8dIQIAAFQEAAAOAAAAAAAAAAEAIAAAACkBAABkcnMvZTJvRG9jLnhtbFBLBQYAAAAABgAG&#10;AFkBAAC8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89984" behindDoc="0" locked="0" layoutInCell="1" allowOverlap="1">
                <wp:simplePos x="0" y="0"/>
                <wp:positionH relativeFrom="column">
                  <wp:posOffset>6124575</wp:posOffset>
                </wp:positionH>
                <wp:positionV relativeFrom="paragraph">
                  <wp:posOffset>2791460</wp:posOffset>
                </wp:positionV>
                <wp:extent cx="596265" cy="314325"/>
                <wp:effectExtent l="0" t="0" r="0" b="0"/>
                <wp:wrapNone/>
                <wp:docPr id="34" name="文本框 1884"/>
                <wp:cNvGraphicFramePr/>
                <a:graphic xmlns:a="http://schemas.openxmlformats.org/drawingml/2006/main">
                  <a:graphicData uri="http://schemas.microsoft.com/office/word/2010/wordprocessingShape">
                    <wps:wsp>
                      <wps:cNvSpPr txBox="1"/>
                      <wps:spPr>
                        <a:xfrm>
                          <a:off x="0" y="0"/>
                          <a:ext cx="596265" cy="314325"/>
                        </a:xfrm>
                        <a:prstGeom prst="rect">
                          <a:avLst/>
                        </a:prstGeom>
                        <a:noFill/>
                        <a:ln>
                          <a:noFill/>
                        </a:ln>
                      </wps:spPr>
                      <wps:txbx>
                        <w:txbxContent>
                          <w:p w14:paraId="70122388">
                            <w:pPr>
                              <w:rPr>
                                <w:rFonts w:hint="default" w:eastAsia="宋体"/>
                                <w:b/>
                                <w:bCs/>
                                <w:highlight w:val="yellow"/>
                                <w:lang w:val="en-US" w:eastAsia="zh-CN"/>
                              </w:rPr>
                            </w:pPr>
                            <w:r>
                              <w:rPr>
                                <w:rFonts w:hint="eastAsia"/>
                                <w:b/>
                                <w:bCs/>
                                <w:highlight w:val="yellow"/>
                                <w:lang w:val="en-US" w:eastAsia="zh-CN"/>
                              </w:rPr>
                              <w:t>DA004</w:t>
                            </w:r>
                          </w:p>
                        </w:txbxContent>
                      </wps:txbx>
                      <wps:bodyPr wrap="square" upright="1"/>
                    </wps:wsp>
                  </a:graphicData>
                </a:graphic>
              </wp:anchor>
            </w:drawing>
          </mc:Choice>
          <mc:Fallback>
            <w:pict>
              <v:shape id="文本框 1884" o:spid="_x0000_s1026" o:spt="202" type="#_x0000_t202" style="position:absolute;left:0pt;margin-left:482.25pt;margin-top:219.8pt;height:24.75pt;width:46.95pt;z-index:251689984;mso-width-relative:page;mso-height-relative:page;" filled="f" stroked="f" coordsize="21600,21600" o:gfxdata="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fJy/NgAAAAMAQAADwAAAAAAAAABACAAAAAiAAAAZHJzL2Rvd25yZXYueG1sUEsBAhQA&#10;FAAAAAgAh07iQHTVRSq5AQAAXwMAAA4AAAAAAAAAAQAgAAAAJwEAAGRycy9lMm9Eb2MueG1sUEsF&#10;BgAAAAAGAAYAWQEAAFIFAAAAAA==&#10;">
                <v:fill on="f" focussize="0,0"/>
                <v:stroke on="f"/>
                <v:imagedata o:title=""/>
                <o:lock v:ext="edit" aspectratio="f"/>
                <v:textbox>
                  <w:txbxContent>
                    <w:p w14:paraId="70122388">
                      <w:pPr>
                        <w:rPr>
                          <w:rFonts w:hint="default" w:eastAsia="宋体"/>
                          <w:b/>
                          <w:bCs/>
                          <w:highlight w:val="yellow"/>
                          <w:lang w:val="en-US" w:eastAsia="zh-CN"/>
                        </w:rPr>
                      </w:pPr>
                      <w:r>
                        <w:rPr>
                          <w:rFonts w:hint="eastAsia"/>
                          <w:b/>
                          <w:bCs/>
                          <w:highlight w:val="yellow"/>
                          <w:lang w:val="en-US" w:eastAsia="zh-CN"/>
                        </w:rPr>
                        <w:t>DA004</w:t>
                      </w:r>
                    </w:p>
                  </w:txbxContent>
                </v:textbox>
              </v:shape>
            </w:pict>
          </mc:Fallback>
        </mc:AlternateContent>
      </w:r>
      <w:r>
        <w:rPr>
          <w:color w:val="auto"/>
          <w:sz w:val="18"/>
          <w:highlight w:val="none"/>
        </w:rPr>
        <mc:AlternateContent>
          <mc:Choice Requires="wps">
            <w:drawing>
              <wp:anchor distT="0" distB="0" distL="114300" distR="114300" simplePos="0" relativeHeight="251685888" behindDoc="0" locked="0" layoutInCell="1" allowOverlap="1">
                <wp:simplePos x="0" y="0"/>
                <wp:positionH relativeFrom="column">
                  <wp:posOffset>6169660</wp:posOffset>
                </wp:positionH>
                <wp:positionV relativeFrom="paragraph">
                  <wp:posOffset>3062605</wp:posOffset>
                </wp:positionV>
                <wp:extent cx="114300" cy="121920"/>
                <wp:effectExtent l="4445" t="4445" r="14605" b="6985"/>
                <wp:wrapNone/>
                <wp:docPr id="28" name="椭圆 1880"/>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80" o:spid="_x0000_s1026" o:spt="3" type="#_x0000_t3" style="position:absolute;left:0pt;margin-left:485.8pt;margin-top:241.15pt;height:9.6pt;width:9pt;z-index:251685888;mso-width-relative:page;mso-height-relative:page;" fillcolor="#00B0F0" filled="t" stroked="t" coordsize="21600,21600" o:gfxdata="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yq6Ofd&#10;AAAACwEAAA8AAAAAAAAAAQAgAAAAIgAAAGRycy9kb3ducmV2LnhtbFBLAQIUABQAAAAIAIdO4kCF&#10;+MMqGwIAAE0EAAAOAAAAAAAAAAEAIAAAACwBAABkcnMvZTJvRG9jLnhtbFBLBQYAAAAABgAGAFkB&#10;AAC5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87936" behindDoc="0" locked="0" layoutInCell="1" allowOverlap="1">
                <wp:simplePos x="0" y="0"/>
                <wp:positionH relativeFrom="column">
                  <wp:posOffset>3859530</wp:posOffset>
                </wp:positionH>
                <wp:positionV relativeFrom="paragraph">
                  <wp:posOffset>1261745</wp:posOffset>
                </wp:positionV>
                <wp:extent cx="114300" cy="121920"/>
                <wp:effectExtent l="4445" t="4445" r="14605" b="6985"/>
                <wp:wrapNone/>
                <wp:docPr id="30" name="椭圆 188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1883" o:spid="_x0000_s1026" o:spt="3" type="#_x0000_t3" style="position:absolute;left:0pt;margin-left:303.9pt;margin-top:99.35pt;height:9.6pt;width:9pt;z-index:251687936;mso-width-relative:page;mso-height-relative:page;" fillcolor="#00B0F0" filled="t" stroked="t" coordsize="21600,21600" o:gfxdata="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cwUi9wAAAALAQAADwAAAAAAAAABACAA&#10;AAAiAAAAZHJzL2Rvd25yZXYueG1sUEsBAhQAFAAAAAgAh07iQHnp6lcJAgAAKAQAAA4AAAAAAAAA&#10;AQAgAAAAKwEAAGRycy9lMm9Eb2MueG1sUEsFBgAAAAAGAAYAWQEAAKYFA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42208" behindDoc="0" locked="0" layoutInCell="1" allowOverlap="1">
                <wp:simplePos x="0" y="0"/>
                <wp:positionH relativeFrom="column">
                  <wp:posOffset>2324735</wp:posOffset>
                </wp:positionH>
                <wp:positionV relativeFrom="paragraph">
                  <wp:posOffset>956310</wp:posOffset>
                </wp:positionV>
                <wp:extent cx="190500" cy="180975"/>
                <wp:effectExtent l="3175" t="3175" r="15875" b="6350"/>
                <wp:wrapNone/>
                <wp:docPr id="74" name="直线 157"/>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7" o:spid="_x0000_s1026" o:spt="20" style="position:absolute;left:0pt;margin-left:183.05pt;margin-top:75.3pt;height:14.25pt;width:15pt;z-index:251742208;mso-width-relative:page;mso-height-relative:page;" filled="f" stroked="t" coordsize="21600,21600" o:gfxdata="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QkMzXYAAAACwEAAA8AAAAAAAAAAQAgAAAAIgAAAGRycy9kb3ducmV2LnhtbFBLAQIUABQAAAAI&#10;AIdO4kCxV1po7QEAAOIDAAAOAAAAAAAAAAEAIAAAACcBAABkcnMvZTJvRG9jLnhtbFBLBQYAAAAA&#10;BgAGAFkBAACGBQ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41184" behindDoc="0" locked="0" layoutInCell="1" allowOverlap="1">
                <wp:simplePos x="0" y="0"/>
                <wp:positionH relativeFrom="column">
                  <wp:posOffset>5367655</wp:posOffset>
                </wp:positionH>
                <wp:positionV relativeFrom="paragraph">
                  <wp:posOffset>1220470</wp:posOffset>
                </wp:positionV>
                <wp:extent cx="138430" cy="154940"/>
                <wp:effectExtent l="3810" t="3175" r="10160" b="13335"/>
                <wp:wrapNone/>
                <wp:docPr id="73" name="直线 156"/>
                <wp:cNvGraphicFramePr/>
                <a:graphic xmlns:a="http://schemas.openxmlformats.org/drawingml/2006/main">
                  <a:graphicData uri="http://schemas.microsoft.com/office/word/2010/wordprocessingShape">
                    <wps:wsp>
                      <wps:cNvCnPr/>
                      <wps:spPr>
                        <a:xfrm>
                          <a:off x="0" y="0"/>
                          <a:ext cx="138430" cy="1549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6" o:spid="_x0000_s1026" o:spt="20" style="position:absolute;left:0pt;margin-left:422.65pt;margin-top:96.1pt;height:12.2pt;width:10.9pt;z-index:251741184;mso-width-relative:page;mso-height-relative:page;" filled="f" stroked="t" coordsize="21600,21600" o:gfxdata="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WyvE2QAAAAsBAAAPAAAAAAAAAAEAIAAAACIAAABkcnMvZG93bnJldi54bWxQSwECFAAU&#10;AAAACACHTuJAQgivSfABAADiAwAADgAAAAAAAAABACAAAAAoAQAAZHJzL2Uyb0RvYy54bWxQSwUG&#10;AAAAAAYABgBZAQAAigU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04320" behindDoc="0" locked="0" layoutInCell="1" allowOverlap="1">
                <wp:simplePos x="0" y="0"/>
                <wp:positionH relativeFrom="column">
                  <wp:posOffset>2404745</wp:posOffset>
                </wp:positionH>
                <wp:positionV relativeFrom="paragraph">
                  <wp:posOffset>1049020</wp:posOffset>
                </wp:positionV>
                <wp:extent cx="158750" cy="270510"/>
                <wp:effectExtent l="5080" t="4445" r="10160" b="8255"/>
                <wp:wrapNone/>
                <wp:docPr id="50" name="矩形 1858"/>
                <wp:cNvGraphicFramePr/>
                <a:graphic xmlns:a="http://schemas.openxmlformats.org/drawingml/2006/main">
                  <a:graphicData uri="http://schemas.microsoft.com/office/word/2010/wordprocessingShape">
                    <wps:wsp>
                      <wps:cNvSpPr/>
                      <wps:spPr>
                        <a:xfrm rot="5400000">
                          <a:off x="0" y="0"/>
                          <a:ext cx="158750" cy="27051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89.35pt;margin-top:82.6pt;height:21.3pt;width:12.5pt;rotation:5898240f;z-index:251704320;mso-width-relative:page;mso-height-relative:page;" fillcolor="#FF0000" filled="t" stroked="t" coordsize="21600,21600" o:gfxdata="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UkvUg2QAAAAsBAAAPAAAAAAAAAAEAIAAAACIAAABkcnMvZG93bnJldi54bWxQSwECFAAUAAAA&#10;CACHTuJAiOSKsiYCAABiBAAADgAAAAAAAAABACAAAAAoAQAAZHJzL2Uyb0RvYy54bWxQSwUGAAAA&#10;AAYABgBZAQAAwAUAAAAA&#10;">
                <v:fill on="t" focussize="0,0"/>
                <v:stroke color="#000000" joinstyle="miter"/>
                <v:imagedata o:title=""/>
                <o:lock v:ext="edit" aspectratio="f"/>
              </v:rect>
            </w:pict>
          </mc:Fallback>
        </mc:AlternateContent>
      </w:r>
      <w:r>
        <w:rPr>
          <w:color w:val="auto"/>
          <w:sz w:val="21"/>
          <w:highlight w:val="none"/>
        </w:rPr>
        <mc:AlternateContent>
          <mc:Choice Requires="wps">
            <w:drawing>
              <wp:anchor distT="0" distB="0" distL="114300" distR="114300" simplePos="0" relativeHeight="251737088" behindDoc="0" locked="0" layoutInCell="1" allowOverlap="1">
                <wp:simplePos x="0" y="0"/>
                <wp:positionH relativeFrom="column">
                  <wp:posOffset>6040755</wp:posOffset>
                </wp:positionH>
                <wp:positionV relativeFrom="paragraph">
                  <wp:posOffset>1488440</wp:posOffset>
                </wp:positionV>
                <wp:extent cx="723900" cy="316230"/>
                <wp:effectExtent l="0" t="0" r="0" b="0"/>
                <wp:wrapNone/>
                <wp:docPr id="69" name="文本框 151"/>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wps:txbx>
                      <wps:bodyPr wrap="square" upright="0"/>
                    </wps:wsp>
                  </a:graphicData>
                </a:graphic>
              </wp:anchor>
            </w:drawing>
          </mc:Choice>
          <mc:Fallback>
            <w:pict>
              <v:shape id="文本框 151" o:spid="_x0000_s1026" o:spt="202" type="#_x0000_t202" style="position:absolute;left:0pt;margin-left:475.65pt;margin-top:117.2pt;height:24.9pt;width:57pt;z-index:251737088;mso-width-relative:page;mso-height-relative:page;" filled="f" stroked="f" coordsize="21600,21600" o:gfxdata="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FnUttoAAAAMAQAADwAAAAAAAAABACAAAAAiAAAAZHJzL2Rvd25yZXYu&#10;eG1sUEsBAhQAFAAAAAgAh07iQPJx6/zAAQAAaAMAAA4AAAAAAAAAAQAgAAAAKQEAAGRycy9lMm9E&#10;b2MueG1sUEsFBgAAAAAGAAYAWQEAAFsFAAAAAA==&#10;">
                <v:fill on="f" focussize="0,0"/>
                <v:stroke on="f" weight="1pt"/>
                <v:imagedata o:title=""/>
                <o:lock v:ext="edit" aspectratio="f"/>
                <v:textbo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v:textbox>
              </v:shape>
            </w:pict>
          </mc:Fallback>
        </mc:AlternateContent>
      </w:r>
      <w:r>
        <w:rPr>
          <w:color w:val="auto"/>
          <w:sz w:val="21"/>
          <w:highlight w:val="none"/>
        </w:rPr>
        <mc:AlternateContent>
          <mc:Choice Requires="wps">
            <w:drawing>
              <wp:anchor distT="0" distB="0" distL="114300" distR="114300" simplePos="0" relativeHeight="251736064" behindDoc="0" locked="0" layoutInCell="1" allowOverlap="1">
                <wp:simplePos x="0" y="0"/>
                <wp:positionH relativeFrom="column">
                  <wp:posOffset>5871845</wp:posOffset>
                </wp:positionH>
                <wp:positionV relativeFrom="paragraph">
                  <wp:posOffset>3107690</wp:posOffset>
                </wp:positionV>
                <wp:extent cx="723900" cy="316230"/>
                <wp:effectExtent l="0" t="0" r="0" b="0"/>
                <wp:wrapNone/>
                <wp:docPr id="68" name="文本框 150"/>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wps:txbx>
                      <wps:bodyPr wrap="square" upright="0"/>
                    </wps:wsp>
                  </a:graphicData>
                </a:graphic>
              </wp:anchor>
            </w:drawing>
          </mc:Choice>
          <mc:Fallback>
            <w:pict>
              <v:shape id="文本框 150" o:spid="_x0000_s1026" o:spt="202" type="#_x0000_t202" style="position:absolute;left:0pt;margin-left:462.35pt;margin-top:244.7pt;height:24.9pt;width:57pt;z-index:251736064;mso-width-relative:page;mso-height-relative:page;" filled="f" stroked="f" coordsize="21600,21600" o:gfxdata="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lpI+2gAAAAwBAAAPAAAAAAAAAAEAIAAAACIAAABkcnMvZG93bnJldi54&#10;bWxQSwECFAAUAAAACACHTuJAHhg9bL8BAABoAwAADgAAAAAAAAABACAAAAApAQAAZHJzL2Uyb0Rv&#10;Yy54bWxQSwUGAAAAAAYABgBZAQAAWgUAAAAA&#10;">
                <v:fill on="f" focussize="0,0"/>
                <v:stroke on="f" weight="1pt"/>
                <v:imagedata o:title=""/>
                <o:lock v:ext="edit" aspectratio="f"/>
                <v:textbo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v:textbox>
              </v:shape>
            </w:pict>
          </mc:Fallback>
        </mc:AlternateContent>
      </w:r>
      <w:bookmarkEnd w:id="70"/>
      <w:r>
        <w:rPr>
          <w:color w:val="auto"/>
          <w:highlight w:val="none"/>
        </w:rPr>
        <w:drawing>
          <wp:inline distT="0" distB="0" distL="114300" distR="114300">
            <wp:extent cx="7527290" cy="5088255"/>
            <wp:effectExtent l="0" t="0" r="16510" b="17145"/>
            <wp:docPr id="176"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670"/>
                    <pic:cNvPicPr>
                      <a:picLocks noChangeAspect="1"/>
                    </pic:cNvPicPr>
                  </pic:nvPicPr>
                  <pic:blipFill>
                    <a:blip r:embed="rId66"/>
                    <a:stretch>
                      <a:fillRect/>
                    </a:stretch>
                  </pic:blipFill>
                  <pic:spPr>
                    <a:xfrm>
                      <a:off x="0" y="0"/>
                      <a:ext cx="7527290" cy="5088255"/>
                    </a:xfrm>
                    <a:prstGeom prst="rect">
                      <a:avLst/>
                    </a:prstGeom>
                    <a:noFill/>
                    <a:ln>
                      <a:noFill/>
                    </a:ln>
                  </pic:spPr>
                </pic:pic>
              </a:graphicData>
            </a:graphic>
          </wp:inline>
        </w:drawing>
      </w:r>
    </w:p>
    <w:p w14:paraId="0776D91B">
      <w:pPr>
        <w:spacing w:after="0" w:line="240" w:lineRule="auto"/>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1" w:name="_Toc1343"/>
      <w:r>
        <w:rPr>
          <w:rFonts w:hint="default" w:ascii="Times New Roman" w:hAnsi="Times New Roman" w:eastAsia="宋体" w:cs="Times New Roman"/>
          <w:b/>
          <w:bCs/>
          <w:color w:val="auto"/>
          <w:kern w:val="0"/>
          <w:sz w:val="24"/>
          <w:szCs w:val="20"/>
          <w:highlight w:val="none"/>
          <w:lang w:val="en-US" w:eastAsia="zh-CN" w:bidi="ar-SA"/>
        </w:rPr>
        <w:t>附图</w:t>
      </w:r>
      <w:r>
        <w:rPr>
          <w:rFonts w:hint="eastAsia" w:ascii="Times New Roman" w:hAnsi="Times New Roman" w:eastAsia="宋体" w:cs="Times New Roman"/>
          <w:b/>
          <w:bCs/>
          <w:color w:val="auto"/>
          <w:kern w:val="0"/>
          <w:sz w:val="24"/>
          <w:szCs w:val="20"/>
          <w:highlight w:val="none"/>
          <w:lang w:val="en-US" w:eastAsia="zh-CN" w:bidi="ar-SA"/>
        </w:rPr>
        <w:t>4</w:t>
      </w:r>
      <w:r>
        <w:rPr>
          <w:rFonts w:hint="default" w:ascii="Times New Roman" w:hAnsi="Times New Roman" w:eastAsia="宋体" w:cs="Times New Roman"/>
          <w:b/>
          <w:bCs/>
          <w:color w:val="auto"/>
          <w:kern w:val="0"/>
          <w:sz w:val="24"/>
          <w:szCs w:val="20"/>
          <w:highlight w:val="none"/>
          <w:lang w:val="en-US" w:eastAsia="zh-CN" w:bidi="ar-SA"/>
        </w:rPr>
        <w:t xml:space="preserve"> 项目</w:t>
      </w:r>
      <w:r>
        <w:rPr>
          <w:rFonts w:hint="eastAsia" w:ascii="Times New Roman" w:hAnsi="Times New Roman" w:eastAsia="宋体" w:cs="Times New Roman"/>
          <w:b/>
          <w:bCs/>
          <w:color w:val="auto"/>
          <w:kern w:val="0"/>
          <w:sz w:val="24"/>
          <w:szCs w:val="20"/>
          <w:highlight w:val="none"/>
          <w:lang w:val="en-US" w:eastAsia="zh-CN" w:bidi="ar-SA"/>
        </w:rPr>
        <w:t>总</w:t>
      </w:r>
      <w:r>
        <w:rPr>
          <w:rFonts w:hint="default" w:ascii="Times New Roman" w:hAnsi="Times New Roman" w:eastAsia="宋体" w:cs="Times New Roman"/>
          <w:b/>
          <w:bCs/>
          <w:color w:val="auto"/>
          <w:kern w:val="0"/>
          <w:sz w:val="24"/>
          <w:szCs w:val="20"/>
          <w:highlight w:val="none"/>
          <w:lang w:val="en-US" w:eastAsia="zh-CN" w:bidi="ar-SA"/>
        </w:rPr>
        <w:t>平面布置图</w:t>
      </w:r>
      <w:bookmarkEnd w:id="71"/>
    </w:p>
    <w:p w14:paraId="26983EB6">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899160</wp:posOffset>
                </wp:positionH>
                <wp:positionV relativeFrom="paragraph">
                  <wp:posOffset>1364615</wp:posOffset>
                </wp:positionV>
                <wp:extent cx="3726180" cy="762000"/>
                <wp:effectExtent l="6350" t="6350" r="20320" b="12700"/>
                <wp:wrapNone/>
                <wp:docPr id="16" name="矩形 1856"/>
                <wp:cNvGraphicFramePr/>
                <a:graphic xmlns:a="http://schemas.openxmlformats.org/drawingml/2006/main">
                  <a:graphicData uri="http://schemas.microsoft.com/office/word/2010/wordprocessingShape">
                    <wps:wsp>
                      <wps:cNvSpPr/>
                      <wps:spPr>
                        <a:xfrm>
                          <a:off x="0" y="0"/>
                          <a:ext cx="3726180" cy="762000"/>
                        </a:xfrm>
                        <a:prstGeom prst="rect">
                          <a:avLst/>
                        </a:prstGeom>
                        <a:noFill/>
                        <a:ln w="12700"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856" o:spid="_x0000_s1026" o:spt="1" style="position:absolute;left:0pt;margin-left:70.8pt;margin-top:107.45pt;height:60pt;width:293.4pt;z-index:251673600;mso-width-relative:page;mso-height-relative:page;" filled="f" stroked="t" coordsize="21600,21600" o:gfxdata="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2F3Pa2gAAAAsBAAAP&#10;AAAAAAAAAAEAIAAAACIAAABkcnMvZG93bnJldi54bWxQSwECFAAUAAAACACHTuJAE2eH9hYCAAAt&#10;BAAADgAAAAAAAAABACAAAAApAQAAZHJzL2Uyb0RvYy54bWxQSwUGAAAAAAYABgBZAQAAsQUAAAAA&#10;">
                <v:fill on="f" focussize="0,0"/>
                <v:stroke weight="1pt" color="#FF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4864" behindDoc="0" locked="0" layoutInCell="1" allowOverlap="1">
                <wp:simplePos x="0" y="0"/>
                <wp:positionH relativeFrom="column">
                  <wp:posOffset>840740</wp:posOffset>
                </wp:positionH>
                <wp:positionV relativeFrom="paragraph">
                  <wp:posOffset>283210</wp:posOffset>
                </wp:positionV>
                <wp:extent cx="1151255" cy="338455"/>
                <wp:effectExtent l="4445" t="4445" r="6350" b="19050"/>
                <wp:wrapNone/>
                <wp:docPr id="27" name="文本框 1876"/>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wrap="square" upright="1"/>
                    </wps:wsp>
                  </a:graphicData>
                </a:graphic>
              </wp:anchor>
            </w:drawing>
          </mc:Choice>
          <mc:Fallback>
            <w:pict>
              <v:shape id="文本框 1876" o:spid="_x0000_s1026" o:spt="202" type="#_x0000_t202" style="position:absolute;left:0pt;margin-left:66.2pt;margin-top:22.3pt;height:26.65pt;width:90.65pt;z-index:251684864;mso-width-relative:page;mso-height-relative:page;" fillcolor="#FFFFFF" filled="t" stroked="t" coordsize="21600,21600" o:gfxdata="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rpUedkAAAAJAQAA&#10;DwAAAAAAAAABACAAAAAiAAAAZHJzL2Rvd25yZXYueG1sUEsBAhQAFAAAAAgAh07iQGVsXPAYAgAA&#10;SAQAAA4AAAAAAAAAAQAgAAAAKAEAAGRycy9lMm9Eb2MueG1sUEsFBgAAAAAGAAYAWQEAALIFAAAA&#10;AA==&#10;">
                <v:fill on="t" focussize="0,0"/>
                <v:stroke color="#000000" joinstyle="miter"/>
                <v:imagedata o:title=""/>
                <o:lock v:ext="edit" aspectratio="f"/>
                <v:textbo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285115</wp:posOffset>
                </wp:positionH>
                <wp:positionV relativeFrom="paragraph">
                  <wp:posOffset>539750</wp:posOffset>
                </wp:positionV>
                <wp:extent cx="568960" cy="434340"/>
                <wp:effectExtent l="3175" t="3810" r="18415" b="19050"/>
                <wp:wrapNone/>
                <wp:docPr id="26" name="直线 1877"/>
                <wp:cNvGraphicFramePr/>
                <a:graphic xmlns:a="http://schemas.openxmlformats.org/drawingml/2006/main">
                  <a:graphicData uri="http://schemas.microsoft.com/office/word/2010/wordprocessingShape">
                    <wps:wsp>
                      <wps:cNvCnPr/>
                      <wps:spPr>
                        <a:xfrm flipV="1">
                          <a:off x="0" y="0"/>
                          <a:ext cx="568960" cy="4343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77" o:spid="_x0000_s1026" o:spt="20" style="position:absolute;left:0pt;flip:y;margin-left:22.45pt;margin-top:42.5pt;height:34.2pt;width:44.8pt;z-index:251683840;mso-width-relative:page;mso-height-relative:page;" filled="f" stroked="t" coordsize="21600,21600" o:gfxdata="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ymGn2AAAAAkBAAAPAAAAAAAAAAEAIAAAACIAAABkcnMvZG93bnJldi54bWxQ&#10;SwECFAAUAAAACACHTuJAJtSiBPcBAADtAwAADgAAAAAAAAABACAAAAAnAQAAZHJzL2Uyb0RvYy54&#10;bWxQSwUGAAAAAAYABgBZAQAAkAU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206375</wp:posOffset>
                </wp:positionH>
                <wp:positionV relativeFrom="paragraph">
                  <wp:posOffset>980440</wp:posOffset>
                </wp:positionV>
                <wp:extent cx="215900" cy="444500"/>
                <wp:effectExtent l="4445" t="4445" r="8255" b="8255"/>
                <wp:wrapNone/>
                <wp:docPr id="25" name="矩形 1875"/>
                <wp:cNvGraphicFramePr/>
                <a:graphic xmlns:a="http://schemas.openxmlformats.org/drawingml/2006/main">
                  <a:graphicData uri="http://schemas.microsoft.com/office/word/2010/wordprocessingShape">
                    <wps:wsp>
                      <wps:cNvSpPr/>
                      <wps:spPr>
                        <a:xfrm rot="10800000">
                          <a:off x="0" y="0"/>
                          <a:ext cx="215900" cy="444500"/>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5" o:spid="_x0000_s1026" o:spt="1" style="position:absolute;left:0pt;margin-left:16.25pt;margin-top:77.2pt;height:35pt;width:17pt;rotation:11796480f;z-index:251682816;mso-width-relative:page;mso-height-relative:page;" fillcolor="#0070C0" filled="t" stroked="t" coordsize="21600,21600" o:gfxdata="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rKrndgAAAAJAQAADwAAAAAAAAABACAAAAAiAAAAZHJzL2Rvd25yZXYueG1sUEsBAhQAFAAAAAgA&#10;h07iQELG380lAgAAYwQAAA4AAAAAAAAAAQAgAAAAJwEAAGRycy9lMm9Eb2MueG1sUEsFBgAAAAAG&#10;AAYAWQEAAL4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7249160</wp:posOffset>
                </wp:positionH>
                <wp:positionV relativeFrom="paragraph">
                  <wp:posOffset>189230</wp:posOffset>
                </wp:positionV>
                <wp:extent cx="596265" cy="307975"/>
                <wp:effectExtent l="4445" t="4445" r="8890" b="11430"/>
                <wp:wrapNone/>
                <wp:docPr id="23" name="文本框 1865"/>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wps:txbx>
                      <wps:bodyPr wrap="square" upright="1"/>
                    </wps:wsp>
                  </a:graphicData>
                </a:graphic>
              </wp:anchor>
            </w:drawing>
          </mc:Choice>
          <mc:Fallback>
            <w:pict>
              <v:shape id="文本框 1865" o:spid="_x0000_s1026" o:spt="202" type="#_x0000_t202" style="position:absolute;left:0pt;margin-left:570.8pt;margin-top:14.9pt;height:24.25pt;width:46.95pt;z-index:251680768;mso-width-relative:page;mso-height-relative:page;" fillcolor="#FFFFFF" filled="t" stroked="t" coordsize="21600,21600" o:gfxdata="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x6aKD2gAAAAsB&#10;AAAPAAAAAAAAAAEAIAAAACIAAABkcnMvZG93bnJldi54bWxQSwECFAAUAAAACACHTuJA82sV5BkC&#10;AABHBAAADgAAAAAAAAABACAAAAApAQAAZHJzL2Uyb0RvYy54bWxQSwUGAAAAAAYABgBZAQAAtAUA&#10;AAAA&#10;">
                <v:fill on="t" focussize="0,0"/>
                <v:stroke color="#000000" joinstyle="miter"/>
                <v:imagedata o:title=""/>
                <o:lock v:ext="edit" aspectratio="f"/>
                <v:textbo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2272" behindDoc="0" locked="0" layoutInCell="1" allowOverlap="1">
                <wp:simplePos x="0" y="0"/>
                <wp:positionH relativeFrom="column">
                  <wp:posOffset>7162165</wp:posOffset>
                </wp:positionH>
                <wp:positionV relativeFrom="paragraph">
                  <wp:posOffset>654050</wp:posOffset>
                </wp:positionV>
                <wp:extent cx="390525" cy="342900"/>
                <wp:effectExtent l="3175" t="3810" r="6350" b="15240"/>
                <wp:wrapNone/>
                <wp:docPr id="48" name="直线 1866"/>
                <wp:cNvGraphicFramePr/>
                <a:graphic xmlns:a="http://schemas.openxmlformats.org/drawingml/2006/main">
                  <a:graphicData uri="http://schemas.microsoft.com/office/word/2010/wordprocessingShape">
                    <wps:wsp>
                      <wps:cNvCnPr/>
                      <wps:spPr>
                        <a:xfrm flipH="1" flipV="1">
                          <a:off x="0" y="0"/>
                          <a:ext cx="390525" cy="3429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563.95pt;margin-top:51.5pt;height:27pt;width:30.75pt;z-index:251702272;mso-width-relative:page;mso-height-relative:page;" filled="f" stroked="t" coordsize="21600,21600" o:gfxdata="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5Sak3VAAAADQEAAA8AAAAAAAAAAQAgAAAAIgAAAGRycy9kb3ducmV2Lnht&#10;bFBLAQIUABQAAAAIAIdO4kAkYPND/AEAAPcDAAAOAAAAAAAAAAEAIAAAACQBAABkcnMvZTJvRG9j&#10;LnhtbFBLBQYAAAAABgAGAFkBAACSBQ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3296" behindDoc="0" locked="0" layoutInCell="1" allowOverlap="1">
                <wp:simplePos x="0" y="0"/>
                <wp:positionH relativeFrom="column">
                  <wp:posOffset>6574790</wp:posOffset>
                </wp:positionH>
                <wp:positionV relativeFrom="paragraph">
                  <wp:posOffset>511810</wp:posOffset>
                </wp:positionV>
                <wp:extent cx="595630" cy="290830"/>
                <wp:effectExtent l="4445" t="5080" r="9525" b="8890"/>
                <wp:wrapNone/>
                <wp:docPr id="49" name="文本框 1865"/>
                <wp:cNvGraphicFramePr/>
                <a:graphic xmlns:a="http://schemas.openxmlformats.org/drawingml/2006/main">
                  <a:graphicData uri="http://schemas.microsoft.com/office/word/2010/wordprocessingShape">
                    <wps:wsp>
                      <wps:cNvSpPr txBox="1"/>
                      <wps:spPr>
                        <a:xfrm>
                          <a:off x="0" y="0"/>
                          <a:ext cx="595630"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vert="horz" wrap="square" anchor="t" anchorCtr="0" upright="1"/>
                    </wps:wsp>
                  </a:graphicData>
                </a:graphic>
              </wp:anchor>
            </w:drawing>
          </mc:Choice>
          <mc:Fallback>
            <w:pict>
              <v:shape id="文本框 1865" o:spid="_x0000_s1026" o:spt="202" type="#_x0000_t202" style="position:absolute;left:0pt;margin-left:517.7pt;margin-top:40.3pt;height:22.9pt;width:46.9pt;z-index:251703296;mso-width-relative:page;mso-height-relative:page;" fillcolor="#FFFFFF" filled="t" stroked="t" coordsize="21600,21600" o:gfxdata="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C4ffQ2gAAAAwBAAAPAAAAAAAAAAEAIAAAACIAAABkcnMvZG93bnJldi54bWxQSwEC&#10;FAAUAAAACACHTuJAuwZiyisCAABsBAAADgAAAAAAAAABACAAAAApAQAAZHJzL2Uyb0RvYy54bWxQ&#10;SwUGAAAAAAYABgBZAQAAxgUAAAAA&#10;">
                <v:fill on="t" focussize="0,0"/>
                <v:stroke color="#000000" joinstyle="miter"/>
                <v:imagedata o:title=""/>
                <o:lock v:ext="edit" aspectratio="f"/>
                <v:textbo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7694930</wp:posOffset>
                </wp:positionH>
                <wp:positionV relativeFrom="paragraph">
                  <wp:posOffset>501650</wp:posOffset>
                </wp:positionV>
                <wp:extent cx="268605" cy="495300"/>
                <wp:effectExtent l="4445" t="2540" r="12700" b="16510"/>
                <wp:wrapNone/>
                <wp:docPr id="22" name="直线 1866"/>
                <wp:cNvGraphicFramePr/>
                <a:graphic xmlns:a="http://schemas.openxmlformats.org/drawingml/2006/main">
                  <a:graphicData uri="http://schemas.microsoft.com/office/word/2010/wordprocessingShape">
                    <wps:wsp>
                      <wps:cNvCnPr/>
                      <wps:spPr>
                        <a:xfrm flipH="1" flipV="1">
                          <a:off x="0" y="0"/>
                          <a:ext cx="268605" cy="4953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605.9pt;margin-top:39.5pt;height:39pt;width:21.15pt;z-index:251679744;mso-width-relative:page;mso-height-relative:page;" filled="f" stroked="t" coordsize="21600,21600" o:gfxdata="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hT/dNYAAAAMAQAADwAAAAAAAAABACAAAAAiAAAAZHJzL2Rvd25yZXYu&#10;eG1sUEsBAhQAFAAAAAgAh07iQB+ME1z9AQAA9wMAAA4AAAAAAAAAAQAgAAAAJQEAAGRycy9lMm9E&#10;b2MueG1sUEsFBgAAAAAGAAYAWQEAAJQFA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1248" behindDoc="0" locked="0" layoutInCell="1" allowOverlap="1">
                <wp:simplePos x="0" y="0"/>
                <wp:positionH relativeFrom="column">
                  <wp:posOffset>7464425</wp:posOffset>
                </wp:positionH>
                <wp:positionV relativeFrom="paragraph">
                  <wp:posOffset>859790</wp:posOffset>
                </wp:positionV>
                <wp:extent cx="215900" cy="293370"/>
                <wp:effectExtent l="4445" t="4445" r="6985" b="8255"/>
                <wp:wrapNone/>
                <wp:docPr id="47" name="矩形 1864"/>
                <wp:cNvGraphicFramePr/>
                <a:graphic xmlns:a="http://schemas.openxmlformats.org/drawingml/2006/main">
                  <a:graphicData uri="http://schemas.microsoft.com/office/word/2010/wordprocessingShape">
                    <wps:wsp>
                      <wps:cNvSpPr/>
                      <wps:spPr>
                        <a:xfrm rot="-5400000">
                          <a:off x="0" y="0"/>
                          <a:ext cx="215900" cy="293370"/>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587.75pt;margin-top:67.7pt;height:23.1pt;width:17pt;rotation:-5898240f;z-index:251701248;mso-width-relative:page;mso-height-relative:page;" fillcolor="#00B0F0" filled="t" stroked="t" coordsize="21600,21600" o:gfxdata="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S0mxHaAAAADQEAAA8AAAAAAAAAAQAgAAAAIgAAAGRycy9kb3ducmV2LnhtbFBLAQIU&#10;ABQAAAAIAIdO4kBmqcNOKgIAAGMEAAAOAAAAAAAAAAEAIAAAACkBAABkcnMvZTJvRG9jLnhtbFBL&#10;BQYAAAAABgAGAFkBAADFBQ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7740015</wp:posOffset>
                </wp:positionH>
                <wp:positionV relativeFrom="paragraph">
                  <wp:posOffset>864235</wp:posOffset>
                </wp:positionV>
                <wp:extent cx="215900" cy="283210"/>
                <wp:effectExtent l="4445" t="4445" r="17145" b="8255"/>
                <wp:wrapNone/>
                <wp:docPr id="21" name="矩形 1864"/>
                <wp:cNvGraphicFramePr/>
                <a:graphic xmlns:a="http://schemas.openxmlformats.org/drawingml/2006/main">
                  <a:graphicData uri="http://schemas.microsoft.com/office/word/2010/wordprocessingShape">
                    <wps:wsp>
                      <wps:cNvSpPr/>
                      <wps:spPr>
                        <a:xfrm rot="-5400000">
                          <a:off x="0" y="0"/>
                          <a:ext cx="215900" cy="28321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609.45pt;margin-top:68.05pt;height:22.3pt;width:17pt;rotation:-5898240f;z-index:251678720;mso-width-relative:page;mso-height-relative:page;" fillcolor="#00B050" filled="t" stroked="t" coordsize="21600,21600" o:gfxdata="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V/LhtoAAAANAQAADwAAAAAAAAABACAAAAAiAAAAZHJzL2Rvd25yZXYueG1sUEsBAhQA&#10;FAAAAAgAh07iQO1NpRQpAgAAYwQAAA4AAAAAAAAAAQAgAAAAKQEAAGRycy9lMm9Eb2MueG1sUEsF&#10;BgAAAAAGAAYAWQEAAMQ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4605020</wp:posOffset>
                </wp:positionH>
                <wp:positionV relativeFrom="paragraph">
                  <wp:posOffset>1849120</wp:posOffset>
                </wp:positionV>
                <wp:extent cx="2263140" cy="1798320"/>
                <wp:effectExtent l="0" t="4445" r="22860" b="6985"/>
                <wp:wrapNone/>
                <wp:docPr id="17" name="任意多边形 1857"/>
                <wp:cNvGraphicFramePr/>
                <a:graphic xmlns:a="http://schemas.openxmlformats.org/drawingml/2006/main">
                  <a:graphicData uri="http://schemas.microsoft.com/office/word/2010/wordprocessingShape">
                    <wps:wsp>
                      <wps:cNvSpPr/>
                      <wps:spPr>
                        <a:xfrm>
                          <a:off x="0" y="0"/>
                          <a:ext cx="2263140" cy="1798320"/>
                        </a:xfrm>
                        <a:custGeom>
                          <a:avLst/>
                          <a:gdLst/>
                          <a:ahLst/>
                          <a:cxnLst/>
                          <a:pathLst>
                            <a:path w="3564" h="2832">
                              <a:moveTo>
                                <a:pt x="0" y="0"/>
                              </a:moveTo>
                              <a:lnTo>
                                <a:pt x="1992" y="0"/>
                              </a:lnTo>
                              <a:lnTo>
                                <a:pt x="3564" y="2832"/>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857" o:spid="_x0000_s1026" o:spt="100" style="position:absolute;left:0pt;margin-left:362.6pt;margin-top:145.6pt;height:141.6pt;width:178.2pt;z-index:251674624;mso-width-relative:page;mso-height-relative:page;" filled="f" stroked="t" coordsize="3564,2832" o:gfxdata="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8Mfqk2gAAAAwBAAAPAAAAAAAAAAEAIAAAACIAAABkcnMvZG93bnJldi54&#10;bWxQSwECFAAUAAAACACHTuJAQJKoOWoCAADyBAAADgAAAAAAAAABACAAAAApAQAAZHJzL2Uyb0Rv&#10;Yy54bWxQSwUGAAAAAAYABgBZAQAABQYAAAAA&#10;" path="m0,0l1992,0,3564,2832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430260" cy="3552825"/>
            <wp:effectExtent l="9525" t="9525" r="18415" b="19050"/>
            <wp:docPr id="113"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48"/>
                    <pic:cNvPicPr>
                      <a:picLocks noChangeAspect="1"/>
                    </pic:cNvPicPr>
                  </pic:nvPicPr>
                  <pic:blipFill>
                    <a:blip r:embed="rId67"/>
                    <a:srcRect l="566" t="4475" r="418" b="9488"/>
                    <a:stretch>
                      <a:fillRect/>
                    </a:stretch>
                  </pic:blipFill>
                  <pic:spPr>
                    <a:xfrm>
                      <a:off x="0" y="0"/>
                      <a:ext cx="8430260" cy="3552825"/>
                    </a:xfrm>
                    <a:prstGeom prst="rect">
                      <a:avLst/>
                    </a:prstGeom>
                    <a:noFill/>
                    <a:ln w="6350" cap="flat" cmpd="sng">
                      <a:solidFill>
                        <a:srgbClr val="000000"/>
                      </a:solidFill>
                      <a:prstDash val="solid"/>
                      <a:miter/>
                      <a:headEnd type="none" w="med" len="med"/>
                      <a:tailEnd type="none" w="med" len="med"/>
                    </a:ln>
                  </pic:spPr>
                </pic:pic>
              </a:graphicData>
            </a:graphic>
          </wp:inline>
        </w:drawing>
      </w:r>
    </w:p>
    <w:p w14:paraId="1778E88A">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523605" cy="1714500"/>
            <wp:effectExtent l="12700" t="12700" r="17145" b="25400"/>
            <wp:docPr id="114"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17"/>
                    <pic:cNvPicPr>
                      <a:picLocks noChangeAspect="1"/>
                    </pic:cNvPicPr>
                  </pic:nvPicPr>
                  <pic:blipFill>
                    <a:blip r:embed="rId68"/>
                    <a:stretch>
                      <a:fillRect/>
                    </a:stretch>
                  </pic:blipFill>
                  <pic:spPr>
                    <a:xfrm>
                      <a:off x="0" y="0"/>
                      <a:ext cx="8523605" cy="1714500"/>
                    </a:xfrm>
                    <a:prstGeom prst="rect">
                      <a:avLst/>
                    </a:prstGeom>
                    <a:noFill/>
                    <a:ln w="12700" cap="flat" cmpd="sng">
                      <a:solidFill>
                        <a:srgbClr val="FF0000"/>
                      </a:solidFill>
                      <a:prstDash val="solid"/>
                      <a:miter/>
                      <a:headEnd type="none" w="med" len="med"/>
                      <a:tailEnd type="none" w="med" len="med"/>
                    </a:ln>
                  </pic:spPr>
                </pic:pic>
              </a:graphicData>
            </a:graphic>
          </wp:inline>
        </w:drawing>
      </w:r>
    </w:p>
    <w:p w14:paraId="732F6275">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2" w:name="_Toc29800"/>
      <w:bookmarkStart w:id="73" w:name="_Toc29379"/>
      <w:bookmarkStart w:id="74" w:name="_Toc15989"/>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5-1</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5#厂房</w:t>
      </w:r>
      <w:r>
        <w:rPr>
          <w:rFonts w:hint="default" w:ascii="Times New Roman" w:hAnsi="Times New Roman" w:cs="Times New Roman"/>
          <w:b/>
          <w:bCs/>
          <w:color w:val="auto"/>
          <w:sz w:val="24"/>
          <w:highlight w:val="none"/>
        </w:rPr>
        <w:t>平面布置图</w:t>
      </w:r>
      <w:bookmarkEnd w:id="60"/>
      <w:bookmarkEnd w:id="61"/>
      <w:bookmarkEnd w:id="62"/>
      <w:bookmarkEnd w:id="72"/>
      <w:bookmarkEnd w:id="73"/>
      <w:bookmarkEnd w:id="74"/>
    </w:p>
    <w:p w14:paraId="3EC9D9BD">
      <w:pPr>
        <w:jc w:val="center"/>
        <w:outlineLvl w:val="9"/>
        <w:rPr>
          <w:rFonts w:hint="default"/>
          <w:color w:val="auto"/>
          <w:highlight w:val="none"/>
          <w:lang w:val="en-US" w:eastAsia="zh-CN"/>
        </w:rPr>
      </w:pPr>
      <w:r>
        <w:rPr>
          <w:sz w:val="21"/>
        </w:rPr>
        <mc:AlternateContent>
          <mc:Choice Requires="wps">
            <w:drawing>
              <wp:anchor distT="0" distB="0" distL="114300" distR="114300" simplePos="0" relativeHeight="251753472" behindDoc="0" locked="0" layoutInCell="1" allowOverlap="1">
                <wp:simplePos x="0" y="0"/>
                <wp:positionH relativeFrom="column">
                  <wp:posOffset>2399665</wp:posOffset>
                </wp:positionH>
                <wp:positionV relativeFrom="paragraph">
                  <wp:posOffset>2138045</wp:posOffset>
                </wp:positionV>
                <wp:extent cx="3914140" cy="424180"/>
                <wp:effectExtent l="4445" t="5080" r="5715" b="8890"/>
                <wp:wrapNone/>
                <wp:docPr id="91" name="文本框 33"/>
                <wp:cNvGraphicFramePr/>
                <a:graphic xmlns:a="http://schemas.openxmlformats.org/drawingml/2006/main">
                  <a:graphicData uri="http://schemas.microsoft.com/office/word/2010/wordprocessingShape">
                    <wps:wsp>
                      <wps:cNvSpPr txBox="1"/>
                      <wps:spPr>
                        <a:xfrm>
                          <a:off x="3696335" y="2832735"/>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wps:txbx>
                      <wps:bodyPr vert="horz" anchor="t" anchorCtr="0" upright="1"/>
                    </wps:wsp>
                  </a:graphicData>
                </a:graphic>
              </wp:anchor>
            </w:drawing>
          </mc:Choice>
          <mc:Fallback>
            <w:pict>
              <v:shape id="文本框 33" o:spid="_x0000_s1026" o:spt="202" type="#_x0000_t202" style="position:absolute;left:0pt;margin-left:188.95pt;margin-top:168.35pt;height:33.4pt;width:308.2pt;z-index:251753472;mso-width-relative:page;mso-height-relative:page;" fillcolor="#FFFFFF" filled="t" stroked="t" coordsize="21600,21600" o:gfxdata="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WO6braAAAACwEAAA8AAAAAAAAAAQAgAAAAIgAAAGRycy9kb3ducmV2LnhtbFBL&#10;AQIUABQAAAAIAIdO4kDV4J4wLQIAAGkEAAAOAAAAAAAAAAEAIAAAACkBAABkcnMvZTJvRG9jLnht&#10;bFBLBQYAAAAABgAGAFkBAADIBQAAAAA=&#10;">
                <v:fill on="t" focussize="0,0"/>
                <v:stroke color="#000000" joinstyle="miter"/>
                <v:imagedata o:title=""/>
                <o:lock v:ext="edit" aspectratio="f"/>
                <v:textbo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21"/>
        </w:rPr>
        <mc:AlternateContent>
          <mc:Choice Requires="wps">
            <w:drawing>
              <wp:anchor distT="0" distB="0" distL="114300" distR="114300" simplePos="0" relativeHeight="251754496" behindDoc="0" locked="0" layoutInCell="1" allowOverlap="1">
                <wp:simplePos x="0" y="0"/>
                <wp:positionH relativeFrom="column">
                  <wp:posOffset>2301240</wp:posOffset>
                </wp:positionH>
                <wp:positionV relativeFrom="paragraph">
                  <wp:posOffset>504825</wp:posOffset>
                </wp:positionV>
                <wp:extent cx="3914140" cy="424180"/>
                <wp:effectExtent l="4445" t="5080" r="5715" b="8890"/>
                <wp:wrapNone/>
                <wp:docPr id="92" name="文本框 34"/>
                <wp:cNvGraphicFramePr/>
                <a:graphic xmlns:a="http://schemas.openxmlformats.org/drawingml/2006/main">
                  <a:graphicData uri="http://schemas.microsoft.com/office/word/2010/wordprocessingShape">
                    <wps:wsp>
                      <wps:cNvSpPr txBox="1"/>
                      <wps:spPr>
                        <a:xfrm>
                          <a:off x="0" y="0"/>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wps:txbx>
                      <wps:bodyPr upright="1"/>
                    </wps:wsp>
                  </a:graphicData>
                </a:graphic>
              </wp:anchor>
            </w:drawing>
          </mc:Choice>
          <mc:Fallback>
            <w:pict>
              <v:shape id="文本框 34" o:spid="_x0000_s1026" o:spt="202" type="#_x0000_t202" style="position:absolute;left:0pt;margin-left:181.2pt;margin-top:39.75pt;height:33.4pt;width:308.2pt;z-index:251754496;mso-width-relative:page;mso-height-relative:page;" fillcolor="#FFFFFF" filled="t" stroked="t" coordsize="21600,21600" o:gfxdata="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4FRmtkAAAAKAQAADwAAAAAAAAAB&#10;ACAAAAAiAAAAZHJzL2Rvd25yZXYueG1sUEsBAhQAFAAAAAgAh07iQCVp5sIPAgAAOAQAAA4AAAAA&#10;AAAAAQAgAAAAKAEAAGRycy9lMm9Eb2MueG1sUEsFBgAAAAAGAAYAWQEAAKkFAAAAAA==&#10;">
                <v:fill on="t" focussize="0,0"/>
                <v:stroke color="#000000" joinstyle="miter"/>
                <v:imagedata o:title=""/>
                <o:lock v:ext="edit" aspectratio="f"/>
                <v:textbo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18"/>
        </w:rPr>
        <mc:AlternateContent>
          <mc:Choice Requires="wpg">
            <w:drawing>
              <wp:anchor distT="0" distB="0" distL="114300" distR="114300" simplePos="0" relativeHeight="251757568" behindDoc="0" locked="0" layoutInCell="1" allowOverlap="1">
                <wp:simplePos x="0" y="0"/>
                <wp:positionH relativeFrom="column">
                  <wp:posOffset>1598295</wp:posOffset>
                </wp:positionH>
                <wp:positionV relativeFrom="paragraph">
                  <wp:posOffset>464185</wp:posOffset>
                </wp:positionV>
                <wp:extent cx="751840" cy="353060"/>
                <wp:effectExtent l="4445" t="0" r="0" b="0"/>
                <wp:wrapNone/>
                <wp:docPr id="115" name="组合 46"/>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99"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100" name="文本框 1881"/>
                        <wps:cNvSpPr txBox="1"/>
                        <wps:spPr>
                          <a:xfrm>
                            <a:off x="8924" y="1984447"/>
                            <a:ext cx="939" cy="556"/>
                          </a:xfrm>
                          <a:prstGeom prst="rect">
                            <a:avLst/>
                          </a:prstGeom>
                          <a:noFill/>
                          <a:ln>
                            <a:noFill/>
                          </a:ln>
                        </wps:spPr>
                        <wps:txbx>
                          <w:txbxContent>
                            <w:p w14:paraId="699D7BDD">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46" o:spid="_x0000_s1026" o:spt="203" style="position:absolute;left:0pt;margin-left:125.85pt;margin-top:36.55pt;height:27.8pt;width:59.2pt;z-index:251757568;mso-width-relative:page;mso-height-relative:page;" coordorigin="8678,1984447" coordsize="1184,556" o:gfxdata="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ztxVndkAAAAKAQAADwAAAAAAAAABACAAAAAiAAAAZHJzL2Rvd25yZXYueG1sUEsBAhQAFAAA&#10;AAgAh07iQBfXFjPSAgAAyAYAAA4AAAAAAAAAAQAgAAAAKAEAAGRycy9lMm9Eb2MueG1sUEsFBgAA&#10;AAAGAAYAWQEAAGwGAAAAAA==&#10;">
                <o:lock v:ext="edit" aspectratio="f"/>
                <v:shape id="椭圆 1879" o:spid="_x0000_s1026" o:spt="3" type="#_x0000_t3" style="position:absolute;left:8678;top:1984667;height:192;width:180;" fillcolor="#00B0F0" filled="t" stroked="t" coordsize="21600,21600" o:gfxdata="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9BDO/&#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9D7BDD">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6544" behindDoc="0" locked="0" layoutInCell="1" allowOverlap="1">
                <wp:simplePos x="0" y="0"/>
                <wp:positionH relativeFrom="column">
                  <wp:posOffset>1708150</wp:posOffset>
                </wp:positionH>
                <wp:positionV relativeFrom="paragraph">
                  <wp:posOffset>2080895</wp:posOffset>
                </wp:positionV>
                <wp:extent cx="752475" cy="353060"/>
                <wp:effectExtent l="4445" t="0" r="0" b="0"/>
                <wp:wrapNone/>
                <wp:docPr id="116" name="组合 71"/>
                <wp:cNvGraphicFramePr/>
                <a:graphic xmlns:a="http://schemas.openxmlformats.org/drawingml/2006/main">
                  <a:graphicData uri="http://schemas.microsoft.com/office/word/2010/wordprocessingGroup">
                    <wpg:wgp>
                      <wpg:cNvGrpSpPr/>
                      <wpg:grpSpPr>
                        <a:xfrm>
                          <a:off x="0" y="0"/>
                          <a:ext cx="752475" cy="353060"/>
                          <a:chOff x="8470" y="1984850"/>
                          <a:chExt cx="1185" cy="556"/>
                        </a:xfrm>
                      </wpg:grpSpPr>
                      <wps:wsp>
                        <wps:cNvPr id="96" name="椭圆 1879"/>
                        <wps:cNvSpPr/>
                        <wps:spPr>
                          <a:xfrm>
                            <a:off x="8470" y="1985070"/>
                            <a:ext cx="180" cy="192"/>
                          </a:xfrm>
                          <a:prstGeom prst="ellipse">
                            <a:avLst/>
                          </a:prstGeom>
                          <a:solidFill>
                            <a:srgbClr val="00B0F0"/>
                          </a:solidFill>
                          <a:ln w="9525" cap="flat" cmpd="sng">
                            <a:solidFill>
                              <a:srgbClr val="000000"/>
                            </a:solidFill>
                            <a:prstDash val="solid"/>
                            <a:headEnd type="none" w="med" len="med"/>
                            <a:tailEnd type="none" w="med" len="med"/>
                          </a:ln>
                        </wps:spPr>
                        <wps:bodyPr vert="horz" anchor="t" anchorCtr="0" upright="1"/>
                      </wps:wsp>
                      <wps:wsp>
                        <wps:cNvPr id="97" name="文本框 1881"/>
                        <wps:cNvSpPr txBox="1"/>
                        <wps:spPr>
                          <a:xfrm>
                            <a:off x="8716" y="1984850"/>
                            <a:ext cx="939" cy="556"/>
                          </a:xfrm>
                          <a:prstGeom prst="rect">
                            <a:avLst/>
                          </a:prstGeom>
                          <a:noFill/>
                          <a:ln>
                            <a:noFill/>
                          </a:ln>
                        </wps:spPr>
                        <wps:txbx>
                          <w:txbxContent>
                            <w:p w14:paraId="3E8A7C86">
                              <w:pPr>
                                <w:rPr>
                                  <w:rFonts w:hint="default" w:eastAsia="宋体"/>
                                  <w:b/>
                                  <w:bCs/>
                                  <w:highlight w:val="yellow"/>
                                  <w:lang w:val="en-US" w:eastAsia="zh-CN"/>
                                </w:rPr>
                              </w:pPr>
                              <w:r>
                                <w:rPr>
                                  <w:rFonts w:hint="eastAsia"/>
                                  <w:b/>
                                  <w:bCs/>
                                  <w:highlight w:val="yellow"/>
                                  <w:lang w:val="en-US" w:eastAsia="zh-CN"/>
                                </w:rPr>
                                <w:t>DA002</w:t>
                              </w:r>
                            </w:p>
                          </w:txbxContent>
                        </wps:txbx>
                        <wps:bodyPr vert="horz" anchor="t" anchorCtr="0" upright="1"/>
                      </wps:wsp>
                    </wpg:wgp>
                  </a:graphicData>
                </a:graphic>
              </wp:anchor>
            </w:drawing>
          </mc:Choice>
          <mc:Fallback>
            <w:pict>
              <v:group id="组合 71" o:spid="_x0000_s1026" o:spt="203" style="position:absolute;left:0pt;margin-left:134.5pt;margin-top:163.85pt;height:27.8pt;width:59.25pt;z-index:251756544;mso-width-relative:page;mso-height-relative:page;" coordorigin="8470,1984850" coordsize="1185,556" o:gfxdata="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ARvGjLcAAAACwEAAA8AAAAAAAAAAQAgAAAAIgAAAGRycy9k&#10;b3ducmV2LnhtbFBLAQIUABQAAAAIAIdO4kCSmcn14gIAABEHAAAOAAAAAAAAAAEAIAAAACsBAABk&#10;cnMvZTJvRG9jLnhtbFBLBQYAAAAABgAGAFkBAAB/BgAAAAA=&#10;">
                <o:lock v:ext="edit" aspectratio="f"/>
                <v:shape id="椭圆 1879" o:spid="_x0000_s1026" o:spt="3" type="#_x0000_t3" style="position:absolute;left:8470;top:1985070;height:192;width:180;" fillcolor="#00B0F0" filled="t" stroked="t" coordsize="21600,21600" o:gfxdata="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IpBB&#10;wAAAANsAAAAPAAAAAAAAAAEAIAAAACIAAABkcnMvZG93bnJldi54bWxQSwECFAAUAAAACACHTuJA&#10;My8FnjsAAAA5AAAAEAAAAAAAAAABACAAAAAPAQAAZHJzL3NoYXBleG1sLnhtbFBLBQYAAAAABgAG&#10;AFsBAAC5AwAAAAA=&#10;">
                  <v:fill on="t" focussize="0,0"/>
                  <v:stroke color="#000000" joinstyle="round"/>
                  <v:imagedata o:title=""/>
                  <o:lock v:ext="edit" aspectratio="f"/>
                </v:shape>
                <v:shape id="文本框 1881" o:spid="_x0000_s1026" o:spt="202" type="#_x0000_t202" style="position:absolute;left:8716;top:1984850;height:556;width:939;"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E8A7C86">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55520" behindDoc="0" locked="0" layoutInCell="1" allowOverlap="1">
                <wp:simplePos x="0" y="0"/>
                <wp:positionH relativeFrom="column">
                  <wp:posOffset>3287395</wp:posOffset>
                </wp:positionH>
                <wp:positionV relativeFrom="paragraph">
                  <wp:posOffset>1075690</wp:posOffset>
                </wp:positionV>
                <wp:extent cx="1961515" cy="663575"/>
                <wp:effectExtent l="0" t="0" r="635" b="3175"/>
                <wp:wrapNone/>
                <wp:docPr id="117" name="组合 36"/>
                <wp:cNvGraphicFramePr/>
                <a:graphic xmlns:a="http://schemas.openxmlformats.org/drawingml/2006/main">
                  <a:graphicData uri="http://schemas.microsoft.com/office/word/2010/wordprocessingGroup">
                    <wpg:wgp>
                      <wpg:cNvGrpSpPr/>
                      <wpg:grpSpPr>
                        <a:xfrm>
                          <a:off x="0" y="0"/>
                          <a:ext cx="1961515" cy="663575"/>
                          <a:chOff x="9034" y="1983295"/>
                          <a:chExt cx="1534" cy="744"/>
                        </a:xfrm>
                      </wpg:grpSpPr>
                      <wps:wsp>
                        <wps:cNvPr id="93" name="文本框 37"/>
                        <wps:cNvSpPr txBox="1"/>
                        <wps:spPr>
                          <a:xfrm>
                            <a:off x="9054" y="1983295"/>
                            <a:ext cx="1514" cy="709"/>
                          </a:xfrm>
                          <a:prstGeom prst="rect">
                            <a:avLst/>
                          </a:prstGeom>
                          <a:solidFill>
                            <a:srgbClr val="FFFFFF"/>
                          </a:solidFill>
                          <a:ln>
                            <a:noFill/>
                          </a:ln>
                        </wps:spPr>
                        <wps:txb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wps:txbx>
                        <wps:bodyPr vert="horz" anchor="t" anchorCtr="0" upright="1"/>
                      </wps:wsp>
                      <wps:wsp>
                        <wps:cNvPr id="94" name="文本框 38"/>
                        <wps:cNvSpPr txBox="1"/>
                        <wps:spPr>
                          <a:xfrm>
                            <a:off x="9034" y="1983561"/>
                            <a:ext cx="1514" cy="478"/>
                          </a:xfrm>
                          <a:prstGeom prst="rect">
                            <a:avLst/>
                          </a:prstGeom>
                          <a:noFill/>
                          <a:ln>
                            <a:noFill/>
                          </a:ln>
                        </wps:spPr>
                        <wps:txb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wps:txbx>
                        <wps:bodyPr vert="horz" anchor="t" anchorCtr="0" upright="1"/>
                      </wps:wsp>
                    </wpg:wgp>
                  </a:graphicData>
                </a:graphic>
              </wp:anchor>
            </w:drawing>
          </mc:Choice>
          <mc:Fallback>
            <w:pict>
              <v:group id="组合 36" o:spid="_x0000_s1026" o:spt="203" style="position:absolute;left:0pt;margin-left:258.85pt;margin-top:84.7pt;height:52.25pt;width:154.45pt;z-index:251755520;mso-width-relative:page;mso-height-relative:page;" coordorigin="9034,1983295" coordsize="1534,744" o:gfxdata="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8AJHNsAAAALAQAADwAAAAAAAAABACAA&#10;AAAiAAAAZHJzL2Rvd25yZXYueG1sUEsBAhQAFAAAAAgAh07iQFdNpaF8AgAAcAYAAA4AAAAAAAAA&#10;AQAgAAAAKgEAAGRycy9lMm9Eb2MueG1sUEsFBgAAAAAGAAYAWQEAABgGAAAAAA==&#10;">
                <o:lock v:ext="edit" aspectratio="f"/>
                <v:shape id="文本框 37" o:spid="_x0000_s1026" o:spt="202" type="#_x0000_t202" style="position:absolute;left:9054;top:1983295;height:709;width:1514;" fillcolor="#FFFFFF" filled="t" stroked="f" coordsize="21600,21600" o:gfxdata="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1M1X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v:textbox>
                </v:shape>
                <v:shape id="文本框 38" o:spid="_x0000_s1026" o:spt="202" type="#_x0000_t202" style="position:absolute;left:9034;top:1983561;height:478;width:1514;"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v:textbox>
                </v:shape>
              </v:group>
            </w:pict>
          </mc:Fallback>
        </mc:AlternateContent>
      </w:r>
      <w:r>
        <w:rPr>
          <w:color w:val="auto"/>
          <w:highlight w:val="none"/>
        </w:rPr>
        <w:drawing>
          <wp:inline distT="0" distB="0" distL="114300" distR="114300">
            <wp:extent cx="5694045" cy="3095625"/>
            <wp:effectExtent l="0" t="0" r="1905" b="9525"/>
            <wp:docPr id="177"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671"/>
                    <pic:cNvPicPr>
                      <a:picLocks noChangeAspect="1"/>
                    </pic:cNvPicPr>
                  </pic:nvPicPr>
                  <pic:blipFill>
                    <a:blip r:embed="rId69"/>
                    <a:stretch>
                      <a:fillRect/>
                    </a:stretch>
                  </pic:blipFill>
                  <pic:spPr>
                    <a:xfrm>
                      <a:off x="0" y="0"/>
                      <a:ext cx="5694045" cy="3095625"/>
                    </a:xfrm>
                    <a:prstGeom prst="rect">
                      <a:avLst/>
                    </a:prstGeom>
                    <a:noFill/>
                    <a:ln>
                      <a:noFill/>
                    </a:ln>
                  </pic:spPr>
                </pic:pic>
              </a:graphicData>
            </a:graphic>
          </wp:inline>
        </w:drawing>
      </w:r>
    </w:p>
    <w:p w14:paraId="7F8DF7EA">
      <w:pPr>
        <w:bidi w:val="0"/>
        <w:rPr>
          <w:rFonts w:hint="default"/>
          <w:color w:val="auto"/>
          <w:highlight w:val="none"/>
          <w:lang w:val="en-US" w:eastAsia="zh-CN"/>
        </w:rPr>
      </w:pPr>
    </w:p>
    <w:p w14:paraId="7861DB18">
      <w:pPr>
        <w:tabs>
          <w:tab w:val="left" w:pos="5855"/>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5" w:name="_Toc3620"/>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5-2</w:t>
      </w:r>
      <w:r>
        <w:rPr>
          <w:rFonts w:hint="default" w:ascii="Times New Roman" w:hAnsi="Times New Roman" w:eastAsia="宋体" w:cs="Times New Roman"/>
          <w:b/>
          <w:bCs/>
          <w:color w:val="auto"/>
          <w:sz w:val="24"/>
          <w:highlight w:val="none"/>
        </w:rPr>
        <w:t xml:space="preserve"> 项目</w:t>
      </w:r>
      <w:r>
        <w:rPr>
          <w:rFonts w:hint="eastAsia" w:ascii="Times New Roman" w:hAnsi="Times New Roman" w:eastAsia="宋体" w:cs="Times New Roman"/>
          <w:b/>
          <w:bCs/>
          <w:color w:val="auto"/>
          <w:sz w:val="24"/>
          <w:highlight w:val="none"/>
          <w:lang w:val="en-US" w:eastAsia="zh-CN"/>
        </w:rPr>
        <w:t>4#厂房</w:t>
      </w:r>
      <w:r>
        <w:rPr>
          <w:rFonts w:hint="default" w:ascii="Times New Roman" w:hAnsi="Times New Roman" w:eastAsia="宋体" w:cs="Times New Roman"/>
          <w:b/>
          <w:bCs/>
          <w:color w:val="auto"/>
          <w:sz w:val="24"/>
          <w:highlight w:val="none"/>
        </w:rPr>
        <w:t>平面</w:t>
      </w:r>
      <w:r>
        <w:rPr>
          <w:rFonts w:hint="default" w:ascii="Times New Roman" w:hAnsi="Times New Roman" w:cs="Times New Roman"/>
          <w:b/>
          <w:bCs/>
          <w:color w:val="auto"/>
          <w:sz w:val="24"/>
          <w:highlight w:val="none"/>
        </w:rPr>
        <w:t>布置图</w:t>
      </w:r>
      <w:bookmarkEnd w:id="75"/>
    </w:p>
    <w:p w14:paraId="2E63B14D">
      <w:pPr>
        <w:jc w:val="center"/>
        <w:outlineLvl w:val="9"/>
        <w:rPr>
          <w:rFonts w:hint="default"/>
          <w:color w:val="auto"/>
          <w:highlight w:val="none"/>
          <w:lang w:val="en-US" w:eastAsia="zh-CN"/>
        </w:rPr>
      </w:pPr>
      <w:r>
        <w:rPr>
          <w:color w:val="auto"/>
          <w:highlight w:val="none"/>
        </w:rPr>
        <w:drawing>
          <wp:inline distT="0" distB="0" distL="114300" distR="114300">
            <wp:extent cx="6765925" cy="3666490"/>
            <wp:effectExtent l="0" t="0" r="15875" b="10160"/>
            <wp:docPr id="119"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60"/>
                    <pic:cNvPicPr>
                      <a:picLocks noChangeAspect="1"/>
                    </pic:cNvPicPr>
                  </pic:nvPicPr>
                  <pic:blipFill>
                    <a:blip r:embed="rId70"/>
                    <a:stretch>
                      <a:fillRect/>
                    </a:stretch>
                  </pic:blipFill>
                  <pic:spPr>
                    <a:xfrm>
                      <a:off x="0" y="0"/>
                      <a:ext cx="6765925" cy="3666490"/>
                    </a:xfrm>
                    <a:prstGeom prst="rect">
                      <a:avLst/>
                    </a:prstGeom>
                    <a:noFill/>
                    <a:ln>
                      <a:noFill/>
                    </a:ln>
                  </pic:spPr>
                </pic:pic>
              </a:graphicData>
            </a:graphic>
          </wp:inline>
        </w:drawing>
      </w:r>
    </w:p>
    <w:p w14:paraId="3607CF44">
      <w:pPr>
        <w:bidi w:val="0"/>
        <w:rPr>
          <w:rFonts w:hint="default"/>
          <w:color w:val="auto"/>
          <w:highlight w:val="none"/>
          <w:lang w:val="en-US" w:eastAsia="zh-CN"/>
        </w:rPr>
      </w:pPr>
    </w:p>
    <w:p w14:paraId="0BD09C12">
      <w:pPr>
        <w:tabs>
          <w:tab w:val="left" w:pos="5239"/>
        </w:tabs>
        <w:bidi w:val="0"/>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6" w:name="_Toc4729"/>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5-3</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3#厂房</w:t>
      </w:r>
      <w:r>
        <w:rPr>
          <w:rFonts w:hint="default" w:ascii="Times New Roman" w:hAnsi="Times New Roman" w:cs="Times New Roman"/>
          <w:b/>
          <w:bCs/>
          <w:color w:val="auto"/>
          <w:sz w:val="24"/>
          <w:highlight w:val="none"/>
        </w:rPr>
        <w:t>平面布置图</w:t>
      </w:r>
      <w:bookmarkEnd w:id="76"/>
    </w:p>
    <w:p w14:paraId="760981A1">
      <w:pPr>
        <w:tabs>
          <w:tab w:val="left" w:pos="5239"/>
        </w:tabs>
        <w:bidi w:val="0"/>
        <w:jc w:val="center"/>
        <w:rPr>
          <w:color w:val="auto"/>
          <w:sz w:val="18"/>
          <w:highlight w:val="none"/>
        </w:rPr>
      </w:pPr>
      <w:r>
        <w:rPr>
          <w:color w:val="auto"/>
          <w:highlight w:val="none"/>
        </w:rPr>
        <w:drawing>
          <wp:inline distT="0" distB="0" distL="114300" distR="114300">
            <wp:extent cx="6352540" cy="3908425"/>
            <wp:effectExtent l="0" t="0" r="10160" b="15875"/>
            <wp:docPr id="120"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59"/>
                    <pic:cNvPicPr>
                      <a:picLocks noChangeAspect="1"/>
                    </pic:cNvPicPr>
                  </pic:nvPicPr>
                  <pic:blipFill>
                    <a:blip r:embed="rId71"/>
                    <a:stretch>
                      <a:fillRect/>
                    </a:stretch>
                  </pic:blipFill>
                  <pic:spPr>
                    <a:xfrm>
                      <a:off x="0" y="0"/>
                      <a:ext cx="6352540" cy="3908425"/>
                    </a:xfrm>
                    <a:prstGeom prst="rect">
                      <a:avLst/>
                    </a:prstGeom>
                    <a:noFill/>
                    <a:ln>
                      <a:noFill/>
                    </a:ln>
                  </pic:spPr>
                </pic:pic>
              </a:graphicData>
            </a:graphic>
          </wp:inline>
        </w:drawing>
      </w:r>
    </w:p>
    <w:p w14:paraId="08D6075A">
      <w:pPr>
        <w:bidi w:val="0"/>
        <w:rPr>
          <w:rFonts w:hint="default"/>
          <w:color w:val="auto"/>
          <w:kern w:val="2"/>
          <w:sz w:val="21"/>
          <w:szCs w:val="24"/>
          <w:highlight w:val="none"/>
          <w:lang w:val="en-US" w:eastAsia="zh-CN" w:bidi="ar-SA"/>
        </w:rPr>
      </w:pPr>
    </w:p>
    <w:p w14:paraId="4FF5EAA1">
      <w:pPr>
        <w:bidi w:val="0"/>
        <w:rPr>
          <w:rFonts w:hint="default"/>
          <w:color w:val="auto"/>
          <w:highlight w:val="none"/>
          <w:lang w:val="en-US" w:eastAsia="zh-CN"/>
        </w:rPr>
      </w:pPr>
    </w:p>
    <w:p w14:paraId="525FDD16">
      <w:pPr>
        <w:tabs>
          <w:tab w:val="left" w:pos="6061"/>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7" w:name="_Toc1393"/>
      <w:bookmarkStart w:id="78" w:name="_Toc22683"/>
      <w:bookmarkStart w:id="79" w:name="_Toc15186"/>
      <w:bookmarkStart w:id="80" w:name="_Toc8724"/>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5-4</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2#厂房</w:t>
      </w:r>
      <w:r>
        <w:rPr>
          <w:rFonts w:hint="default" w:ascii="Times New Roman" w:hAnsi="Times New Roman" w:cs="Times New Roman"/>
          <w:b/>
          <w:bCs/>
          <w:color w:val="auto"/>
          <w:sz w:val="24"/>
          <w:highlight w:val="none"/>
        </w:rPr>
        <w:t>平面布置图</w:t>
      </w:r>
      <w:bookmarkEnd w:id="77"/>
      <w:bookmarkEnd w:id="78"/>
      <w:bookmarkEnd w:id="79"/>
      <w:bookmarkEnd w:id="80"/>
    </w:p>
    <w:p w14:paraId="2D5F165D">
      <w:pPr>
        <w:bidi w:val="0"/>
        <w:rPr>
          <w:color w:val="auto"/>
          <w:highlight w:val="none"/>
        </w:rPr>
      </w:pPr>
      <w:bookmarkStart w:id="81" w:name="_Toc32466"/>
      <w:bookmarkStart w:id="82" w:name="_Toc31552"/>
      <w:bookmarkStart w:id="83" w:name="_Toc6851"/>
    </w:p>
    <w:p w14:paraId="69752B7E">
      <w:pPr>
        <w:bidi w:val="0"/>
        <w:rPr>
          <w:color w:val="auto"/>
          <w:highlight w:val="none"/>
        </w:rPr>
      </w:pPr>
    </w:p>
    <w:p w14:paraId="634715AA">
      <w:pPr>
        <w:tabs>
          <w:tab w:val="left" w:pos="5220"/>
        </w:tabs>
        <w:bidi w:val="0"/>
        <w:jc w:val="center"/>
        <w:rPr>
          <w:rFonts w:hint="eastAsia" w:eastAsia="宋体"/>
          <w:color w:val="auto"/>
          <w:highlight w:val="none"/>
          <w:lang w:eastAsia="zh-CN"/>
        </w:rPr>
      </w:pPr>
      <w:r>
        <w:rPr>
          <w:color w:val="auto"/>
          <w:highlight w:val="none"/>
        </w:rPr>
        <w:drawing>
          <wp:inline distT="0" distB="0" distL="114300" distR="114300">
            <wp:extent cx="4972050" cy="2781300"/>
            <wp:effectExtent l="0" t="0" r="0" b="0"/>
            <wp:docPr id="12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61"/>
                    <pic:cNvPicPr>
                      <a:picLocks noChangeAspect="1"/>
                    </pic:cNvPicPr>
                  </pic:nvPicPr>
                  <pic:blipFill>
                    <a:blip r:embed="rId72"/>
                    <a:stretch>
                      <a:fillRect/>
                    </a:stretch>
                  </pic:blipFill>
                  <pic:spPr>
                    <a:xfrm>
                      <a:off x="0" y="0"/>
                      <a:ext cx="4972050" cy="2781300"/>
                    </a:xfrm>
                    <a:prstGeom prst="rect">
                      <a:avLst/>
                    </a:prstGeom>
                    <a:noFill/>
                    <a:ln>
                      <a:noFill/>
                    </a:ln>
                  </pic:spPr>
                </pic:pic>
              </a:graphicData>
            </a:graphic>
          </wp:inline>
        </w:drawing>
      </w:r>
    </w:p>
    <w:p w14:paraId="12A3C080">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p>
    <w:p w14:paraId="4A7C0AC0">
      <w:pPr>
        <w:jc w:val="center"/>
        <w:outlineLvl w:val="9"/>
        <w:rPr>
          <w:rFonts w:hint="default" w:ascii="Times New Roman" w:hAnsi="Times New Roman" w:cs="Times New Roman"/>
          <w:b/>
          <w:bCs/>
          <w:color w:val="auto"/>
          <w:sz w:val="24"/>
          <w:highlight w:val="none"/>
        </w:rPr>
      </w:pPr>
    </w:p>
    <w:p w14:paraId="217BD6F5">
      <w:pPr>
        <w:bidi w:val="0"/>
        <w:rPr>
          <w:rFonts w:hint="default"/>
          <w:color w:val="auto"/>
          <w:kern w:val="2"/>
          <w:sz w:val="21"/>
          <w:szCs w:val="24"/>
          <w:highlight w:val="none"/>
          <w:lang w:val="en-US" w:eastAsia="zh-CN" w:bidi="ar-SA"/>
        </w:rPr>
      </w:pPr>
    </w:p>
    <w:p w14:paraId="627EE4F1">
      <w:pPr>
        <w:bidi w:val="0"/>
        <w:rPr>
          <w:rFonts w:hint="default"/>
          <w:color w:val="auto"/>
          <w:highlight w:val="none"/>
          <w:lang w:val="en-US" w:eastAsia="zh-CN"/>
        </w:rPr>
      </w:pPr>
    </w:p>
    <w:p w14:paraId="32D39522">
      <w:pPr>
        <w:tabs>
          <w:tab w:val="left" w:pos="5862"/>
        </w:tabs>
        <w:bidi w:val="0"/>
        <w:jc w:val="center"/>
        <w:outlineLvl w:val="0"/>
        <w:rPr>
          <w:color w:val="auto"/>
          <w:highlight w:val="none"/>
        </w:rPr>
      </w:pPr>
      <w:bookmarkStart w:id="84" w:name="_Toc24556"/>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5-5</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1#厂房</w:t>
      </w:r>
      <w:r>
        <w:rPr>
          <w:rFonts w:hint="default" w:ascii="Times New Roman" w:hAnsi="Times New Roman" w:cs="Times New Roman"/>
          <w:b/>
          <w:bCs/>
          <w:color w:val="auto"/>
          <w:sz w:val="24"/>
          <w:highlight w:val="none"/>
        </w:rPr>
        <w:t>平面布置图</w:t>
      </w:r>
      <w:bookmarkEnd w:id="84"/>
    </w:p>
    <w:p w14:paraId="69B23C0E">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5B9E4683">
      <w:pPr>
        <w:widowControl w:val="0"/>
        <w:autoSpaceDE w:val="0"/>
        <w:autoSpaceDN w:val="0"/>
        <w:adjustRightInd w:val="0"/>
        <w:jc w:val="center"/>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3756660</wp:posOffset>
                </wp:positionH>
                <wp:positionV relativeFrom="paragraph">
                  <wp:posOffset>3263900</wp:posOffset>
                </wp:positionV>
                <wp:extent cx="139065" cy="141605"/>
                <wp:effectExtent l="4445" t="4445" r="8890" b="6350"/>
                <wp:wrapNone/>
                <wp:docPr id="291" name="五角星 291"/>
                <wp:cNvGraphicFramePr/>
                <a:graphic xmlns:a="http://schemas.openxmlformats.org/drawingml/2006/main">
                  <a:graphicData uri="http://schemas.microsoft.com/office/word/2010/wordprocessingShape">
                    <wps:wsp>
                      <wps:cNvSpPr/>
                      <wps:spPr>
                        <a:xfrm>
                          <a:off x="3783965" y="2263140"/>
                          <a:ext cx="139065" cy="141605"/>
                        </a:xfrm>
                        <a:prstGeom prst="star5">
                          <a:avLst/>
                        </a:prstGeom>
                        <a:solidFill>
                          <a:srgbClr val="FF0000"/>
                        </a:solidFill>
                        <a:ln w="952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5.8pt;margin-top:257pt;height:11.15pt;width:10.95pt;z-index:251664384;v-text-anchor:middle;mso-width-relative:page;mso-height-relative:page;" fillcolor="#FF0000" filled="t" stroked="t" coordsize="139065,141605" o:gfxdata="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ZHfd2QAAAAsBAAAPAAAAAAAAAAEAIAAA&#10;ACIAAABkcnMvZG93bnJldi54bWxQSwECFAAUAAAACACHTuJA6+6Xm30CAAD9BAAADgAAAAAAAAAB&#10;ACAAAAAoAQAAZHJzL2Uyb0RvYy54bWxQSwUGAAAAAAYABgBZAQAAFwYAAAAA&#10;" path="m0,54088l53118,54088,69532,0,85946,54088,139064,54088,96091,87516,112505,141604,69532,108175,26559,141604,42973,87516xe">
                <v:path o:connectlocs="69532,0;0,54088;26559,141604;112505,141604;139064,54088" o:connectangles="247,164,82,82,0"/>
                <v:fill on="t" focussize="0,0"/>
                <v:stroke color="#000000" joinstyle="round"/>
                <v:imagedata o:title=""/>
                <o:lock v:ext="edit" aspectratio="f"/>
              </v:shape>
            </w:pict>
          </mc:Fallback>
        </mc:AlternateContent>
      </w: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4144010</wp:posOffset>
                </wp:positionH>
                <wp:positionV relativeFrom="paragraph">
                  <wp:posOffset>2464435</wp:posOffset>
                </wp:positionV>
                <wp:extent cx="967105" cy="358775"/>
                <wp:effectExtent l="306705" t="4445" r="21590" b="551180"/>
                <wp:wrapNone/>
                <wp:docPr id="7" name="圆角矩形标注 292"/>
                <wp:cNvGraphicFramePr/>
                <a:graphic xmlns:a="http://schemas.openxmlformats.org/drawingml/2006/main">
                  <a:graphicData uri="http://schemas.microsoft.com/office/word/2010/wordprocessingShape">
                    <wps:wsp>
                      <wps:cNvSpPr/>
                      <wps:spPr>
                        <a:xfrm>
                          <a:off x="0" y="0"/>
                          <a:ext cx="967105" cy="358775"/>
                        </a:xfrm>
                        <a:prstGeom prst="wedgeRoundRectCallout">
                          <a:avLst>
                            <a:gd name="adj1" fmla="val -81250"/>
                            <a:gd name="adj2" fmla="val 199204"/>
                            <a:gd name="adj3" fmla="val 16667"/>
                          </a:avLst>
                        </a:prstGeom>
                        <a:solidFill>
                          <a:srgbClr val="FFFFFF"/>
                        </a:solidFill>
                        <a:ln w="9525" cap="flat" cmpd="sng">
                          <a:solidFill>
                            <a:srgbClr val="000000"/>
                          </a:solidFill>
                          <a:prstDash val="solid"/>
                          <a:round/>
                          <a:headEnd type="none" w="med" len="med"/>
                          <a:tailEnd type="none" w="med" len="med"/>
                        </a:ln>
                      </wps:spPr>
                      <wps:txb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wps:txbx>
                      <wps:bodyPr vert="horz" wrap="square" anchor="ctr" anchorCtr="0" upright="1"/>
                    </wps:wsp>
                  </a:graphicData>
                </a:graphic>
              </wp:anchor>
            </w:drawing>
          </mc:Choice>
          <mc:Fallback>
            <w:pict>
              <v:shape id="圆角矩形标注 292" o:spid="_x0000_s1026" o:spt="62" type="#_x0000_t62" style="position:absolute;left:0pt;margin-left:326.3pt;margin-top:194.05pt;height:28.25pt;width:76.15pt;z-index:251665408;v-text-anchor:middle;mso-width-relative:page;mso-height-relative:page;" fillcolor="#FFFFFF" filled="t" stroked="t" coordsize="21600,21600" o:gfxdata="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dP5orbAAAACwEAAA8AAAAAAAAAAQAgAAAAIgAAAGRycy9k&#10;b3ducmV2LnhtbFBLAQIUABQAAAAIAIdO4kDiZJBRcQIAAPMEAAAOAAAAAAAAAAEAIAAAACoBAABk&#10;cnMvZTJvRG9jLnhtbFBLBQYAAAAABgAGAFkBAAANBgAAAAA=&#10;" adj="-6750,53828,14400">
                <v:fill on="t" focussize="0,0"/>
                <v:stroke color="#000000" joinstyle="round"/>
                <v:imagedata o:title=""/>
                <o:lock v:ext="edit" aspectratio="f"/>
                <v:textbo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v:textbox>
              </v:shape>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3425"/>
            <wp:effectExtent l="0" t="0" r="10160" b="9525"/>
            <wp:docPr id="277" name="IM 22"/>
            <wp:cNvGraphicFramePr/>
            <a:graphic xmlns:a="http://schemas.openxmlformats.org/drawingml/2006/main">
              <a:graphicData uri="http://schemas.openxmlformats.org/drawingml/2006/picture">
                <pic:pic xmlns:pic="http://schemas.openxmlformats.org/drawingml/2006/picture">
                  <pic:nvPicPr>
                    <pic:cNvPr id="277" name="IM 22"/>
                    <pic:cNvPicPr/>
                  </pic:nvPicPr>
                  <pic:blipFill>
                    <a:blip r:embed="rId73"/>
                    <a:stretch>
                      <a:fillRect/>
                    </a:stretch>
                  </pic:blipFill>
                  <pic:spPr>
                    <a:xfrm>
                      <a:off x="0" y="0"/>
                      <a:ext cx="5266690" cy="8354059"/>
                    </a:xfrm>
                    <a:prstGeom prst="rect">
                      <a:avLst/>
                    </a:prstGeom>
                  </pic:spPr>
                </pic:pic>
              </a:graphicData>
            </a:graphic>
          </wp:inline>
        </w:drawing>
      </w:r>
    </w:p>
    <w:p w14:paraId="5CAB3F73">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85" w:name="_Toc359"/>
      <w:bookmarkStart w:id="86" w:name="_Toc4763"/>
      <w:bookmarkStart w:id="87" w:name="_Toc12692"/>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项目所在区域大气</w:t>
      </w:r>
      <w:r>
        <w:rPr>
          <w:rFonts w:hint="eastAsia" w:ascii="Times New Roman" w:hAnsi="Times New Roman" w:cs="Times New Roman"/>
          <w:b/>
          <w:bCs/>
          <w:color w:val="auto"/>
          <w:sz w:val="24"/>
          <w:highlight w:val="none"/>
          <w:lang w:val="en-US" w:eastAsia="zh-CN"/>
        </w:rPr>
        <w:t>环境</w:t>
      </w:r>
      <w:r>
        <w:rPr>
          <w:rFonts w:hint="default" w:ascii="Times New Roman" w:hAnsi="Times New Roman" w:cs="Times New Roman"/>
          <w:b/>
          <w:bCs/>
          <w:color w:val="auto"/>
          <w:sz w:val="24"/>
          <w:highlight w:val="none"/>
        </w:rPr>
        <w:t>功能区划图</w:t>
      </w:r>
      <w:bookmarkEnd w:id="81"/>
      <w:bookmarkEnd w:id="85"/>
      <w:bookmarkEnd w:id="86"/>
      <w:bookmarkEnd w:id="87"/>
    </w:p>
    <w:p w14:paraId="23A92793">
      <w:pPr>
        <w:tabs>
          <w:tab w:val="left" w:pos="0"/>
        </w:tabs>
        <w:adjustRightInd w:val="0"/>
        <w:snapToGrid w:val="0"/>
        <w:spacing w:line="240" w:lineRule="auto"/>
        <w:ind w:right="26"/>
        <w:jc w:val="center"/>
        <w:rPr>
          <w:rFonts w:hint="default" w:ascii="Times New Roman" w:hAnsi="Times New Roman" w:eastAsia="宋体" w:cs="Times New Roman"/>
          <w:color w:val="auto"/>
          <w:highlight w:val="none"/>
        </w:rPr>
      </w:pPr>
      <w:bookmarkStart w:id="88" w:name="_Toc2916"/>
      <w:bookmarkStart w:id="89" w:name="_Toc17786"/>
      <w:bookmarkStart w:id="90" w:name="_Toc2027"/>
      <w:r>
        <w:rPr>
          <w:sz w:val="21"/>
        </w:rPr>
        <mc:AlternateContent>
          <mc:Choice Requires="wps">
            <w:drawing>
              <wp:anchor distT="0" distB="0" distL="114300" distR="114300" simplePos="0" relativeHeight="251759616" behindDoc="0" locked="0" layoutInCell="1" allowOverlap="1">
                <wp:simplePos x="0" y="0"/>
                <wp:positionH relativeFrom="column">
                  <wp:posOffset>4773295</wp:posOffset>
                </wp:positionH>
                <wp:positionV relativeFrom="paragraph">
                  <wp:posOffset>1914525</wp:posOffset>
                </wp:positionV>
                <wp:extent cx="1016000" cy="391795"/>
                <wp:effectExtent l="0" t="0" r="0" b="0"/>
                <wp:wrapNone/>
                <wp:docPr id="192" name="文本框 192"/>
                <wp:cNvGraphicFramePr/>
                <a:graphic xmlns:a="http://schemas.openxmlformats.org/drawingml/2006/main">
                  <a:graphicData uri="http://schemas.microsoft.com/office/word/2010/wordprocessingShape">
                    <wps:wsp>
                      <wps:cNvSpPr txBox="1"/>
                      <wps:spPr>
                        <a:xfrm>
                          <a:off x="5845810" y="3209290"/>
                          <a:ext cx="1016000" cy="391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85pt;margin-top:150.75pt;height:30.85pt;width:80pt;z-index:251759616;mso-width-relative:page;mso-height-relative:page;" filled="f" stroked="f" coordsize="21600,21600" o:gfxdata="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61XytwAAAALAQAA&#10;DwAAAAAAAAABACAAAAAiAAAAZHJzL2Rvd25yZXYueG1sUEsBAhQAFAAAAAgAh07iQHDWOLJOAgAA&#10;hAQAAA4AAAAAAAAAAQAgAAAAKwEAAGRycy9lMm9Eb2MueG1sUEsFBgAAAAAGAAYAWQEAAOsFAAAA&#10;AA==&#10;">
                <v:fill on="f" focussize="0,0"/>
                <v:stroke on="f" weight="0.5pt"/>
                <v:imagedata o:title=""/>
                <o:lock v:ext="edit" aspectratio="f"/>
                <v:textbo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v:textbox>
              </v:shape>
            </w:pict>
          </mc:Fallback>
        </mc:AlternateContent>
      </w:r>
      <w:r>
        <w:rPr>
          <w:sz w:val="21"/>
        </w:rPr>
        <mc:AlternateContent>
          <mc:Choice Requires="wps">
            <w:drawing>
              <wp:anchor distT="0" distB="0" distL="114300" distR="114300" simplePos="0" relativeHeight="251758592" behindDoc="0" locked="0" layoutInCell="1" allowOverlap="1">
                <wp:simplePos x="0" y="0"/>
                <wp:positionH relativeFrom="column">
                  <wp:posOffset>4660265</wp:posOffset>
                </wp:positionH>
                <wp:positionV relativeFrom="paragraph">
                  <wp:posOffset>971550</wp:posOffset>
                </wp:positionV>
                <wp:extent cx="190500" cy="4148455"/>
                <wp:effectExtent l="52705" t="635" r="23495" b="3810"/>
                <wp:wrapNone/>
                <wp:docPr id="191" name="直接箭头连接符 191"/>
                <wp:cNvGraphicFramePr/>
                <a:graphic xmlns:a="http://schemas.openxmlformats.org/drawingml/2006/main">
                  <a:graphicData uri="http://schemas.microsoft.com/office/word/2010/wordprocessingShape">
                    <wps:wsp>
                      <wps:cNvCnPr/>
                      <wps:spPr>
                        <a:xfrm flipH="1">
                          <a:off x="5560060" y="1748790"/>
                          <a:ext cx="190500" cy="4148455"/>
                        </a:xfrm>
                        <a:prstGeom prst="straightConnector1">
                          <a:avLst/>
                        </a:prstGeom>
                        <a:noFill/>
                        <a:ln w="25400" cap="flat" cmpd="sng" algn="ctr">
                          <a:solidFill>
                            <a:srgbClr val="FFFF00"/>
                          </a:solidFill>
                          <a:prstDash val="solid"/>
                          <a:tailEnd type="arrow"/>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66.95pt;margin-top:76.5pt;height:326.65pt;width:15pt;z-index:251758592;mso-width-relative:page;mso-height-relative:page;" filled="f" stroked="t" coordsize="21600,21600" o:gfxdata="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w7Z2tgAAAALAQAA&#10;DwAAAAAAAAABACAAAAAiAAAAZHJzL2Rvd25yZXYueG1sUEsBAhQAFAAAAAgAh07iQDsfGb0ZAgAA&#10;9QMAAA4AAAAAAAAAAQAgAAAAJwEAAGRycy9lMm9Eb2MueG1sUEsFBgAAAAAGAAYAWQEAALIFAAAA&#10;AA==&#10;">
                <v:fill on="f" focussize="0,0"/>
                <v:stroke weight="2pt" color="#FFFF00 [3204]" joinstyle="round" endarrow="open"/>
                <v:imagedata o:title=""/>
                <o:lock v:ext="edit" aspectratio="f"/>
              </v:shape>
            </w:pict>
          </mc:Fallback>
        </mc:AlternateContent>
      </w:r>
      <w:r>
        <w:rPr>
          <w:color w:val="auto"/>
          <w:highlight w:val="none"/>
        </w:rPr>
        <w:drawing>
          <wp:anchor distT="0" distB="0" distL="114300" distR="114300" simplePos="0" relativeHeight="251699200" behindDoc="0" locked="0" layoutInCell="1" allowOverlap="1">
            <wp:simplePos x="0" y="0"/>
            <wp:positionH relativeFrom="column">
              <wp:posOffset>7675245</wp:posOffset>
            </wp:positionH>
            <wp:positionV relativeFrom="paragraph">
              <wp:posOffset>28575</wp:posOffset>
            </wp:positionV>
            <wp:extent cx="1138555" cy="1067435"/>
            <wp:effectExtent l="0" t="0" r="4445" b="18415"/>
            <wp:wrapNone/>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74"/>
                    <a:stretch>
                      <a:fillRect/>
                    </a:stretch>
                  </pic:blipFill>
                  <pic:spPr>
                    <a:xfrm>
                      <a:off x="0" y="0"/>
                      <a:ext cx="1138555" cy="1067435"/>
                    </a:xfrm>
                    <a:prstGeom prst="rect">
                      <a:avLst/>
                    </a:prstGeom>
                    <a:noFill/>
                    <a:ln>
                      <a:noFill/>
                    </a:ln>
                  </pic:spPr>
                </pic:pic>
              </a:graphicData>
            </a:graphic>
          </wp:anchor>
        </w:drawing>
      </w:r>
      <w:r>
        <w:rPr>
          <w:rFonts w:hint="default" w:ascii="Times New Roman" w:hAnsi="Times New Roman" w:cs="Times New Roman"/>
          <w:color w:val="auto"/>
          <w:sz w:val="24"/>
          <w:highlight w:val="none"/>
        </w:rPr>
        <mc:AlternateContent>
          <mc:Choice Requires="wps">
            <w:drawing>
              <wp:anchor distT="0" distB="0" distL="114300" distR="114300" simplePos="0" relativeHeight="251698176" behindDoc="0" locked="0" layoutInCell="1" allowOverlap="1">
                <wp:simplePos x="0" y="0"/>
                <wp:positionH relativeFrom="column">
                  <wp:posOffset>827405</wp:posOffset>
                </wp:positionH>
                <wp:positionV relativeFrom="paragraph">
                  <wp:posOffset>5333365</wp:posOffset>
                </wp:positionV>
                <wp:extent cx="278130" cy="130810"/>
                <wp:effectExtent l="7620" t="8255" r="19050" b="13335"/>
                <wp:wrapNone/>
                <wp:docPr id="44" name="矩形 24"/>
                <wp:cNvGraphicFramePr/>
                <a:graphic xmlns:a="http://schemas.openxmlformats.org/drawingml/2006/main">
                  <a:graphicData uri="http://schemas.microsoft.com/office/word/2010/wordprocessingShape">
                    <wps:wsp>
                      <wps:cNvSpPr/>
                      <wps:spPr>
                        <a:xfrm>
                          <a:off x="0" y="0"/>
                          <a:ext cx="278130" cy="130810"/>
                        </a:xfrm>
                        <a:prstGeom prst="rect">
                          <a:avLst/>
                        </a:prstGeom>
                        <a:noFill/>
                        <a:ln w="15875" cap="flat" cmpd="sng">
                          <a:solidFill>
                            <a:srgbClr val="FF0000"/>
                          </a:solidFill>
                          <a:prstDash val="solid"/>
                          <a:miter/>
                          <a:headEnd type="none" w="med" len="med"/>
                          <a:tailEnd type="none" w="med" len="med"/>
                        </a:ln>
                      </wps:spPr>
                      <wps:bodyPr wrap="square" upright="1"/>
                    </wps:wsp>
                  </a:graphicData>
                </a:graphic>
              </wp:anchor>
            </w:drawing>
          </mc:Choice>
          <mc:Fallback>
            <w:pict>
              <v:rect id="矩形 24" o:spid="_x0000_s1026" o:spt="1" style="position:absolute;left:0pt;margin-left:65.15pt;margin-top:419.95pt;height:10.3pt;width:21.9pt;z-index:251698176;mso-width-relative:page;mso-height-relative:page;" filled="f" stroked="t" coordsize="21600,21600" o:gfxdata="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nbyptcAAAALAQAADwAAAAAAAAABACAAAAAiAAAAZHJzL2Rv&#10;d25yZXYueG1sUEsBAhQAFAAAAAgAh07iQPTat54CAgAABQQAAA4AAAAAAAAAAQAgAAAAJgEAAGRy&#10;cy9lMm9Eb2MueG1sUEsFBgAAAAAGAAYAWQEAAJoFAAAAAA==&#10;">
                <v:fill on="f" focussize="0,0"/>
                <v:stroke weight="1.25pt" color="#FF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97152" behindDoc="0" locked="0" layoutInCell="1" allowOverlap="1">
                <wp:simplePos x="0" y="0"/>
                <wp:positionH relativeFrom="column">
                  <wp:posOffset>52070</wp:posOffset>
                </wp:positionH>
                <wp:positionV relativeFrom="paragraph">
                  <wp:posOffset>4969510</wp:posOffset>
                </wp:positionV>
                <wp:extent cx="1219200" cy="614045"/>
                <wp:effectExtent l="4445" t="4445" r="14605" b="10160"/>
                <wp:wrapNone/>
                <wp:docPr id="43" name="矩形 25"/>
                <wp:cNvGraphicFramePr/>
                <a:graphic xmlns:a="http://schemas.openxmlformats.org/drawingml/2006/main">
                  <a:graphicData uri="http://schemas.microsoft.com/office/word/2010/wordprocessingShape">
                    <wps:wsp>
                      <wps:cNvSpPr/>
                      <wps:spPr>
                        <a:xfrm>
                          <a:off x="0" y="0"/>
                          <a:ext cx="1219200" cy="614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wps:txbx>
                      <wps:bodyPr wrap="square" upright="1"/>
                    </wps:wsp>
                  </a:graphicData>
                </a:graphic>
              </wp:anchor>
            </w:drawing>
          </mc:Choice>
          <mc:Fallback>
            <w:pict>
              <v:rect id="矩形 25" o:spid="_x0000_s1026" o:spt="1" style="position:absolute;left:0pt;margin-left:4.1pt;margin-top:391.3pt;height:48.35pt;width:96pt;z-index:251697152;mso-width-relative:page;mso-height-relative:page;" fillcolor="#FFFFFF" filled="t" stroked="t" coordsize="21600,21600" o:gfxdata="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92Lt1gAAAAkBAAAPAAAAAAAAAAEAIAAA&#10;ACIAAABkcnMvZG93bnJldi54bWxQSwECFAAUAAAACACHTuJAQK4r2w4CAAA5BAAADgAAAAAAAAAB&#10;ACAAAAAlAQAAZHJzL2Uyb0RvYy54bWxQSwUGAAAAAAYABgBZAQAApQUAAAAA&#10;">
                <v:fill on="t" focussize="0,0"/>
                <v:stroke color="#000000" joinstyle="miter"/>
                <v:imagedata o:title=""/>
                <o:lock v:ext="edit" aspectratio="f"/>
                <v:textbo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v:textbox>
              </v:rect>
            </w:pict>
          </mc:Fallback>
        </mc:AlternateContent>
      </w:r>
      <w:r>
        <w:drawing>
          <wp:inline distT="0" distB="0" distL="114300" distR="114300">
            <wp:extent cx="8857615" cy="5583555"/>
            <wp:effectExtent l="0" t="0" r="635" b="17145"/>
            <wp:docPr id="1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4"/>
                    <pic:cNvPicPr>
                      <a:picLocks noChangeAspect="1"/>
                    </pic:cNvPicPr>
                  </pic:nvPicPr>
                  <pic:blipFill>
                    <a:blip r:embed="rId75"/>
                    <a:stretch>
                      <a:fillRect/>
                    </a:stretch>
                  </pic:blipFill>
                  <pic:spPr>
                    <a:xfrm>
                      <a:off x="0" y="0"/>
                      <a:ext cx="8857615" cy="5583555"/>
                    </a:xfrm>
                    <a:prstGeom prst="rect">
                      <a:avLst/>
                    </a:prstGeom>
                    <a:noFill/>
                    <a:ln>
                      <a:noFill/>
                    </a:ln>
                  </pic:spPr>
                </pic:pic>
              </a:graphicData>
            </a:graphic>
          </wp:inline>
        </w:drawing>
      </w:r>
    </w:p>
    <w:p w14:paraId="6F7EF127">
      <w:pPr>
        <w:jc w:val="center"/>
        <w:outlineLvl w:val="0"/>
        <w:rPr>
          <w:rFonts w:hint="default" w:ascii="Times New Roman" w:hAnsi="Times New Roman" w:cs="Times New Roman"/>
          <w:color w:val="auto"/>
          <w:highlight w:val="none"/>
        </w:rPr>
      </w:pPr>
      <w:bookmarkStart w:id="91" w:name="_Toc24705"/>
      <w:bookmarkStart w:id="92" w:name="_Toc26460"/>
      <w:bookmarkStart w:id="93" w:name="_Toc24394"/>
      <w:bookmarkStart w:id="94" w:name="_Toc31670"/>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 xml:space="preserve"> 环境空气质量现状</w:t>
      </w:r>
      <w:r>
        <w:rPr>
          <w:rFonts w:hint="eastAsia" w:ascii="Times New Roman" w:hAnsi="Times New Roman" w:cs="Times New Roman"/>
          <w:b/>
          <w:bCs/>
          <w:color w:val="auto"/>
          <w:sz w:val="24"/>
          <w:highlight w:val="none"/>
          <w:lang w:val="en-US" w:eastAsia="zh-CN"/>
        </w:rPr>
        <w:t>引用</w:t>
      </w:r>
      <w:r>
        <w:rPr>
          <w:rFonts w:hint="default" w:ascii="Times New Roman" w:hAnsi="Times New Roman" w:cs="Times New Roman"/>
          <w:b/>
          <w:bCs/>
          <w:color w:val="auto"/>
          <w:sz w:val="24"/>
          <w:highlight w:val="none"/>
        </w:rPr>
        <w:t>监测布点示意图</w:t>
      </w:r>
      <w:bookmarkEnd w:id="91"/>
      <w:bookmarkEnd w:id="92"/>
      <w:bookmarkEnd w:id="93"/>
      <w:bookmarkEnd w:id="94"/>
    </w:p>
    <w:p w14:paraId="2F7C3301">
      <w:pPr>
        <w:rPr>
          <w:rFonts w:hint="default" w:ascii="Times New Roman" w:hAnsi="Times New Roman" w:cs="Times New Roman"/>
          <w:color w:val="auto"/>
          <w:highlight w:val="none"/>
        </w:rPr>
        <w:sectPr>
          <w:pgSz w:w="16783" w:h="11850" w:orient="landscape"/>
          <w:pgMar w:top="1191" w:right="1417" w:bottom="1134" w:left="1417" w:header="850" w:footer="850" w:gutter="340"/>
          <w:pgBorders>
            <w:top w:val="none" w:sz="0" w:space="0"/>
            <w:left w:val="none" w:sz="0" w:space="0"/>
            <w:bottom w:val="none" w:sz="0" w:space="0"/>
            <w:right w:val="none" w:sz="0" w:space="0"/>
          </w:pgBorders>
          <w:pgNumType w:fmt="decimal"/>
          <w:cols w:space="720" w:num="1"/>
          <w:docGrid w:type="lines" w:linePitch="412" w:charSpace="0"/>
        </w:sectPr>
      </w:pPr>
    </w:p>
    <w:p w14:paraId="08B32691">
      <w:pPr>
        <w:kinsoku w:val="0"/>
        <w:overflowPunct w:val="0"/>
        <w:adjustRightInd w:val="0"/>
        <w:snapToGrid w:val="0"/>
        <w:ind w:firstLine="420" w:firstLineChars="200"/>
        <w:jc w:val="center"/>
        <w:rPr>
          <w:color w:val="auto"/>
          <w:highlight w:val="none"/>
        </w:rPr>
      </w:pPr>
      <w:r>
        <w:rPr>
          <w:sz w:val="21"/>
        </w:rPr>
        <mc:AlternateContent>
          <mc:Choice Requires="wps">
            <w:drawing>
              <wp:anchor distT="0" distB="0" distL="114300" distR="114300" simplePos="0" relativeHeight="251774976" behindDoc="0" locked="0" layoutInCell="1" allowOverlap="1">
                <wp:simplePos x="0" y="0"/>
                <wp:positionH relativeFrom="column">
                  <wp:posOffset>2943225</wp:posOffset>
                </wp:positionH>
                <wp:positionV relativeFrom="paragraph">
                  <wp:posOffset>2451100</wp:posOffset>
                </wp:positionV>
                <wp:extent cx="76835" cy="97790"/>
                <wp:effectExtent l="4445" t="4445" r="13970" b="12065"/>
                <wp:wrapNone/>
                <wp:docPr id="283" name="矩形 1049"/>
                <wp:cNvGraphicFramePr/>
                <a:graphic xmlns:a="http://schemas.openxmlformats.org/drawingml/2006/main">
                  <a:graphicData uri="http://schemas.microsoft.com/office/word/2010/wordprocessingShape">
                    <wps:wsp>
                      <wps:cNvSpPr/>
                      <wps:spPr>
                        <a:xfrm>
                          <a:off x="5495925" y="2402205"/>
                          <a:ext cx="76835" cy="9779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49" o:spid="_x0000_s1026" o:spt="1" style="position:absolute;left:0pt;margin-left:231.75pt;margin-top:193pt;height:7.7pt;width:6.05pt;z-index:251774976;mso-width-relative:page;mso-height-relative:page;" fillcolor="#FF0000" filled="t" stroked="t" coordsize="21600,21600" o:gfxdata="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jwCu9oAAAALAQAADwAAAAAAAAABACAAAAAiAAAAZHJzL2Rvd25yZXYueG1sUEsBAhQA&#10;FAAAAAgAh07iQB2fcZkpAgAAXwQAAA4AAAAAAAAAAQAgAAAAKQEAAGRycy9lMm9Eb2MueG1sUEsF&#10;BgAAAAAGAAYAWQEAAMQFA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776000" behindDoc="0" locked="0" layoutInCell="1" allowOverlap="1">
                <wp:simplePos x="0" y="0"/>
                <wp:positionH relativeFrom="column">
                  <wp:posOffset>3227705</wp:posOffset>
                </wp:positionH>
                <wp:positionV relativeFrom="paragraph">
                  <wp:posOffset>3662045</wp:posOffset>
                </wp:positionV>
                <wp:extent cx="1070610" cy="334645"/>
                <wp:effectExtent l="237490" t="1126490" r="6350" b="5715"/>
                <wp:wrapNone/>
                <wp:docPr id="284" name="自选图形 1048"/>
                <wp:cNvGraphicFramePr/>
                <a:graphic xmlns:a="http://schemas.openxmlformats.org/drawingml/2006/main">
                  <a:graphicData uri="http://schemas.microsoft.com/office/word/2010/wordprocessingShape">
                    <wps:wsp>
                      <wps:cNvSpPr/>
                      <wps:spPr>
                        <a:xfrm>
                          <a:off x="3886200" y="2713990"/>
                          <a:ext cx="1070610" cy="334645"/>
                        </a:xfrm>
                        <a:prstGeom prst="wedgeRoundRectCallout">
                          <a:avLst>
                            <a:gd name="adj1" fmla="val -70581"/>
                            <a:gd name="adj2" fmla="val -376185"/>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a:graphicData>
                </a:graphic>
              </wp:anchor>
            </w:drawing>
          </mc:Choice>
          <mc:Fallback>
            <w:pict>
              <v:shape id="自选图形 1048" o:spid="_x0000_s1026" o:spt="62" type="#_x0000_t62" style="position:absolute;left:0pt;margin-left:254.15pt;margin-top:288.35pt;height:26.35pt;width:84.3pt;z-index:251776000;mso-width-relative:page;mso-height-relative:page;" fillcolor="#FFFFFF" filled="t" stroked="t" coordsize="21600,21600" o:gfxdata="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aJOirYAAAACwEAAA8AAAAAAAAAAQAgAAAAIgAA&#10;AGRycy9kb3ducmV2LnhtbFBLAQIUABQAAAAIAIdO4kDP5+AQegIAAPwEAAAOAAAAAAAAAAEAIAAA&#10;ACcBAABkcnMvZTJvRG9jLnhtbFBLBQYAAAAABgAGAFkBAAATBgAAAAA=&#10;" adj="-4445,-70456,14400">
                <v:fill on="t" focussize="0,0"/>
                <v:stroke color="#000000" joinstyle="miter"/>
                <v:imagedata o:title=""/>
                <o:lock v:ext="edit" aspectratio="f"/>
                <v:textbo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v:textbox>
              </v:shape>
            </w:pict>
          </mc:Fallback>
        </mc:AlternateContent>
      </w:r>
      <w:r>
        <w:rPr>
          <w:position w:val="-263"/>
        </w:rPr>
        <w:drawing>
          <wp:inline distT="0" distB="0" distL="0" distR="0">
            <wp:extent cx="5266690" cy="8353425"/>
            <wp:effectExtent l="0" t="0" r="10160" b="9525"/>
            <wp:docPr id="281" name="IM 12"/>
            <wp:cNvGraphicFramePr/>
            <a:graphic xmlns:a="http://schemas.openxmlformats.org/drawingml/2006/main">
              <a:graphicData uri="http://schemas.openxmlformats.org/drawingml/2006/picture">
                <pic:pic xmlns:pic="http://schemas.openxmlformats.org/drawingml/2006/picture">
                  <pic:nvPicPr>
                    <pic:cNvPr id="281" name="IM 12"/>
                    <pic:cNvPicPr/>
                  </pic:nvPicPr>
                  <pic:blipFill>
                    <a:blip r:embed="rId76"/>
                    <a:stretch>
                      <a:fillRect/>
                    </a:stretch>
                  </pic:blipFill>
                  <pic:spPr>
                    <a:xfrm>
                      <a:off x="0" y="0"/>
                      <a:ext cx="5266690" cy="8354059"/>
                    </a:xfrm>
                    <a:prstGeom prst="rect">
                      <a:avLst/>
                    </a:prstGeom>
                  </pic:spPr>
                </pic:pic>
              </a:graphicData>
            </a:graphic>
          </wp:inline>
        </w:drawing>
      </w:r>
    </w:p>
    <w:p w14:paraId="1E67C51F">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95" w:name="_Toc30060"/>
      <w:bookmarkStart w:id="96" w:name="_Toc14457"/>
      <w:bookmarkStart w:id="97" w:name="_Toc12408"/>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8</w:t>
      </w:r>
      <w:r>
        <w:rPr>
          <w:rFonts w:hint="default" w:ascii="Times New Roman" w:hAnsi="Times New Roman" w:cs="Times New Roman"/>
          <w:b/>
          <w:bCs/>
          <w:color w:val="auto"/>
          <w:sz w:val="24"/>
          <w:highlight w:val="none"/>
        </w:rPr>
        <w:t xml:space="preserve"> </w:t>
      </w:r>
      <w:bookmarkEnd w:id="88"/>
      <w:bookmarkEnd w:id="89"/>
      <w:r>
        <w:rPr>
          <w:rFonts w:hint="eastAsia" w:cs="Times New Roman"/>
          <w:b/>
          <w:bCs/>
          <w:color w:val="auto"/>
          <w:sz w:val="24"/>
          <w:highlight w:val="none"/>
          <w:lang w:val="en-US" w:eastAsia="zh-CN"/>
        </w:rPr>
        <w:t>项目周边水系</w:t>
      </w:r>
      <w:r>
        <w:rPr>
          <w:rFonts w:hint="default" w:ascii="Times New Roman" w:hAnsi="Times New Roman" w:cs="Times New Roman"/>
          <w:b/>
          <w:bCs/>
          <w:color w:val="auto"/>
          <w:sz w:val="24"/>
          <w:highlight w:val="none"/>
        </w:rPr>
        <w:t>图</w:t>
      </w:r>
      <w:bookmarkEnd w:id="90"/>
      <w:bookmarkEnd w:id="95"/>
      <w:bookmarkEnd w:id="96"/>
      <w:bookmarkEnd w:id="97"/>
    </w:p>
    <w:p w14:paraId="43BC44DF">
      <w:pPr>
        <w:widowControl w:val="0"/>
        <w:spacing w:line="240" w:lineRule="auto"/>
        <w:jc w:val="center"/>
        <w:rPr>
          <w:rFonts w:hint="eastAsia" w:ascii="宋体" w:hAnsi="Courier New" w:eastAsia="宋体" w:cs="Times New Roman"/>
          <w:color w:val="auto"/>
          <w:kern w:val="2"/>
          <w:sz w:val="21"/>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666432" behindDoc="0" locked="0" layoutInCell="1" allowOverlap="1">
                <wp:simplePos x="0" y="0"/>
                <wp:positionH relativeFrom="column">
                  <wp:posOffset>2892425</wp:posOffset>
                </wp:positionH>
                <wp:positionV relativeFrom="paragraph">
                  <wp:posOffset>1650365</wp:posOffset>
                </wp:positionV>
                <wp:extent cx="1685925" cy="645795"/>
                <wp:effectExtent l="4445" t="4445" r="24130" b="16510"/>
                <wp:wrapNone/>
                <wp:docPr id="122" name="组合 122"/>
                <wp:cNvGraphicFramePr/>
                <a:graphic xmlns:a="http://schemas.openxmlformats.org/drawingml/2006/main">
                  <a:graphicData uri="http://schemas.microsoft.com/office/word/2010/wordprocessingGroup">
                    <wpg:wgp>
                      <wpg:cNvGrpSpPr/>
                      <wpg:grpSpPr>
                        <a:xfrm>
                          <a:off x="0" y="0"/>
                          <a:ext cx="1685925" cy="645795"/>
                          <a:chOff x="10320" y="2647067"/>
                          <a:chExt cx="2655" cy="1017"/>
                        </a:xfrm>
                      </wpg:grpSpPr>
                      <wps:wsp>
                        <wps:cNvPr id="8" name="矩形 1049"/>
                        <wps:cNvSpPr/>
                        <wps:spPr>
                          <a:xfrm>
                            <a:off x="12855" y="2647067"/>
                            <a:ext cx="121" cy="154"/>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wps:wsp>
                        <wps:cNvPr id="9" name="自选图形 1048"/>
                        <wps:cNvSpPr/>
                        <wps:spPr>
                          <a:xfrm>
                            <a:off x="10320" y="2647558"/>
                            <a:ext cx="1686" cy="527"/>
                          </a:xfrm>
                          <a:prstGeom prst="wedgeRoundRectCallout">
                            <a:avLst>
                              <a:gd name="adj1" fmla="val 98458"/>
                              <a:gd name="adj2" fmla="val -12627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227.75pt;margin-top:129.95pt;height:50.85pt;width:132.75pt;z-index:251666432;mso-width-relative:page;mso-height-relative:page;" coordorigin="10320,2647067" coordsize="2655,1017" o:gfxdata="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9eEkKtwAAAALAQAADwAAAAAAAAABACAA&#10;AAAiAAAAZHJzL2Rvd25yZXYueG1sUEsBAhQAFAAAAAgAh07iQCTgO50mAwAAoggAAA4AAAAAAAAA&#10;AQAgAAAAKwEAAGRycy9lMm9Eb2MueG1sUEsFBgAAAAAGAAYAWQEAAMMGAAAAAA==&#10;">
                <o:lock v:ext="edit" aspectratio="f"/>
                <v:rect id="矩形 1049" o:spid="_x0000_s1026" o:spt="1" style="position:absolute;left:12855;top:2647067;height:154;width:121;"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rect>
                <v:shape id="自选图形 1048" o:spid="_x0000_s1026" o:spt="62" type="#_x0000_t62" style="position:absolute;left:10320;top:2647558;height:527;width:1686;" fillcolor="#FFFFFF" filled="t" stroked="t" coordsize="21600,21600" o:gfxdata="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QQwL4A&#10;AADaAAAADwAAAAAAAAABACAAAAAiAAAAZHJzL2Rvd25yZXYueG1sUEsBAhQAFAAAAAgAh07iQDMv&#10;BZ47AAAAOQAAABAAAAAAAAAAAQAgAAAADQEAAGRycy9zaGFwZXhtbC54bWxQSwUGAAAAAAYABgBb&#10;AQAAtwMAAAAA&#10;" adj="32067,-16476,14400">
                  <v:fill on="t" focussize="0,0"/>
                  <v:stroke color="#000000" joinstyle="miter"/>
                  <v:imagedata o:title=""/>
                  <o:lock v:ext="edit" aspectratio="f"/>
                  <v:textbo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sz w:val="21"/>
          <w:szCs w:val="20"/>
          <w:lang w:val="en-US" w:eastAsia="zh-CN" w:bidi="ar-SA"/>
        </w:rPr>
        <w:drawing>
          <wp:inline distT="0" distB="0" distL="114300" distR="114300">
            <wp:extent cx="5505450" cy="7839075"/>
            <wp:effectExtent l="0" t="0" r="0" b="9525"/>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77"/>
                    <a:stretch>
                      <a:fillRect/>
                    </a:stretch>
                  </pic:blipFill>
                  <pic:spPr>
                    <a:xfrm>
                      <a:off x="0" y="0"/>
                      <a:ext cx="5505450" cy="7839075"/>
                    </a:xfrm>
                    <a:prstGeom prst="rect">
                      <a:avLst/>
                    </a:prstGeom>
                    <a:noFill/>
                    <a:ln>
                      <a:noFill/>
                    </a:ln>
                  </pic:spPr>
                </pic:pic>
              </a:graphicData>
            </a:graphic>
          </wp:inline>
        </w:drawing>
      </w:r>
    </w:p>
    <w:p w14:paraId="72709BEB">
      <w:pPr>
        <w:widowControl w:val="0"/>
        <w:spacing w:line="240" w:lineRule="auto"/>
        <w:jc w:val="center"/>
        <w:outlineLvl w:val="0"/>
        <w:rPr>
          <w:rFonts w:hint="default" w:ascii="Times New Roman" w:hAnsi="Times New Roman" w:eastAsia="宋体" w:cs="Times New Roman"/>
          <w:b/>
          <w:bCs/>
          <w:color w:val="auto"/>
          <w:kern w:val="2"/>
          <w:sz w:val="24"/>
          <w:szCs w:val="20"/>
          <w:highlight w:val="none"/>
          <w:lang w:val="en-US" w:eastAsia="zh-CN" w:bidi="ar-SA"/>
        </w:rPr>
      </w:pPr>
      <w:bookmarkStart w:id="98" w:name="_Toc26349"/>
      <w:bookmarkStart w:id="99" w:name="_Toc7123"/>
      <w:bookmarkStart w:id="100" w:name="_Toc14682"/>
      <w:bookmarkStart w:id="101" w:name="_Toc13007"/>
      <w:r>
        <w:rPr>
          <w:rFonts w:hint="default" w:ascii="Times New Roman" w:hAnsi="Times New Roman" w:eastAsia="宋体" w:cs="Times New Roman"/>
          <w:b/>
          <w:bCs/>
          <w:color w:val="auto"/>
          <w:kern w:val="2"/>
          <w:sz w:val="24"/>
          <w:szCs w:val="20"/>
          <w:highlight w:val="none"/>
          <w:lang w:val="en-US" w:eastAsia="zh-CN" w:bidi="ar-SA"/>
        </w:rPr>
        <w:t>附图</w:t>
      </w:r>
      <w:r>
        <w:rPr>
          <w:rFonts w:hint="eastAsia" w:ascii="Times New Roman" w:hAnsi="Times New Roman" w:eastAsia="宋体" w:cs="Times New Roman"/>
          <w:b/>
          <w:bCs/>
          <w:color w:val="auto"/>
          <w:kern w:val="2"/>
          <w:sz w:val="24"/>
          <w:szCs w:val="20"/>
          <w:highlight w:val="none"/>
          <w:lang w:val="en-US" w:eastAsia="zh-CN" w:bidi="ar-SA"/>
        </w:rPr>
        <w:t>9</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项目所在区域声环境</w:t>
      </w:r>
      <w:r>
        <w:rPr>
          <w:rFonts w:hint="default" w:ascii="Times New Roman" w:hAnsi="Times New Roman" w:eastAsia="宋体" w:cs="Times New Roman"/>
          <w:b/>
          <w:bCs/>
          <w:color w:val="auto"/>
          <w:kern w:val="2"/>
          <w:sz w:val="24"/>
          <w:szCs w:val="20"/>
          <w:highlight w:val="none"/>
          <w:lang w:val="en-US" w:eastAsia="zh-CN" w:bidi="ar-SA"/>
        </w:rPr>
        <w:t>功能区</w:t>
      </w:r>
      <w:r>
        <w:rPr>
          <w:rFonts w:hint="eastAsia" w:ascii="Times New Roman" w:hAnsi="Times New Roman" w:eastAsia="宋体" w:cs="Times New Roman"/>
          <w:b/>
          <w:bCs/>
          <w:color w:val="auto"/>
          <w:kern w:val="2"/>
          <w:sz w:val="24"/>
          <w:szCs w:val="20"/>
          <w:highlight w:val="none"/>
          <w:lang w:val="en-US" w:eastAsia="zh-CN" w:bidi="ar-SA"/>
        </w:rPr>
        <w:t>区</w:t>
      </w:r>
      <w:r>
        <w:rPr>
          <w:rFonts w:hint="default" w:ascii="Times New Roman" w:hAnsi="Times New Roman" w:eastAsia="宋体" w:cs="Times New Roman"/>
          <w:b/>
          <w:bCs/>
          <w:color w:val="auto"/>
          <w:kern w:val="2"/>
          <w:sz w:val="24"/>
          <w:szCs w:val="20"/>
          <w:highlight w:val="none"/>
          <w:lang w:val="en-US" w:eastAsia="zh-CN" w:bidi="ar-SA"/>
        </w:rPr>
        <w:t>划图</w:t>
      </w:r>
      <w:bookmarkEnd w:id="98"/>
      <w:bookmarkEnd w:id="99"/>
      <w:bookmarkEnd w:id="100"/>
      <w:bookmarkEnd w:id="101"/>
    </w:p>
    <w:p w14:paraId="71B30ED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kern w:val="2"/>
          <w:sz w:val="24"/>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777024" behindDoc="0" locked="0" layoutInCell="1" allowOverlap="1">
                <wp:simplePos x="0" y="0"/>
                <wp:positionH relativeFrom="column">
                  <wp:posOffset>2231390</wp:posOffset>
                </wp:positionH>
                <wp:positionV relativeFrom="paragraph">
                  <wp:posOffset>392430</wp:posOffset>
                </wp:positionV>
                <wp:extent cx="1207135" cy="749300"/>
                <wp:effectExtent l="4445" t="5080" r="7620" b="7620"/>
                <wp:wrapNone/>
                <wp:docPr id="124" name="组合 124"/>
                <wp:cNvGraphicFramePr/>
                <a:graphic xmlns:a="http://schemas.openxmlformats.org/drawingml/2006/main">
                  <a:graphicData uri="http://schemas.microsoft.com/office/word/2010/wordprocessingGroup">
                    <wpg:wgp>
                      <wpg:cNvGrpSpPr/>
                      <wpg:grpSpPr>
                        <a:xfrm>
                          <a:off x="0" y="0"/>
                          <a:ext cx="1207135" cy="749300"/>
                          <a:chOff x="10105" y="2647558"/>
                          <a:chExt cx="1901" cy="1180"/>
                        </a:xfrm>
                      </wpg:grpSpPr>
                      <wps:wsp>
                        <wps:cNvPr id="287" name="矩形 1049"/>
                        <wps:cNvSpPr/>
                        <wps:spPr>
                          <a:xfrm>
                            <a:off x="10105" y="2648584"/>
                            <a:ext cx="121" cy="154"/>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wps:wsp>
                        <wps:cNvPr id="288" name="自选图形 1048"/>
                        <wps:cNvSpPr/>
                        <wps:spPr>
                          <a:xfrm>
                            <a:off x="10320" y="2647558"/>
                            <a:ext cx="1686" cy="527"/>
                          </a:xfrm>
                          <a:prstGeom prst="wedgeRoundRectCallout">
                            <a:avLst>
                              <a:gd name="adj1" fmla="val -55753"/>
                              <a:gd name="adj2" fmla="val 145635"/>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175.7pt;margin-top:30.9pt;height:59pt;width:95.05pt;z-index:251777024;mso-width-relative:page;mso-height-relative:page;" coordorigin="10105,2647558" coordsize="1901,1180" o:gfxdata="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DJUmrh2gAAAAoBAAAPAAAA&#10;AAAAAAEAIAAAACIAAABkcnMvZG93bnJldi54bWxQSwECFAAUAAAACACHTuJAZIZhfTADAACmCAAA&#10;DgAAAAAAAAABACAAAAApAQAAZHJzL2Uyb0RvYy54bWxQSwUGAAAAAAYABgBZAQAAywYAAAAA&#10;">
                <o:lock v:ext="edit" aspectratio="f"/>
                <v:rect id="矩形 1049" o:spid="_x0000_s1026" o:spt="1" style="position:absolute;left:10105;top:2648584;height:154;width:121;" fillcolor="#FF0000" filled="t" stroked="t" coordsize="21600,21600" o:gfxdata="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WZ0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v:shape id="自选图形 1048" o:spid="_x0000_s1026" o:spt="62" type="#_x0000_t62" style="position:absolute;left:10320;top:2647558;height:527;width:1686;" fillcolor="#FFFF00" filled="t" stroked="t" coordsize="21600,21600" o:gfxdata="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EGTrsAAADc&#10;AAAADwAAAAAAAAABACAAAAAiAAAAZHJzL2Rvd25yZXYueG1sUEsBAhQAFAAAAAgAh07iQDMvBZ47&#10;AAAAOQAAABAAAAAAAAAAAQAgAAAACgEAAGRycy9zaGFwZXhtbC54bWxQSwUGAAAAAAYABgBbAQAA&#10;tAMAAAAA&#10;" adj="-1243,42257,14400">
                  <v:fill on="t" focussize="0,0"/>
                  <v:stroke color="#000000" joinstyle="miter"/>
                  <v:imagedata o:title=""/>
                  <o:lock v:ext="edit" aspectratio="f"/>
                  <v:textbo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position w:val="-263"/>
          <w:sz w:val="21"/>
          <w:szCs w:val="20"/>
          <w:lang w:val="en-US" w:eastAsia="zh-CN" w:bidi="ar-SA"/>
        </w:rPr>
        <w:drawing>
          <wp:inline distT="0" distB="0" distL="0" distR="0">
            <wp:extent cx="5274945" cy="8242300"/>
            <wp:effectExtent l="0" t="0" r="1905" b="6350"/>
            <wp:docPr id="285" name="IM 18"/>
            <wp:cNvGraphicFramePr/>
            <a:graphic xmlns:a="http://schemas.openxmlformats.org/drawingml/2006/main">
              <a:graphicData uri="http://schemas.openxmlformats.org/drawingml/2006/picture">
                <pic:pic xmlns:pic="http://schemas.openxmlformats.org/drawingml/2006/picture">
                  <pic:nvPicPr>
                    <pic:cNvPr id="285" name="IM 18"/>
                    <pic:cNvPicPr/>
                  </pic:nvPicPr>
                  <pic:blipFill>
                    <a:blip r:embed="rId78"/>
                    <a:stretch>
                      <a:fillRect/>
                    </a:stretch>
                  </pic:blipFill>
                  <pic:spPr>
                    <a:xfrm>
                      <a:off x="0" y="0"/>
                      <a:ext cx="5275579" cy="8242300"/>
                    </a:xfrm>
                    <a:prstGeom prst="rect">
                      <a:avLst/>
                    </a:prstGeom>
                  </pic:spPr>
                </pic:pic>
              </a:graphicData>
            </a:graphic>
          </wp:inline>
        </w:drawing>
      </w:r>
    </w:p>
    <w:p w14:paraId="18C1C0D9">
      <w:pPr>
        <w:spacing w:line="240" w:lineRule="auto"/>
        <w:jc w:val="center"/>
        <w:outlineLvl w:val="0"/>
        <w:rPr>
          <w:rFonts w:hint="default" w:ascii="Times New Roman" w:hAnsi="Times New Roman" w:eastAsia="宋体" w:cs="Times New Roman"/>
          <w:b/>
          <w:bCs/>
          <w:color w:val="auto"/>
          <w:sz w:val="24"/>
          <w:highlight w:val="none"/>
          <w:lang w:val="en-US" w:eastAsia="zh-CN"/>
        </w:rPr>
        <w:sectPr>
          <w:pgSz w:w="11850" w:h="16783"/>
          <w:pgMar w:top="1440" w:right="969" w:bottom="1440" w:left="969" w:header="737"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102" w:name="_Toc1661"/>
      <w:r>
        <w:rPr>
          <w:rFonts w:hint="eastAsia" w:ascii="Times New Roman" w:hAnsi="Times New Roman" w:eastAsia="宋体" w:cs="Times New Roman"/>
          <w:b/>
          <w:bCs/>
          <w:color w:val="auto"/>
          <w:kern w:val="2"/>
          <w:sz w:val="24"/>
          <w:szCs w:val="20"/>
          <w:highlight w:val="none"/>
          <w:lang w:val="en-US" w:eastAsia="zh-CN" w:bidi="ar-SA"/>
        </w:rPr>
        <w:t>附图10 韶关乐昌经济开发区周边主要饮用水源保护区分布图</w:t>
      </w:r>
      <w:bookmarkEnd w:id="102"/>
    </w:p>
    <w:p w14:paraId="3ECE1FAA">
      <w:pPr>
        <w:widowControl w:val="0"/>
        <w:spacing w:line="240" w:lineRule="auto"/>
        <w:jc w:val="center"/>
        <w:rPr>
          <w:rFonts w:ascii="Times New Roman" w:hAnsi="Times New Roman" w:eastAsia="宋体" w:cs="宋体"/>
          <w:color w:val="auto"/>
          <w:kern w:val="2"/>
          <w:sz w:val="21"/>
          <w:szCs w:val="24"/>
          <w:highlight w:val="none"/>
          <w:lang w:val="en-US" w:eastAsia="zh-CN" w:bidi="ar-SA"/>
        </w:rPr>
      </w:pPr>
      <w:bookmarkStart w:id="103" w:name="_Toc30196"/>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6439535</wp:posOffset>
                </wp:positionH>
                <wp:positionV relativeFrom="paragraph">
                  <wp:posOffset>695325</wp:posOffset>
                </wp:positionV>
                <wp:extent cx="76835" cy="97790"/>
                <wp:effectExtent l="4445" t="4445" r="13970" b="12065"/>
                <wp:wrapNone/>
                <wp:docPr id="10" name="矩形 1051"/>
                <wp:cNvGraphicFramePr/>
                <a:graphic xmlns:a="http://schemas.openxmlformats.org/drawingml/2006/main">
                  <a:graphicData uri="http://schemas.microsoft.com/office/word/2010/wordprocessingShape">
                    <wps:wsp>
                      <wps:cNvSpPr/>
                      <wps:spPr>
                        <a:xfrm>
                          <a:off x="0" y="0"/>
                          <a:ext cx="76835" cy="9779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51" o:spid="_x0000_s1026" o:spt="1" style="position:absolute;left:0pt;margin-left:507.05pt;margin-top:54.75pt;height:7.7pt;width:6.05pt;z-index:251668480;mso-width-relative:page;mso-height-relative:page;" fillcolor="#FFFFFF" filled="t" stroked="t" coordsize="21600,21600" o:gfxdata="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wO+rzYAAAADQEA&#10;AA8AAAAAAAAAAQAgAAAAIgAAAGRycy9kb3ducmV2LnhtbFBLAQIUABQAAAAIAIdO4kDhW+/lGgIA&#10;AFIEAAAOAAAAAAAAAAEAIAAAACcBAABkcnMvZTJvRG9jLnhtbFBLBQYAAAAABgAGAFkBAACzBQAA&#10;AAA=&#10;">
                <v:fill on="t" focussize="0,0"/>
                <v:stroke color="#000000" joinstyle="miter"/>
                <v:imagedata o:title=""/>
                <o:lock v:ext="edit" aspectratio="f"/>
              </v:rect>
            </w:pict>
          </mc:Fallback>
        </mc:AlternateContent>
      </w: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712512" behindDoc="0" locked="0" layoutInCell="1" allowOverlap="1">
                <wp:simplePos x="0" y="0"/>
                <wp:positionH relativeFrom="column">
                  <wp:posOffset>6294120</wp:posOffset>
                </wp:positionH>
                <wp:positionV relativeFrom="paragraph">
                  <wp:posOffset>3924935</wp:posOffset>
                </wp:positionV>
                <wp:extent cx="1511935" cy="1400175"/>
                <wp:effectExtent l="6350" t="6350" r="24765" b="22225"/>
                <wp:wrapNone/>
                <wp:docPr id="171" name="矩形 171"/>
                <wp:cNvGraphicFramePr/>
                <a:graphic xmlns:a="http://schemas.openxmlformats.org/drawingml/2006/main">
                  <a:graphicData uri="http://schemas.microsoft.com/office/word/2010/wordprocessingShape">
                    <wps:wsp>
                      <wps:cNvSpPr/>
                      <wps:spPr>
                        <a:xfrm>
                          <a:off x="8428355" y="5351145"/>
                          <a:ext cx="1511935" cy="1400175"/>
                        </a:xfrm>
                        <a:prstGeom prst="rect">
                          <a:avLst/>
                        </a:prstGeom>
                        <a:solidFill>
                          <a:srgbClr val="E7E6E6"/>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5.6pt;margin-top:309.05pt;height:110.25pt;width:119.05pt;z-index:251712512;v-text-anchor:middle;mso-width-relative:page;mso-height-relative:page;" fillcolor="#E7E6E6" filled="t" stroked="t" coordsize="21600,21600" o:gfxdata="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jthNv9oAAAAMAQAADwAA&#10;AAAAAAABACAAAAAiAAAAZHJzL2Rvd25yZXYueG1sUEsBAhQAFAAAAAgAh07iQIaCraqGAgAAEwUA&#10;AA4AAAAAAAAAAQAgAAAAKQEAAGRycy9lMm9Eb2MueG1sUEsFBgAAAAAGAAYAWQEAACEGAAAAAA==&#10;">
                <v:fill on="t" focussize="0,0"/>
                <v:stroke weight="1pt" color="#000000" miterlimit="8" joinstyle="miter"/>
                <v:imagedata o:title=""/>
                <o:lock v:ext="edit" aspectratio="f"/>
              </v:rect>
            </w:pict>
          </mc:Fallback>
        </mc:AlternateContent>
      </w:r>
      <w:r>
        <w:rPr>
          <w:rFonts w:ascii="宋体" w:hAnsi="Courier New" w:eastAsia="宋体" w:cs="Times New Roman"/>
          <w:kern w:val="2"/>
          <w:sz w:val="24"/>
          <w:szCs w:val="20"/>
          <w:lang w:val="en-US" w:eastAsia="zh-CN" w:bidi="ar-SA"/>
        </w:rPr>
        <mc:AlternateContent>
          <mc:Choice Requires="wpg">
            <w:drawing>
              <wp:anchor distT="0" distB="0" distL="114300" distR="114300" simplePos="0" relativeHeight="251717632" behindDoc="0" locked="0" layoutInCell="1" allowOverlap="1">
                <wp:simplePos x="0" y="0"/>
                <wp:positionH relativeFrom="column">
                  <wp:posOffset>6223000</wp:posOffset>
                </wp:positionH>
                <wp:positionV relativeFrom="paragraph">
                  <wp:posOffset>3872865</wp:posOffset>
                </wp:positionV>
                <wp:extent cx="1534160" cy="1474470"/>
                <wp:effectExtent l="0" t="0" r="0" b="0"/>
                <wp:wrapNone/>
                <wp:docPr id="125" name="组合 125"/>
                <wp:cNvGraphicFramePr/>
                <a:graphic xmlns:a="http://schemas.openxmlformats.org/drawingml/2006/main">
                  <a:graphicData uri="http://schemas.microsoft.com/office/word/2010/wordprocessingGroup">
                    <wpg:wgp>
                      <wpg:cNvGrpSpPr/>
                      <wpg:grpSpPr>
                        <a:xfrm>
                          <a:off x="0" y="0"/>
                          <a:ext cx="1534160" cy="1474470"/>
                          <a:chOff x="12749" y="2690222"/>
                          <a:chExt cx="2416" cy="2322"/>
                        </a:xfrm>
                      </wpg:grpSpPr>
                      <wps:wsp>
                        <wps:cNvPr id="172" name="文本框 172"/>
                        <wps:cNvSpPr txBox="1"/>
                        <wps:spPr>
                          <a:xfrm>
                            <a:off x="12749" y="2690222"/>
                            <a:ext cx="2416" cy="2322"/>
                          </a:xfrm>
                          <a:prstGeom prst="rect">
                            <a:avLst/>
                          </a:prstGeom>
                          <a:noFill/>
                          <a:ln w="6350">
                            <a:noFill/>
                          </a:ln>
                          <a:effectLst/>
                        </wps:spPr>
                        <wps:txb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矩形 173"/>
                        <wps:cNvSpPr/>
                        <wps:spPr>
                          <a:xfrm>
                            <a:off x="14381" y="2690910"/>
                            <a:ext cx="540" cy="330"/>
                          </a:xfrm>
                          <a:prstGeom prst="rect">
                            <a:avLst/>
                          </a:prstGeom>
                          <a:noFill/>
                          <a:ln w="19050" cap="flat" cmpd="sng">
                            <a:solidFill>
                              <a:srgbClr val="FF0000"/>
                            </a:solidFill>
                            <a:prstDash val="solid"/>
                            <a:miter/>
                            <a:headEnd type="none" w="med" len="med"/>
                            <a:tailEnd type="none" w="med" len="med"/>
                          </a:ln>
                        </wps:spPr>
                        <wps:bodyPr vert="horz" wrap="square" anchor="ctr" anchorCtr="0" upright="1"/>
                      </wps:wsp>
                      <wps:wsp>
                        <wps:cNvPr id="59" name="矩形 176"/>
                        <wps:cNvSpPr/>
                        <wps:spPr>
                          <a:xfrm>
                            <a:off x="14351" y="2691915"/>
                            <a:ext cx="540" cy="330"/>
                          </a:xfrm>
                          <a:prstGeom prst="rect">
                            <a:avLst/>
                          </a:prstGeom>
                          <a:noFill/>
                          <a:ln w="19050" cap="flat" cmpd="sng">
                            <a:solidFill>
                              <a:srgbClr val="1CDBE2"/>
                            </a:solidFill>
                            <a:prstDash val="solid"/>
                            <a:miter/>
                            <a:headEnd type="none" w="med" len="med"/>
                            <a:tailEnd type="none" w="med" len="med"/>
                          </a:ln>
                        </wps:spPr>
                        <wps:bodyPr vert="horz" wrap="square" anchor="ctr" anchorCtr="0" upright="1"/>
                      </wps:wsp>
                      <wps:wsp>
                        <wps:cNvPr id="60" name="矩形 175"/>
                        <wps:cNvSpPr/>
                        <wps:spPr>
                          <a:xfrm>
                            <a:off x="14366" y="2691405"/>
                            <a:ext cx="540" cy="330"/>
                          </a:xfrm>
                          <a:prstGeom prst="rect">
                            <a:avLst/>
                          </a:prstGeom>
                          <a:noFill/>
                          <a:ln w="19050" cap="flat" cmpd="sng">
                            <a:solidFill>
                              <a:srgbClr val="FFFF00"/>
                            </a:solidFill>
                            <a:prstDash val="solid"/>
                            <a:miter/>
                            <a:headEnd type="none" w="med" len="med"/>
                            <a:tailEnd type="none" w="med" len="med"/>
                          </a:ln>
                        </wps:spPr>
                        <wps:bodyPr vert="horz" wrap="square" anchor="ctr" anchorCtr="0" upright="1"/>
                      </wps:wsp>
                    </wpg:wgp>
                  </a:graphicData>
                </a:graphic>
              </wp:anchor>
            </w:drawing>
          </mc:Choice>
          <mc:Fallback>
            <w:pict>
              <v:group id="_x0000_s1026" o:spid="_x0000_s1026" o:spt="203" style="position:absolute;left:0pt;margin-left:490pt;margin-top:304.95pt;height:116.1pt;width:120.8pt;z-index:251717632;mso-width-relative:page;mso-height-relative:page;" coordorigin="12749,2690222" coordsize="2416,2322" o:gfxdata="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">
                <o:lock v:ext="edit" aspectratio="f"/>
                <v:shape id="_x0000_s1026" o:spid="_x0000_s1026" o:spt="202" type="#_x0000_t202" style="position:absolute;left:12749;top:2690222;height:2322;width:2416;" filled="f" stroked="f" coordsize="21600,21600" o:gfxdata="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SRR+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v:textbox>
                </v:shape>
                <v:rect id="矩形 173" o:spid="_x0000_s1026" o:spt="1" style="position:absolute;left:14381;top:2690910;height:330;width:540;v-text-anchor:middle;" filled="f" stroked="t" coordsize="21600,21600" o:gfxdata="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ybdpugAAANsA&#10;AAAPAAAAAAAAAAEAIAAAACIAAABkcnMvZG93bnJldi54bWxQSwECFAAUAAAACACHTuJAMy8FnjsA&#10;AAA5AAAAEAAAAAAAAAABACAAAAAJAQAAZHJzL3NoYXBleG1sLnhtbFBLBQYAAAAABgAGAFsBAACz&#10;AwAAAAA=&#10;">
                  <v:fill on="f" focussize="0,0"/>
                  <v:stroke weight="1.5pt" color="#FF0000" joinstyle="miter"/>
                  <v:imagedata o:title=""/>
                  <o:lock v:ext="edit" aspectratio="f"/>
                </v:rect>
                <v:rect id="矩形 176" o:spid="_x0000_s1026" o:spt="1" style="position:absolute;left:14351;top:2691915;height:330;width:540;v-text-anchor:middle;" filled="f" stroked="t" coordsize="21600,21600" o:gfxdata="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Nl8W/&#10;AAAA2wAAAA8AAAAAAAAAAQAgAAAAIgAAAGRycy9kb3ducmV2LnhtbFBLAQIUABQAAAAIAIdO4kAz&#10;LwWeOwAAADkAAAAQAAAAAAAAAAEAIAAAAA4BAABkcnMvc2hhcGV4bWwueG1sUEsFBgAAAAAGAAYA&#10;WwEAALgDAAAAAA==&#10;">
                  <v:fill on="f" focussize="0,0"/>
                  <v:stroke weight="1.5pt" color="#1CDBE2" joinstyle="miter"/>
                  <v:imagedata o:title=""/>
                  <o:lock v:ext="edit" aspectratio="f"/>
                </v:rect>
                <v:rect id="矩形 175" o:spid="_x0000_s1026" o:spt="1" style="position:absolute;left:14366;top:2691405;height:330;width:540;v-text-anchor:middle;" filled="f" stroked="t" coordsize="21600,21600" o:gfxdata="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HhxubUAAADbAAAADwAA&#10;AAAAAAABACAAAAAiAAAAZHJzL2Rvd25yZXYueG1sUEsBAhQAFAAAAAgAh07iQDMvBZ47AAAAOQAA&#10;ABAAAAAAAAAAAQAgAAAABAEAAGRycy9zaGFwZXhtbC54bWxQSwUGAAAAAAYABgBbAQAArgMAAAAA&#10;">
                  <v:fill on="f" focussize="0,0"/>
                  <v:stroke weight="1.5pt" color="#FFFF00" joinstyle="miter"/>
                  <v:imagedata o:title=""/>
                  <o:lock v:ext="edit" aspectratio="f"/>
                </v:rect>
              </v:group>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8352" behindDoc="0" locked="0" layoutInCell="1" allowOverlap="1">
                <wp:simplePos x="0" y="0"/>
                <wp:positionH relativeFrom="column">
                  <wp:posOffset>4665980</wp:posOffset>
                </wp:positionH>
                <wp:positionV relativeFrom="paragraph">
                  <wp:posOffset>1536700</wp:posOffset>
                </wp:positionV>
                <wp:extent cx="692785" cy="914400"/>
                <wp:effectExtent l="0" t="0" r="0" b="0"/>
                <wp:wrapNone/>
                <wp:docPr id="80" name="文本框 175"/>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wps:txbx>
                      <wps:bodyPr wrap="square" upright="0">
                        <a:spAutoFit/>
                      </wps:bodyPr>
                    </wps:wsp>
                  </a:graphicData>
                </a:graphic>
              </wp:anchor>
            </w:drawing>
          </mc:Choice>
          <mc:Fallback>
            <w:pict>
              <v:shape id="文本框 175" o:spid="_x0000_s1026" o:spt="202" type="#_x0000_t202" style="position:absolute;left:0pt;margin-left:367.4pt;margin-top:121pt;height:72pt;width:54.55pt;z-index:251748352;mso-width-relative:page;mso-height-relative:page;" filled="f" stroked="f" coordsize="21600,21600" o:gfxdata="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RlRlvZAAAACwEAAA8AAAAAAAAAAQAgAAAAIgAAAGRycy9kb3du&#10;cmV2LnhtbFBLAQIUABQAAAAIAIdO4kAE9u1DxQEAAHgDAAAOAAAAAAAAAAEAIAAAACgBAABkcnMv&#10;ZTJvRG9jLnhtbFBLBQYAAAAABgAGAFkBAABfBQAAAAA=&#10;">
                <v:fill on="f" focussize="0,0"/>
                <v:stroke on="f"/>
                <v:imagedata o:title=""/>
                <o:lock v:ext="edit" aspectratio="f"/>
                <v:textbox style="mso-fit-shape-to-text:t;">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7328" behindDoc="0" locked="0" layoutInCell="1" allowOverlap="1">
                <wp:simplePos x="0" y="0"/>
                <wp:positionH relativeFrom="column">
                  <wp:posOffset>4411980</wp:posOffset>
                </wp:positionH>
                <wp:positionV relativeFrom="paragraph">
                  <wp:posOffset>1225550</wp:posOffset>
                </wp:positionV>
                <wp:extent cx="692785" cy="914400"/>
                <wp:effectExtent l="0" t="0" r="0" b="0"/>
                <wp:wrapNone/>
                <wp:docPr id="79" name="文本框 174"/>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wps:txbx>
                      <wps:bodyPr vert="horz" wrap="square" anchor="t" anchorCtr="0" upright="0">
                        <a:spAutoFit/>
                      </wps:bodyPr>
                    </wps:wsp>
                  </a:graphicData>
                </a:graphic>
              </wp:anchor>
            </w:drawing>
          </mc:Choice>
          <mc:Fallback>
            <w:pict>
              <v:shape id="文本框 174" o:spid="_x0000_s1026" o:spt="202" type="#_x0000_t202" style="position:absolute;left:0pt;margin-left:347.4pt;margin-top:96.5pt;height:72pt;width:54.55pt;z-index:251747328;mso-width-relative:page;mso-height-relative:page;" filled="f" stroked="f" coordsize="21600,21600" o:gfxdata="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4Pa4QtgAAAALAQAADwAAAAAA&#10;AAABACAAAAAiAAAAZHJzL2Rvd25yZXYueG1sUEsBAhQAFAAAAAgAh07iQOkKwLHaAQAAnQMAAA4A&#10;AAAAAAAAAQAgAAAAJwEAAGRycy9lMm9Eb2MueG1sUEsFBgAAAAAGAAYAWQEAAHMFAAAAAA==&#10;">
                <v:fill on="f" focussize="0,0"/>
                <v:stroke on="f"/>
                <v:imagedata o:title=""/>
                <o:lock v:ext="edit" aspectratio="f"/>
                <v:textbox style="mso-fit-shape-to-text:t;">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6304" behindDoc="0" locked="0" layoutInCell="1" allowOverlap="1">
                <wp:simplePos x="0" y="0"/>
                <wp:positionH relativeFrom="column">
                  <wp:posOffset>4368165</wp:posOffset>
                </wp:positionH>
                <wp:positionV relativeFrom="paragraph">
                  <wp:posOffset>1108075</wp:posOffset>
                </wp:positionV>
                <wp:extent cx="455930" cy="1218565"/>
                <wp:effectExtent l="4445" t="1905" r="15875" b="17780"/>
                <wp:wrapNone/>
                <wp:docPr id="78" name="任意多边形 173"/>
                <wp:cNvGraphicFramePr/>
                <a:graphic xmlns:a="http://schemas.openxmlformats.org/drawingml/2006/main">
                  <a:graphicData uri="http://schemas.microsoft.com/office/word/2010/wordprocessingShape">
                    <wps:wsp>
                      <wps:cNvSpPr/>
                      <wps:spPr>
                        <a:xfrm>
                          <a:off x="0" y="0"/>
                          <a:ext cx="455930" cy="1218565"/>
                        </a:xfrm>
                        <a:custGeom>
                          <a:avLst/>
                          <a:gdLst/>
                          <a:ahLst/>
                          <a:cxnLst/>
                          <a:pathLst>
                            <a:path w="718" h="1919">
                              <a:moveTo>
                                <a:pt x="718" y="0"/>
                              </a:moveTo>
                              <a:lnTo>
                                <a:pt x="0" y="1919"/>
                              </a:lnTo>
                            </a:path>
                          </a:pathLst>
                        </a:custGeom>
                        <a:solidFill>
                          <a:srgbClr val="21DDDB"/>
                        </a:solidFill>
                        <a:ln w="9525" cap="flat" cmpd="sng">
                          <a:solidFill>
                            <a:srgbClr val="21DDDB"/>
                          </a:solidFill>
                          <a:prstDash val="solid"/>
                          <a:headEnd type="none" w="med" len="med"/>
                          <a:tailEnd type="none" w="med" len="med"/>
                        </a:ln>
                      </wps:spPr>
                      <wps:bodyPr vert="horz" wrap="square" anchor="t" anchorCtr="0" upright="1"/>
                    </wps:wsp>
                  </a:graphicData>
                </a:graphic>
              </wp:anchor>
            </w:drawing>
          </mc:Choice>
          <mc:Fallback>
            <w:pict>
              <v:shape id="任意多边形 173" o:spid="_x0000_s1026" o:spt="100" style="position:absolute;left:0pt;margin-left:343.95pt;margin-top:87.25pt;height:95.95pt;width:35.9pt;z-index:251746304;mso-width-relative:page;mso-height-relative:page;" fillcolor="#21DDDB" filled="t" stroked="t" coordsize="718,1919" o:gfxdata="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6KhhZ2QAAAAsBAAAPAAAAAAAAAAEAIAAAACIAAABkcnMvZG93bnJldi54bWxQSwECFAAUAAAA&#10;CACHTuJAxkDWFl8CAADwBAAADgAAAAAAAAABACAAAAAoAQAAZHJzL2Uyb0RvYy54bWxQSwUGAAAA&#10;AAYABgBZAQAA+QUAAAAA&#10;" path="m718,0l0,1919e">
                <v:fill on="t" focussize="0,0"/>
                <v:stroke color="#21DDDB"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5280" behindDoc="0" locked="0" layoutInCell="1" allowOverlap="1">
                <wp:simplePos x="0" y="0"/>
                <wp:positionH relativeFrom="column">
                  <wp:posOffset>4723130</wp:posOffset>
                </wp:positionH>
                <wp:positionV relativeFrom="paragraph">
                  <wp:posOffset>833120</wp:posOffset>
                </wp:positionV>
                <wp:extent cx="914400" cy="914400"/>
                <wp:effectExtent l="0" t="0" r="0" b="0"/>
                <wp:wrapNone/>
                <wp:docPr id="77" name="文本框 17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wps:spPr>
                      <wps:txbx>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wps:txbx>
                      <wps:bodyPr vert="horz" wrap="square" anchor="t" anchorCtr="0" upright="0">
                        <a:spAutoFit/>
                      </wps:bodyPr>
                    </wps:wsp>
                  </a:graphicData>
                </a:graphic>
              </wp:anchor>
            </w:drawing>
          </mc:Choice>
          <mc:Fallback>
            <w:pict>
              <v:shape id="文本框 172" o:spid="_x0000_s1026" o:spt="202" type="#_x0000_t202" style="position:absolute;left:0pt;margin-left:371.9pt;margin-top:65.6pt;height:72pt;width:72pt;z-index:251745280;mso-width-relative:page;mso-height-relative:page;" filled="f" stroked="f" coordsize="21600,21600" o:gfxdata="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NRIvtgAAAALAQAADwAAAAAAAAABACAA&#10;AAAiAAAAZHJzL2Rvd25yZXYueG1sUEsBAhQAFAAAAAgAh07iQBOcyAvUAQAAnQMAAA4AAAAAAAAA&#10;AQAgAAAAJwEAAGRycy9lMm9Eb2MueG1sUEsFBgAAAAAGAAYAWQEAAG0FAAAAAA==&#10;">
                <v:fill on="f" focussize="0,0"/>
                <v:stroke on="f"/>
                <v:imagedata o:title=""/>
                <o:lock v:ext="edit" aspectratio="f"/>
                <v:textbox style="mso-fit-shape-to-text:t;">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4256" behindDoc="0" locked="0" layoutInCell="1" allowOverlap="1">
                <wp:simplePos x="0" y="0"/>
                <wp:positionH relativeFrom="column">
                  <wp:posOffset>4832350</wp:posOffset>
                </wp:positionH>
                <wp:positionV relativeFrom="paragraph">
                  <wp:posOffset>836295</wp:posOffset>
                </wp:positionV>
                <wp:extent cx="259080" cy="271780"/>
                <wp:effectExtent l="4445" t="4445" r="22225" b="9525"/>
                <wp:wrapNone/>
                <wp:docPr id="76" name="任意多边形 169"/>
                <wp:cNvGraphicFramePr/>
                <a:graphic xmlns:a="http://schemas.openxmlformats.org/drawingml/2006/main">
                  <a:graphicData uri="http://schemas.microsoft.com/office/word/2010/wordprocessingShape">
                    <wps:wsp>
                      <wps:cNvSpPr/>
                      <wps:spPr>
                        <a:xfrm>
                          <a:off x="0" y="0"/>
                          <a:ext cx="259080" cy="271780"/>
                        </a:xfrm>
                        <a:custGeom>
                          <a:avLst/>
                          <a:gdLst/>
                          <a:ahLst/>
                          <a:cxnLst/>
                          <a:pathLst>
                            <a:path w="408" h="428">
                              <a:moveTo>
                                <a:pt x="8" y="428"/>
                              </a:moveTo>
                              <a:lnTo>
                                <a:pt x="0" y="22"/>
                              </a:lnTo>
                              <a:lnTo>
                                <a:pt x="322" y="0"/>
                              </a:lnTo>
                              <a:lnTo>
                                <a:pt x="408" y="378"/>
                              </a:lnTo>
                              <a:lnTo>
                                <a:pt x="315" y="428"/>
                              </a:lnTo>
                              <a:lnTo>
                                <a:pt x="8" y="428"/>
                              </a:lnTo>
                              <a:close/>
                            </a:path>
                          </a:pathLst>
                        </a:custGeom>
                        <a:noFill/>
                        <a:ln w="9525" cap="flat" cmpd="sng">
                          <a:solidFill>
                            <a:srgbClr val="FFFF00"/>
                          </a:solidFill>
                          <a:prstDash val="solid"/>
                          <a:headEnd type="none" w="med" len="med"/>
                          <a:tailEnd type="none" w="med" len="med"/>
                        </a:ln>
                      </wps:spPr>
                      <wps:bodyPr vert="horz" wrap="square" anchor="t" anchorCtr="0" upright="1"/>
                    </wps:wsp>
                  </a:graphicData>
                </a:graphic>
              </wp:anchor>
            </w:drawing>
          </mc:Choice>
          <mc:Fallback>
            <w:pict>
              <v:shape id="任意多边形 169" o:spid="_x0000_s1026" o:spt="100" style="position:absolute;left:0pt;margin-left:380.5pt;margin-top:65.85pt;height:21.4pt;width:20.4pt;z-index:251744256;mso-width-relative:page;mso-height-relative:page;" filled="f" stroked="t" coordsize="408,428" o:gfxdata="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yVIML2gAAAAsBAAAP&#10;AAAAAAAAAAEAIAAAACIAAABkcnMvZG93bnJldi54bWxQSwECFAAUAAAACACHTuJATDi+yIgCAABp&#10;BQAADgAAAAAAAAABACAAAAApAQAAZHJzL2Uyb0RvYy54bWxQSwUGAAAAAAYABgBZAQAAIwYAAAAA&#10;" path="m8,428l0,22,322,0,408,378,315,428,8,428xe">
                <v:fill on="f" focussize="0,0"/>
                <v:stroke color="#FFFF00"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w:drawing>
          <wp:inline distT="0" distB="0" distL="114300" distR="114300">
            <wp:extent cx="7306310" cy="5487670"/>
            <wp:effectExtent l="0" t="0" r="8890" b="17780"/>
            <wp:docPr id="126"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609"/>
                    <pic:cNvPicPr>
                      <a:picLocks noChangeAspect="1"/>
                    </pic:cNvPicPr>
                  </pic:nvPicPr>
                  <pic:blipFill>
                    <a:blip r:embed="rId79"/>
                    <a:stretch>
                      <a:fillRect/>
                    </a:stretch>
                  </pic:blipFill>
                  <pic:spPr>
                    <a:xfrm>
                      <a:off x="0" y="0"/>
                      <a:ext cx="7306310" cy="5487670"/>
                    </a:xfrm>
                    <a:prstGeom prst="rect">
                      <a:avLst/>
                    </a:prstGeom>
                    <a:noFill/>
                    <a:ln>
                      <a:noFill/>
                    </a:ln>
                  </pic:spPr>
                </pic:pic>
              </a:graphicData>
            </a:graphic>
          </wp:inline>
        </w:drawing>
      </w:r>
      <w:r>
        <w:rPr>
          <w:rFonts w:ascii="宋体" w:hAnsi="Courier New" w:eastAsia="宋体" w:cs="Times New Roman"/>
          <w:color w:val="auto"/>
          <w:kern w:val="2"/>
          <w:sz w:val="21"/>
          <w:szCs w:val="20"/>
          <w:highlight w:val="none"/>
          <w:lang w:val="en-US" w:eastAsia="zh-CN" w:bidi="ar-SA"/>
        </w:rPr>
        <w:drawing>
          <wp:anchor distT="0" distB="0" distL="114300" distR="114300" simplePos="0" relativeHeight="251713536" behindDoc="0" locked="0" layoutInCell="1" allowOverlap="1">
            <wp:simplePos x="0" y="0"/>
            <wp:positionH relativeFrom="column">
              <wp:posOffset>6791960</wp:posOffset>
            </wp:positionH>
            <wp:positionV relativeFrom="paragraph">
              <wp:posOffset>34925</wp:posOffset>
            </wp:positionV>
            <wp:extent cx="1039495" cy="975360"/>
            <wp:effectExtent l="0" t="0" r="8255" b="15240"/>
            <wp:wrapNone/>
            <wp:docPr id="61" name="图片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88"/>
                    <pic:cNvPicPr>
                      <a:picLocks noChangeAspect="1"/>
                    </pic:cNvPicPr>
                  </pic:nvPicPr>
                  <pic:blipFill>
                    <a:blip r:embed="rId80"/>
                    <a:stretch>
                      <a:fillRect/>
                    </a:stretch>
                  </pic:blipFill>
                  <pic:spPr>
                    <a:xfrm>
                      <a:off x="0" y="0"/>
                      <a:ext cx="1039495" cy="975360"/>
                    </a:xfrm>
                    <a:prstGeom prst="rect">
                      <a:avLst/>
                    </a:prstGeom>
                    <a:noFill/>
                    <a:ln>
                      <a:noFill/>
                    </a:ln>
                  </pic:spPr>
                </pic:pic>
              </a:graphicData>
            </a:graphic>
          </wp:anchor>
        </w:drawing>
      </w:r>
      <w:bookmarkStart w:id="104" w:name="_Toc31546"/>
    </w:p>
    <w:bookmarkEnd w:id="104"/>
    <w:p w14:paraId="6F619C7E">
      <w:pPr>
        <w:spacing w:line="240" w:lineRule="auto"/>
        <w:jc w:val="center"/>
        <w:outlineLvl w:val="0"/>
        <w:rPr>
          <w:rFonts w:hint="default" w:ascii="Times New Roman" w:hAnsi="Times New Roman" w:eastAsia="宋体" w:cs="Times New Roman"/>
          <w:color w:val="auto"/>
          <w:highlight w:val="none"/>
        </w:rPr>
      </w:pPr>
      <w:bookmarkStart w:id="105" w:name="_Toc23610"/>
      <w:r>
        <w:rPr>
          <w:rFonts w:hint="default" w:ascii="Times New Roman" w:hAnsi="Times New Roman" w:eastAsia="宋体" w:cs="Times New Roman"/>
          <w:b/>
          <w:bCs/>
          <w:color w:val="auto"/>
          <w:sz w:val="24"/>
          <w:highlight w:val="none"/>
        </w:rPr>
        <w:t>附</w:t>
      </w:r>
      <w:r>
        <w:rPr>
          <w:rFonts w:hint="default" w:ascii="Times New Roman" w:hAnsi="Times New Roman" w:eastAsia="宋体" w:cs="Times New Roman"/>
          <w:b/>
          <w:bCs/>
          <w:color w:val="auto"/>
          <w:kern w:val="2"/>
          <w:sz w:val="24"/>
          <w:szCs w:val="20"/>
          <w:highlight w:val="none"/>
          <w:lang w:val="en-US" w:eastAsia="zh-CN" w:bidi="ar-SA"/>
        </w:rPr>
        <w:t>图</w:t>
      </w:r>
      <w:r>
        <w:rPr>
          <w:rFonts w:hint="eastAsia" w:ascii="Times New Roman" w:hAnsi="Times New Roman" w:eastAsia="宋体" w:cs="Times New Roman"/>
          <w:b/>
          <w:bCs/>
          <w:color w:val="auto"/>
          <w:kern w:val="2"/>
          <w:sz w:val="24"/>
          <w:szCs w:val="20"/>
          <w:highlight w:val="none"/>
          <w:lang w:val="en-US" w:eastAsia="zh-CN" w:bidi="ar-SA"/>
        </w:rPr>
        <w:t>11</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项目周边</w:t>
      </w:r>
      <w:r>
        <w:rPr>
          <w:rFonts w:hint="default" w:ascii="Times New Roman" w:hAnsi="Times New Roman" w:eastAsia="宋体" w:cs="Times New Roman"/>
          <w:b/>
          <w:bCs/>
          <w:color w:val="auto"/>
          <w:kern w:val="2"/>
          <w:sz w:val="24"/>
          <w:szCs w:val="20"/>
          <w:highlight w:val="none"/>
          <w:lang w:val="en-US" w:eastAsia="zh-CN" w:bidi="ar-SA"/>
        </w:rPr>
        <w:t>环境</w:t>
      </w:r>
      <w:r>
        <w:rPr>
          <w:rFonts w:hint="default" w:ascii="Times New Roman" w:hAnsi="Times New Roman" w:eastAsia="宋体" w:cs="Times New Roman"/>
          <w:b/>
          <w:bCs/>
          <w:color w:val="auto"/>
          <w:sz w:val="24"/>
          <w:highlight w:val="none"/>
          <w:lang w:val="en-US" w:eastAsia="zh-CN"/>
        </w:rPr>
        <w:t>保护目标分布</w:t>
      </w:r>
      <w:r>
        <w:rPr>
          <w:rFonts w:hint="default" w:ascii="Times New Roman" w:hAnsi="Times New Roman" w:eastAsia="宋体" w:cs="Times New Roman"/>
          <w:b/>
          <w:bCs/>
          <w:color w:val="auto"/>
          <w:sz w:val="24"/>
          <w:highlight w:val="none"/>
        </w:rPr>
        <w:t>示意图</w:t>
      </w:r>
      <w:bookmarkEnd w:id="105"/>
    </w:p>
    <w:p w14:paraId="0B2884C0">
      <w:pPr>
        <w:jc w:val="center"/>
        <w:rPr>
          <w:rFonts w:ascii="Times New Roman"/>
          <w:color w:val="auto"/>
          <w:highlight w:val="none"/>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720" w:num="1"/>
          <w:rtlGutter w:val="0"/>
          <w:docGrid w:type="lines" w:linePitch="334" w:charSpace="0"/>
        </w:sectPr>
      </w:pPr>
    </w:p>
    <w:bookmarkEnd w:id="103"/>
    <w:p w14:paraId="0C3845A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6282055</wp:posOffset>
                </wp:positionH>
                <wp:positionV relativeFrom="paragraph">
                  <wp:posOffset>1232535</wp:posOffset>
                </wp:positionV>
                <wp:extent cx="777875" cy="365760"/>
                <wp:effectExtent l="541020" t="4445" r="14605" b="239395"/>
                <wp:wrapNone/>
                <wp:docPr id="11" name="自选图形 1119"/>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115218"/>
                            <a:gd name="adj2" fmla="val 105384"/>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119" o:spid="_x0000_s1026" o:spt="62" type="#_x0000_t62" style="position:absolute;left:0pt;margin-left:494.65pt;margin-top:97.05pt;height:28.8pt;width:61.25pt;z-index:251667456;mso-width-relative:page;mso-height-relative:page;" fillcolor="#FFFFFF" filled="t" stroked="t" coordsize="21600,21600" o:gfxdata="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rYFx1wAAAAwBAAAPAAAAAAAAAAEAIAAAACIAAABkcnMvZG93bnJldi54bWxQ&#10;SwECFAAUAAAACACHTuJAyoYDTWoCAADuBAAADgAAAAAAAAABACAAAAAmAQAAZHJzL2Uyb0RvYy54&#10;bWxQSwUGAAAAAAYABgBZAQAAAgYAAAAA&#10;" adj="-14087,33563,14400">
                <v:fill on="t" focussize="0,0"/>
                <v:stroke color="#000000" joinstyle="miter"/>
                <v:imagedata o:title=""/>
                <o:lock v:ext="edit" aspectratio="f"/>
                <v:textbo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宋体....." w:hAnsi="Times New Roman" w:eastAsia="宋体....." w:cs="宋体....."/>
          <w:color w:val="auto"/>
          <w:kern w:val="2"/>
          <w:sz w:val="21"/>
          <w:szCs w:val="24"/>
          <w:highlight w:val="none"/>
          <w:lang w:val="en-US" w:eastAsia="zh-CN" w:bidi="ar-SA"/>
        </w:rPr>
        <mc:AlternateContent>
          <mc:Choice Requires="wps">
            <w:drawing>
              <wp:anchor distT="0" distB="0" distL="114300" distR="114300" simplePos="0" relativeHeight="251714560" behindDoc="0" locked="0" layoutInCell="1" allowOverlap="1">
                <wp:simplePos x="0" y="0"/>
                <wp:positionH relativeFrom="column">
                  <wp:posOffset>5472430</wp:posOffset>
                </wp:positionH>
                <wp:positionV relativeFrom="paragraph">
                  <wp:posOffset>1755140</wp:posOffset>
                </wp:positionV>
                <wp:extent cx="394970" cy="327025"/>
                <wp:effectExtent l="6350" t="6350" r="17780" b="9525"/>
                <wp:wrapNone/>
                <wp:docPr id="62" name="任意多边形 118"/>
                <wp:cNvGraphicFramePr/>
                <a:graphic xmlns:a="http://schemas.openxmlformats.org/drawingml/2006/main">
                  <a:graphicData uri="http://schemas.microsoft.com/office/word/2010/wordprocessingShape">
                    <wps:wsp>
                      <wps:cNvSpPr/>
                      <wps:spPr>
                        <a:xfrm>
                          <a:off x="0" y="0"/>
                          <a:ext cx="394970" cy="327025"/>
                        </a:xfrm>
                        <a:custGeom>
                          <a:avLst/>
                          <a:gdLst/>
                          <a:ahLst/>
                          <a:cxnLst/>
                          <a:pathLst>
                            <a:path w="622" h="515">
                              <a:moveTo>
                                <a:pt x="504" y="515"/>
                              </a:moveTo>
                              <a:lnTo>
                                <a:pt x="590" y="128"/>
                              </a:lnTo>
                              <a:lnTo>
                                <a:pt x="622" y="0"/>
                              </a:lnTo>
                              <a:lnTo>
                                <a:pt x="11" y="22"/>
                              </a:lnTo>
                              <a:lnTo>
                                <a:pt x="0" y="428"/>
                              </a:lnTo>
                              <a:lnTo>
                                <a:pt x="504" y="515"/>
                              </a:lnTo>
                              <a:close/>
                            </a:path>
                          </a:pathLst>
                        </a:custGeom>
                        <a:noFill/>
                        <a:ln w="1270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18" o:spid="_x0000_s1026" o:spt="100" style="position:absolute;left:0pt;margin-left:430.9pt;margin-top:138.2pt;height:25.75pt;width:31.1pt;z-index:251714560;mso-width-relative:page;mso-height-relative:page;" filled="f" stroked="t" coordsize="622,515" o:gfxdata="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kySf2QAAAAsBAAAPAAAA&#10;AAAAAAEAIAAAACIAAABkcnMvZG93bnJldi54bWxQSwECFAAUAAAACACHTuJACG2A8YYCAABtBQAA&#10;DgAAAAAAAAABACAAAAAoAQAAZHJzL2Uyb0RvYy54bWxQSwUGAAAAAAYABgBZAQAAIAYAAAAA&#10;" path="m504,515l590,128,622,0,11,22,0,428,504,515xe">
                <v:fill on="f" focussize="0,0"/>
                <v:stroke weight="1pt" color="#FF0000" joinstyle="round"/>
                <v:imagedata o:title=""/>
                <o:lock v:ext="edit" aspectratio="f"/>
              </v:shape>
            </w:pict>
          </mc:Fallback>
        </mc:AlternateContent>
      </w:r>
      <w:r>
        <w:rPr>
          <w:rFonts w:hint="eastAsia" w:ascii="宋体....." w:hAnsi="Times New Roman" w:eastAsia="宋体....." w:cs="宋体....."/>
          <w:color w:val="auto"/>
          <w:kern w:val="2"/>
          <w:sz w:val="24"/>
          <w:szCs w:val="24"/>
          <w:highlight w:val="none"/>
          <w:lang w:val="en-US" w:eastAsia="zh-CN" w:bidi="ar-SA"/>
        </w:rPr>
        <w:drawing>
          <wp:inline distT="0" distB="0" distL="114300" distR="114300">
            <wp:extent cx="10999470" cy="8804910"/>
            <wp:effectExtent l="9525" t="9525" r="20955" b="24765"/>
            <wp:docPr id="127" name="图片 410" descr="01城东法定图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410" descr="01城东法定图则"/>
                    <pic:cNvPicPr>
                      <a:picLocks noChangeAspect="1"/>
                    </pic:cNvPicPr>
                  </pic:nvPicPr>
                  <pic:blipFill>
                    <a:blip r:embed="rId81"/>
                    <a:srcRect l="827" t="2052" r="32103" b="21954"/>
                    <a:stretch>
                      <a:fillRect/>
                    </a:stretch>
                  </pic:blipFill>
                  <pic:spPr>
                    <a:xfrm>
                      <a:off x="0" y="0"/>
                      <a:ext cx="10999470" cy="880491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566FA18E">
      <w:pPr>
        <w:spacing w:line="240" w:lineRule="auto"/>
        <w:jc w:val="center"/>
        <w:outlineLvl w:val="0"/>
        <w:rPr>
          <w:rFonts w:hint="default" w:ascii="Times New Roman" w:hAnsi="Times New Roman" w:cs="Times New Roman"/>
          <w:color w:val="auto"/>
          <w:highlight w:val="none"/>
        </w:rPr>
      </w:pPr>
      <w:bookmarkStart w:id="106" w:name="_Toc28121"/>
      <w:bookmarkStart w:id="107" w:name="_Toc30352"/>
      <w:bookmarkStart w:id="108" w:name="_Toc5413"/>
      <w:bookmarkStart w:id="109" w:name="_Toc10279"/>
      <w:bookmarkStart w:id="110" w:name="_Toc24107"/>
      <w:bookmarkStart w:id="111" w:name="_Toc1941"/>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12</w:t>
      </w:r>
      <w:r>
        <w:rPr>
          <w:rFonts w:hint="default" w:ascii="Times New Roman" w:hAnsi="Times New Roman" w:eastAsia="宋体" w:cs="Times New Roman"/>
          <w:b/>
          <w:bCs/>
          <w:color w:val="auto"/>
          <w:sz w:val="24"/>
          <w:highlight w:val="none"/>
        </w:rPr>
        <w:t xml:space="preserve"> </w:t>
      </w:r>
      <w:bookmarkEnd w:id="106"/>
      <w:r>
        <w:rPr>
          <w:rFonts w:hint="eastAsia" w:ascii="Times New Roman" w:hAnsi="Times New Roman" w:cs="Times New Roman"/>
          <w:b/>
          <w:bCs/>
          <w:color w:val="auto"/>
          <w:sz w:val="24"/>
          <w:highlight w:val="none"/>
          <w:lang w:val="en-US" w:eastAsia="zh-CN"/>
        </w:rPr>
        <w:t>韶关乐</w:t>
      </w:r>
      <w:r>
        <w:rPr>
          <w:rFonts w:hint="eastAsia" w:ascii="Times New Roman" w:hAnsi="Times New Roman" w:eastAsia="宋体" w:cs="Times New Roman"/>
          <w:b/>
          <w:bCs/>
          <w:color w:val="auto"/>
          <w:sz w:val="24"/>
          <w:highlight w:val="none"/>
          <w:lang w:val="en-US" w:eastAsia="zh-CN"/>
        </w:rPr>
        <w:t>昌经济开发区</w:t>
      </w:r>
      <w:r>
        <w:rPr>
          <w:rFonts w:hint="default" w:ascii="Times New Roman" w:hAnsi="Times New Roman" w:eastAsia="宋体" w:cs="Times New Roman"/>
          <w:b/>
          <w:bCs/>
          <w:color w:val="auto"/>
          <w:sz w:val="24"/>
          <w:highlight w:val="none"/>
          <w:lang w:val="en-US" w:eastAsia="zh-CN"/>
        </w:rPr>
        <w:t>城东片区控制性详细规划</w:t>
      </w:r>
      <w:r>
        <w:rPr>
          <w:rFonts w:hint="eastAsia" w:ascii="Times New Roman" w:hAnsi="Times New Roman" w:eastAsia="宋体" w:cs="Times New Roman"/>
          <w:b/>
          <w:bCs/>
          <w:color w:val="auto"/>
          <w:sz w:val="24"/>
          <w:highlight w:val="none"/>
        </w:rPr>
        <w:t>图</w:t>
      </w:r>
      <w:bookmarkEnd w:id="107"/>
      <w:bookmarkEnd w:id="108"/>
      <w:bookmarkEnd w:id="109"/>
      <w:bookmarkEnd w:id="110"/>
      <w:bookmarkEnd w:id="111"/>
    </w:p>
    <w:p w14:paraId="78226463">
      <w:pPr>
        <w:spacing w:line="240" w:lineRule="auto"/>
        <w:rPr>
          <w:rFonts w:hint="default" w:ascii="Times New Roman" w:hAnsi="Times New Roman" w:cs="Times New Roman"/>
          <w:color w:val="auto"/>
          <w:highlight w:val="none"/>
        </w:rPr>
        <w:sectPr>
          <w:pgSz w:w="23811" w:h="16838" w:orient="landscape"/>
          <w:pgMar w:top="1134" w:right="1417" w:bottom="1077" w:left="1417" w:header="850" w:footer="907" w:gutter="340"/>
          <w:pgBorders>
            <w:top w:val="none" w:sz="0" w:space="0"/>
            <w:left w:val="none" w:sz="0" w:space="0"/>
            <w:bottom w:val="none" w:sz="0" w:space="0"/>
            <w:right w:val="none" w:sz="0" w:space="0"/>
          </w:pgBorders>
          <w:pgNumType w:fmt="decimal"/>
          <w:cols w:space="720" w:num="1"/>
          <w:docGrid w:type="lines" w:linePitch="412" w:charSpace="0"/>
        </w:sectPr>
      </w:pPr>
    </w:p>
    <w:p w14:paraId="19FF17C2">
      <w:pPr>
        <w:widowControl w:val="0"/>
        <w:spacing w:line="240" w:lineRule="auto"/>
        <w:ind w:left="0" w:leftChars="0" w:firstLine="0" w:firstLineChars="0"/>
        <w:jc w:val="center"/>
        <w:rPr>
          <w:rFonts w:hint="eastAsia" w:ascii="Times New Roman" w:hAnsi="Times New Roman" w:eastAsia="宋体" w:cs="Times New Roman"/>
          <w:b/>
          <w:bCs/>
          <w:color w:val="auto"/>
          <w:kern w:val="2"/>
          <w:sz w:val="24"/>
          <w:szCs w:val="24"/>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10464" behindDoc="0" locked="0" layoutInCell="1" allowOverlap="1">
                <wp:simplePos x="0" y="0"/>
                <wp:positionH relativeFrom="column">
                  <wp:posOffset>981710</wp:posOffset>
                </wp:positionH>
                <wp:positionV relativeFrom="paragraph">
                  <wp:posOffset>5452110</wp:posOffset>
                </wp:positionV>
                <wp:extent cx="266700" cy="142875"/>
                <wp:effectExtent l="4445" t="5080" r="14605" b="4445"/>
                <wp:wrapNone/>
                <wp:docPr id="56" name="矩形 16"/>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3ADAD"/>
                        </a:solidFill>
                        <a:ln w="0" cap="flat" cmpd="sng">
                          <a:solidFill>
                            <a:srgbClr val="FF0000"/>
                          </a:solidFill>
                          <a:prstDash val="solid"/>
                          <a:miter/>
                          <a:headEnd type="none" w="med" len="med"/>
                          <a:tailEnd type="none" w="med" len="med"/>
                        </a:ln>
                      </wps:spPr>
                      <wps:bodyPr wrap="square" upright="1"/>
                    </wps:wsp>
                  </a:graphicData>
                </a:graphic>
              </wp:anchor>
            </w:drawing>
          </mc:Choice>
          <mc:Fallback>
            <w:pict>
              <v:rect id="矩形 16" o:spid="_x0000_s1026" o:spt="1" style="position:absolute;left:0pt;margin-left:77.3pt;margin-top:429.3pt;height:11.25pt;width:21pt;z-index:251710464;mso-width-relative:page;mso-height-relative:page;" fillcolor="#F3ADAD" filled="t" stroked="t" coordsize="21600,21600" o:gfxdata="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XcUidoAAAALAQAADwAAAAAAAAABACAAAAAiAAAA&#10;ZHJzL2Rvd25yZXYueG1sUEsBAhQAFAAAAAgAh07iQF9nB5gFAgAAKgQAAA4AAAAAAAAAAQAgAAAA&#10;KQEAAGRycy9lMm9Eb2MueG1sUEsFBgAAAAAGAAYAWQEAAKAFAAAAAA==&#10;">
                <v:fill on="t" focussize="0,0"/>
                <v:stroke weight="0pt" color="#FF00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11488" behindDoc="0" locked="0" layoutInCell="1" allowOverlap="1">
                <wp:simplePos x="0" y="0"/>
                <wp:positionH relativeFrom="column">
                  <wp:posOffset>974090</wp:posOffset>
                </wp:positionH>
                <wp:positionV relativeFrom="paragraph">
                  <wp:posOffset>5182235</wp:posOffset>
                </wp:positionV>
                <wp:extent cx="266700" cy="142875"/>
                <wp:effectExtent l="4445" t="5080" r="14605" b="4445"/>
                <wp:wrapNone/>
                <wp:docPr id="57" name="矩形 17"/>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FFF00">
                            <a:alpha val="71999"/>
                          </a:srgbClr>
                        </a:solidFill>
                        <a:ln w="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17" o:spid="_x0000_s1026" o:spt="1" style="position:absolute;left:0pt;margin-left:76.7pt;margin-top:408.05pt;height:11.25pt;width:21pt;z-index:251711488;mso-width-relative:page;mso-height-relative:page;" fillcolor="#FFFF00" filled="t" stroked="t" coordsize="21600,21600" o:gfxdata="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xyZcDWAAAACwEAAA8AAAAAAAAAAQAgAAAAIgAAAGRycy9kb3ducmV2LnhtbFBLAQIUABQAAAAI&#10;AIdO4kBbJ6xzKAIAAHAEAAAOAAAAAAAAAAEAIAAAACUBAABkcnMvZTJvRG9jLnhtbFBLBQYAAAAA&#10;BgAGAFkBAAC/BQAAAAA=&#10;">
                <v:fill on="t" opacity="47185f" focussize="0,0"/>
                <v:stroke weight="0pt" color="#FFFF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9440" behindDoc="0" locked="0" layoutInCell="1" allowOverlap="1">
                <wp:simplePos x="0" y="0"/>
                <wp:positionH relativeFrom="column">
                  <wp:posOffset>980440</wp:posOffset>
                </wp:positionH>
                <wp:positionV relativeFrom="paragraph">
                  <wp:posOffset>4946650</wp:posOffset>
                </wp:positionV>
                <wp:extent cx="266700" cy="142875"/>
                <wp:effectExtent l="4445" t="5080" r="14605" b="4445"/>
                <wp:wrapNone/>
                <wp:docPr id="55" name="矩形 15"/>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00B050">
                            <a:alpha val="71999"/>
                          </a:srgbClr>
                        </a:solidFill>
                        <a:ln w="0" cap="flat" cmpd="sng">
                          <a:solidFill>
                            <a:srgbClr val="00B050"/>
                          </a:solidFill>
                          <a:prstDash val="solid"/>
                          <a:miter/>
                          <a:headEnd type="none" w="med" len="med"/>
                          <a:tailEnd type="none" w="med" len="med"/>
                        </a:ln>
                      </wps:spPr>
                      <wps:bodyPr vert="horz" wrap="square" anchor="t" anchorCtr="0" upright="1"/>
                    </wps:wsp>
                  </a:graphicData>
                </a:graphic>
              </wp:anchor>
            </w:drawing>
          </mc:Choice>
          <mc:Fallback>
            <w:pict>
              <v:rect id="矩形 15" o:spid="_x0000_s1026" o:spt="1" style="position:absolute;left:0pt;margin-left:77.2pt;margin-top:389.5pt;height:11.25pt;width:21pt;z-index:251709440;mso-width-relative:page;mso-height-relative:page;" fillcolor="#00B050" filled="t" stroked="t" coordsize="21600,21600" o:gfxdata="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kSdBE2QAAAAsBAAAPAAAAAAAAAAEAIAAAACIAAABkcnMvZG93bnJldi54bWxQSwECFAAUAAAA&#10;CACHTuJABthZzCYCAABwBAAADgAAAAAAAAABACAAAAAoAQAAZHJzL2Uyb0RvYy54bWxQSwUGAAAA&#10;AAYABgBZAQAAwAUAAAAA&#10;">
                <v:fill on="t" opacity="47185f" focussize="0,0"/>
                <v:stroke weight="0pt" color="#00B05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8416" behindDoc="0" locked="0" layoutInCell="1" allowOverlap="1">
                <wp:simplePos x="0" y="0"/>
                <wp:positionH relativeFrom="column">
                  <wp:posOffset>925830</wp:posOffset>
                </wp:positionH>
                <wp:positionV relativeFrom="paragraph">
                  <wp:posOffset>4577715</wp:posOffset>
                </wp:positionV>
                <wp:extent cx="1608455" cy="1123315"/>
                <wp:effectExtent l="4445" t="4445" r="6350" b="15240"/>
                <wp:wrapNone/>
                <wp:docPr id="54" name="矩形 14"/>
                <wp:cNvGraphicFramePr/>
                <a:graphic xmlns:a="http://schemas.openxmlformats.org/drawingml/2006/main">
                  <a:graphicData uri="http://schemas.microsoft.com/office/word/2010/wordprocessingShape">
                    <wps:wsp>
                      <wps:cNvSpPr/>
                      <wps:spPr>
                        <a:xfrm>
                          <a:off x="0" y="0"/>
                          <a:ext cx="1608455" cy="1123315"/>
                        </a:xfrm>
                        <a:prstGeom prst="rect">
                          <a:avLst/>
                        </a:prstGeom>
                        <a:solidFill>
                          <a:srgbClr val="FFFFFF">
                            <a:alpha val="39999"/>
                          </a:srgbClr>
                        </a:solidFill>
                        <a:ln w="9525" cap="flat" cmpd="sng">
                          <a:solidFill>
                            <a:srgbClr val="000000"/>
                          </a:solidFill>
                          <a:prstDash val="solid"/>
                          <a:miter/>
                          <a:headEnd type="none" w="med" len="med"/>
                          <a:tailEnd type="none" w="med" len="med"/>
                        </a:ln>
                      </wps:spPr>
                      <wps:txb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wps:txbx>
                      <wps:bodyPr vert="horz" wrap="square" anchor="t" anchorCtr="0" upright="1"/>
                    </wps:wsp>
                  </a:graphicData>
                </a:graphic>
              </wp:anchor>
            </w:drawing>
          </mc:Choice>
          <mc:Fallback>
            <w:pict>
              <v:rect id="矩形 14" o:spid="_x0000_s1026" o:spt="1" style="position:absolute;left:0pt;margin-left:72.9pt;margin-top:360.45pt;height:88.45pt;width:126.65pt;z-index:251708416;mso-width-relative:page;mso-height-relative:page;" fillcolor="#FFFFFF" filled="t" stroked="t" coordsize="21600,21600" o:gfxdata="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dzekXcAAAACwEAAA8AAAAAAAAAAQAgAAAAIgAAAGRycy9kb3ducmV2&#10;LnhtbFBLAQIUABQAAAAIAIdO4kBo8GL7MQIAAIAEAAAOAAAAAAAAAAEAIAAAACsBAABkcnMvZTJv&#10;RG9jLnhtbFBLBQYAAAAABgAGAFkBAADOBQAAAAA=&#10;">
                <v:fill on="t" opacity="26213f" focussize="0,0"/>
                <v:stroke color="#000000" joinstyle="miter"/>
                <v:imagedata o:title=""/>
                <o:lock v:ext="edit" aspectratio="f"/>
                <v:textbo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v:textbox>
              </v:rect>
            </w:pict>
          </mc:Fallback>
        </mc:AlternateContent>
      </w:r>
      <w:r>
        <w:rPr>
          <w:rFonts w:ascii="Times New Roman" w:hAnsi="Times New Roman" w:eastAsia="宋体" w:cs="Times New Roman"/>
          <w:color w:val="auto"/>
          <w:kern w:val="2"/>
          <w:sz w:val="24"/>
          <w:szCs w:val="22"/>
          <w:highlight w:val="none"/>
          <w:lang w:val="en-US" w:eastAsia="zh-CN" w:bidi="ar-SA"/>
        </w:rPr>
        <w:drawing>
          <wp:anchor distT="0" distB="0" distL="114300" distR="114300" simplePos="0" relativeHeight="251693056" behindDoc="0" locked="0" layoutInCell="1" allowOverlap="1">
            <wp:simplePos x="0" y="0"/>
            <wp:positionH relativeFrom="column">
              <wp:posOffset>915670</wp:posOffset>
            </wp:positionH>
            <wp:positionV relativeFrom="paragraph">
              <wp:posOffset>53975</wp:posOffset>
            </wp:positionV>
            <wp:extent cx="1073150" cy="1005840"/>
            <wp:effectExtent l="0" t="0" r="12700" b="3810"/>
            <wp:wrapNone/>
            <wp:docPr id="37" name="图片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89"/>
                    <pic:cNvPicPr>
                      <a:picLocks noChangeAspect="1"/>
                    </pic:cNvPicPr>
                  </pic:nvPicPr>
                  <pic:blipFill>
                    <a:blip r:embed="rId82"/>
                    <a:stretch>
                      <a:fillRect/>
                    </a:stretch>
                  </pic:blipFill>
                  <pic:spPr>
                    <a:xfrm>
                      <a:off x="0" y="0"/>
                      <a:ext cx="1073150" cy="1005840"/>
                    </a:xfrm>
                    <a:prstGeom prst="rect">
                      <a:avLst/>
                    </a:prstGeom>
                    <a:noFill/>
                    <a:ln>
                      <a:noFill/>
                    </a:ln>
                  </pic:spPr>
                </pic:pic>
              </a:graphicData>
            </a:graphic>
          </wp:anchor>
        </w:drawing>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4549775</wp:posOffset>
                </wp:positionH>
                <wp:positionV relativeFrom="paragraph">
                  <wp:posOffset>1430655</wp:posOffset>
                </wp:positionV>
                <wp:extent cx="777875" cy="365760"/>
                <wp:effectExtent l="4445" t="4445" r="246380" b="353695"/>
                <wp:wrapNone/>
                <wp:docPr id="15" name="自选图形 1855"/>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76366"/>
                            <a:gd name="adj2" fmla="val 137847"/>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855" o:spid="_x0000_s1026" o:spt="62" type="#_x0000_t62" style="position:absolute;left:0pt;margin-left:358.25pt;margin-top:112.65pt;height:28.8pt;width:61.25pt;z-index:251672576;mso-width-relative:page;mso-height-relative:page;" fillcolor="#FFFFFF" filled="t" stroked="t" coordsize="21600,21600" o:gfxdata="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4UYSz2QAAAAsBAAAPAAAAAAAAAAEAIAAAACIAAABkcnMvZG93bnJldi54bWxQ&#10;SwECFAAUAAAACACHTuJAiVOximgCAADsBAAADgAAAAAAAAABACAAAAAoAQAAZHJzL2Uyb0RvYy54&#10;bWxQSwUGAAAAAAYABgBZAQAAAgYAAAAA&#10;" adj="27295,40575,14400">
                <v:fill on="t" focussize="0,0"/>
                <v:stroke color="#000000" joinstyle="miter"/>
                <v:imagedata o:title=""/>
                <o:lock v:ext="edit" aspectratio="f"/>
                <v:textbo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Times New Roman" w:hAnsi="Times New Roman" w:eastAsia="宋体" w:cs="Times New Roman"/>
          <w:color w:val="auto"/>
          <w:kern w:val="2"/>
          <w:sz w:val="24"/>
          <w:szCs w:val="22"/>
          <w:highlight w:val="none"/>
          <w:lang w:val="en-US" w:eastAsia="zh-CN" w:bidi="ar-SA"/>
        </w:rPr>
        <w:drawing>
          <wp:inline distT="0" distB="0" distL="114300" distR="114300">
            <wp:extent cx="7082790" cy="5649595"/>
            <wp:effectExtent l="0" t="0" r="3810" b="8255"/>
            <wp:docPr id="128"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86"/>
                    <pic:cNvPicPr>
                      <a:picLocks noChangeAspect="1"/>
                    </pic:cNvPicPr>
                  </pic:nvPicPr>
                  <pic:blipFill>
                    <a:blip r:embed="rId83"/>
                    <a:stretch>
                      <a:fillRect/>
                    </a:stretch>
                  </pic:blipFill>
                  <pic:spPr>
                    <a:xfrm>
                      <a:off x="0" y="0"/>
                      <a:ext cx="7082790" cy="5649595"/>
                    </a:xfrm>
                    <a:prstGeom prst="rect">
                      <a:avLst/>
                    </a:prstGeom>
                    <a:noFill/>
                    <a:ln>
                      <a:noFill/>
                    </a:ln>
                  </pic:spPr>
                </pic:pic>
              </a:graphicData>
            </a:graphic>
          </wp:inline>
        </w:drawing>
      </w:r>
    </w:p>
    <w:p w14:paraId="17B0AEA2">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12" w:name="_Toc5326"/>
      <w:bookmarkStart w:id="113" w:name="_Toc11664"/>
      <w:bookmarkStart w:id="114" w:name="_Toc22255"/>
      <w:bookmarkStart w:id="115" w:name="_Toc8794"/>
      <w:r>
        <w:rPr>
          <w:rFonts w:hint="eastAsia" w:ascii="Times New Roman" w:hAnsi="Times New Roman" w:eastAsia="宋体" w:cs="Times New Roman"/>
          <w:b/>
          <w:bCs/>
          <w:color w:val="auto"/>
          <w:kern w:val="2"/>
          <w:sz w:val="24"/>
          <w:szCs w:val="24"/>
          <w:highlight w:val="none"/>
          <w:lang w:val="en-US" w:eastAsia="zh-CN" w:bidi="ar-SA"/>
        </w:rPr>
        <w:t>附图13 项目与广东省“三区三线”的位置关系</w:t>
      </w:r>
      <w:r>
        <w:rPr>
          <w:rFonts w:hint="default" w:ascii="Times New Roman" w:hAnsi="Times New Roman" w:eastAsia="宋体" w:cs="Times New Roman"/>
          <w:b/>
          <w:bCs/>
          <w:color w:val="auto"/>
          <w:kern w:val="2"/>
          <w:sz w:val="24"/>
          <w:szCs w:val="24"/>
          <w:highlight w:val="none"/>
          <w:lang w:val="en-US" w:eastAsia="zh-CN" w:bidi="ar-SA"/>
        </w:rPr>
        <w:t>图</w:t>
      </w:r>
      <w:bookmarkEnd w:id="112"/>
      <w:bookmarkEnd w:id="113"/>
      <w:bookmarkEnd w:id="114"/>
      <w:bookmarkEnd w:id="115"/>
    </w:p>
    <w:p w14:paraId="2D775DE0">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sectPr>
          <w:pgSz w:w="16783" w:h="11850" w:orient="landscape"/>
          <w:pgMar w:top="1020" w:right="1417" w:bottom="964" w:left="1417" w:header="850" w:footer="964" w:gutter="340"/>
          <w:pgBorders>
            <w:top w:val="none" w:sz="0" w:space="0"/>
            <w:left w:val="none" w:sz="0" w:space="0"/>
            <w:bottom w:val="none" w:sz="0" w:space="0"/>
            <w:right w:val="none" w:sz="0" w:space="0"/>
          </w:pgBorders>
          <w:pgNumType w:fmt="decimal"/>
          <w:cols w:space="720" w:num="1"/>
          <w:docGrid w:type="lines" w:linePitch="412" w:charSpace="0"/>
        </w:sectPr>
      </w:pPr>
    </w:p>
    <w:bookmarkEnd w:id="82"/>
    <w:bookmarkEnd w:id="83"/>
    <w:p w14:paraId="39CCCB1F">
      <w:pPr>
        <w:spacing w:line="240" w:lineRule="auto"/>
        <w:jc w:val="center"/>
        <w:outlineLvl w:val="9"/>
        <w:rPr>
          <w:color w:val="auto"/>
          <w:highlight w:val="none"/>
        </w:rPr>
      </w:pPr>
      <w:bookmarkStart w:id="116" w:name="_Toc25812"/>
      <w:bookmarkStart w:id="117" w:name="_Toc11854"/>
      <w:bookmarkStart w:id="118" w:name="_Toc1930"/>
      <w:bookmarkStart w:id="119" w:name="_Toc8158"/>
      <w:bookmarkStart w:id="120" w:name="_Toc23573"/>
      <w:r>
        <w:rPr>
          <w:color w:val="auto"/>
          <w:highlight w:val="none"/>
        </w:rPr>
        <w:drawing>
          <wp:inline distT="0" distB="0" distL="114300" distR="114300">
            <wp:extent cx="7844790" cy="5240655"/>
            <wp:effectExtent l="0" t="0" r="3810" b="17145"/>
            <wp:docPr id="129"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83"/>
                    <pic:cNvPicPr>
                      <a:picLocks noChangeAspect="1"/>
                    </pic:cNvPicPr>
                  </pic:nvPicPr>
                  <pic:blipFill>
                    <a:blip r:embed="rId84"/>
                    <a:stretch>
                      <a:fillRect/>
                    </a:stretch>
                  </pic:blipFill>
                  <pic:spPr>
                    <a:xfrm>
                      <a:off x="0" y="0"/>
                      <a:ext cx="7844790" cy="5240655"/>
                    </a:xfrm>
                    <a:prstGeom prst="rect">
                      <a:avLst/>
                    </a:prstGeom>
                    <a:noFill/>
                    <a:ln>
                      <a:noFill/>
                    </a:ln>
                  </pic:spPr>
                </pic:pic>
              </a:graphicData>
            </a:graphic>
          </wp:inline>
        </w:drawing>
      </w:r>
    </w:p>
    <w:p w14:paraId="6258EB3B">
      <w:pPr>
        <w:widowControl w:val="0"/>
        <w:autoSpaceDE w:val="0"/>
        <w:autoSpaceDN w:val="0"/>
        <w:adjustRightInd w:val="0"/>
        <w:jc w:val="center"/>
        <w:outlineLvl w:val="9"/>
        <w:rPr>
          <w:rFonts w:ascii="宋体....." w:hAnsi="Times New Roman" w:eastAsia="宋体....." w:cs="宋体....."/>
          <w:color w:val="auto"/>
          <w:kern w:val="2"/>
          <w:sz w:val="24"/>
          <w:szCs w:val="24"/>
          <w:highlight w:val="none"/>
          <w:lang w:val="en-US" w:eastAsia="zh-CN" w:bidi="ar-SA"/>
        </w:rPr>
      </w:pPr>
      <w:bookmarkStart w:id="121" w:name="_Toc22069"/>
      <w:bookmarkStart w:id="122" w:name="_Toc25232"/>
      <w:r>
        <w:rPr>
          <w:rFonts w:hint="eastAsia" w:ascii="Times New Roman" w:hAnsi="Times New Roman" w:eastAsia="宋体....." w:cs="Times New Roman"/>
          <w:b/>
          <w:bCs/>
          <w:color w:val="auto"/>
          <w:kern w:val="2"/>
          <w:sz w:val="24"/>
          <w:szCs w:val="24"/>
          <w:highlight w:val="none"/>
          <w:lang w:val="en-US" w:eastAsia="zh-CN" w:bidi="ar-SA"/>
        </w:rPr>
        <w:t>附图14-1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陆域环境管控单元截图</w:t>
      </w:r>
      <w:bookmarkEnd w:id="121"/>
      <w:bookmarkEnd w:id="122"/>
      <w:bookmarkStart w:id="123" w:name="_Toc7275"/>
      <w:bookmarkStart w:id="124" w:name="_Toc21069"/>
      <w:r>
        <w:rPr>
          <w:rFonts w:hint="eastAsia" w:ascii="Times New Roman" w:hAnsi="Times New Roman" w:eastAsia="宋体....." w:cs="Times New Roman"/>
          <w:b/>
          <w:bCs/>
          <w:color w:val="auto"/>
          <w:kern w:val="2"/>
          <w:sz w:val="24"/>
          <w:szCs w:val="24"/>
          <w:highlight w:val="none"/>
          <w:lang w:val="en-US" w:eastAsia="zh-CN" w:bidi="ar-SA"/>
        </w:rPr>
        <w:br w:type="page"/>
      </w:r>
      <w:bookmarkEnd w:id="123"/>
      <w:bookmarkEnd w:id="124"/>
      <w:r>
        <w:rPr>
          <w:rFonts w:ascii="宋体....." w:hAnsi="Times New Roman" w:eastAsia="宋体....." w:cs="宋体....."/>
          <w:color w:val="auto"/>
          <w:kern w:val="2"/>
          <w:sz w:val="24"/>
          <w:szCs w:val="24"/>
          <w:highlight w:val="none"/>
          <w:lang w:val="en-US" w:eastAsia="zh-CN" w:bidi="ar-SA"/>
        </w:rPr>
        <w:drawing>
          <wp:inline distT="0" distB="0" distL="114300" distR="114300">
            <wp:extent cx="9058910" cy="5504180"/>
            <wp:effectExtent l="0" t="0" r="8890" b="1270"/>
            <wp:docPr id="130"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85"/>
                    <pic:cNvPicPr>
                      <a:picLocks noChangeAspect="1"/>
                    </pic:cNvPicPr>
                  </pic:nvPicPr>
                  <pic:blipFill>
                    <a:blip r:embed="rId85"/>
                    <a:srcRect r="7420"/>
                    <a:stretch>
                      <a:fillRect/>
                    </a:stretch>
                  </pic:blipFill>
                  <pic:spPr>
                    <a:xfrm>
                      <a:off x="0" y="0"/>
                      <a:ext cx="9058910" cy="5504180"/>
                    </a:xfrm>
                    <a:prstGeom prst="rect">
                      <a:avLst/>
                    </a:prstGeom>
                    <a:noFill/>
                    <a:ln>
                      <a:noFill/>
                    </a:ln>
                  </pic:spPr>
                </pic:pic>
              </a:graphicData>
            </a:graphic>
          </wp:inline>
        </w:drawing>
      </w:r>
    </w:p>
    <w:p w14:paraId="659986EB">
      <w:pPr>
        <w:widowControl w:val="0"/>
        <w:autoSpaceDE w:val="0"/>
        <w:autoSpaceDN w:val="0"/>
        <w:adjustRightInd w:val="0"/>
        <w:spacing w:line="240" w:lineRule="auto"/>
        <w:jc w:val="center"/>
        <w:outlineLvl w:val="9"/>
        <w:rPr>
          <w:rFonts w:ascii="宋体....." w:hAnsi="Times New Roman" w:eastAsia="宋体....." w:cs="宋体....."/>
          <w:color w:val="auto"/>
          <w:kern w:val="2"/>
          <w:sz w:val="24"/>
          <w:szCs w:val="24"/>
          <w:highlight w:val="none"/>
          <w:lang w:val="en-US" w:eastAsia="zh-CN" w:bidi="ar-SA"/>
        </w:rPr>
      </w:pPr>
      <w:bookmarkStart w:id="125" w:name="_Toc19902"/>
      <w:bookmarkStart w:id="126" w:name="_Toc5401"/>
      <w:bookmarkStart w:id="127" w:name="_Toc5474"/>
      <w:bookmarkStart w:id="128" w:name="_Toc32560"/>
      <w:r>
        <w:rPr>
          <w:rFonts w:hint="eastAsia" w:ascii="Times New Roman" w:hAnsi="Times New Roman" w:eastAsia="宋体....." w:cs="Times New Roman"/>
          <w:b/>
          <w:bCs/>
          <w:color w:val="auto"/>
          <w:kern w:val="2"/>
          <w:sz w:val="24"/>
          <w:szCs w:val="24"/>
          <w:highlight w:val="none"/>
          <w:lang w:val="en-US" w:eastAsia="zh-CN" w:bidi="ar-SA"/>
        </w:rPr>
        <w:t>附图14-2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生态空间一般管控区截图</w:t>
      </w:r>
      <w:bookmarkEnd w:id="125"/>
      <w:bookmarkEnd w:id="126"/>
      <w:r>
        <w:rPr>
          <w:rFonts w:hint="eastAsia" w:ascii="Times New Roman" w:hAnsi="Times New Roman" w:eastAsia="宋体....." w:cs="Times New Roman"/>
          <w:b/>
          <w:bCs/>
          <w:color w:val="auto"/>
          <w:kern w:val="2"/>
          <w:sz w:val="24"/>
          <w:szCs w:val="24"/>
          <w:highlight w:val="none"/>
          <w:lang w:val="en-US" w:eastAsia="zh-CN" w:bidi="ar-SA"/>
        </w:rPr>
        <w:br w:type="page"/>
      </w:r>
      <w:bookmarkEnd w:id="127"/>
      <w:bookmarkEnd w:id="128"/>
      <w:r>
        <w:rPr>
          <w:rFonts w:ascii="宋体....." w:hAnsi="Times New Roman" w:eastAsia="宋体....." w:cs="宋体....."/>
          <w:color w:val="auto"/>
          <w:kern w:val="2"/>
          <w:sz w:val="24"/>
          <w:szCs w:val="24"/>
          <w:highlight w:val="none"/>
          <w:lang w:val="en-US" w:eastAsia="zh-CN" w:bidi="ar-SA"/>
        </w:rPr>
        <w:drawing>
          <wp:inline distT="0" distB="0" distL="114300" distR="114300">
            <wp:extent cx="8904605" cy="5494655"/>
            <wp:effectExtent l="0" t="0" r="10795" b="10795"/>
            <wp:docPr id="131"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87"/>
                    <pic:cNvPicPr>
                      <a:picLocks noChangeAspect="1"/>
                    </pic:cNvPicPr>
                  </pic:nvPicPr>
                  <pic:blipFill>
                    <a:blip r:embed="rId86"/>
                    <a:stretch>
                      <a:fillRect/>
                    </a:stretch>
                  </pic:blipFill>
                  <pic:spPr>
                    <a:xfrm>
                      <a:off x="0" y="0"/>
                      <a:ext cx="8904605" cy="5494655"/>
                    </a:xfrm>
                    <a:prstGeom prst="rect">
                      <a:avLst/>
                    </a:prstGeom>
                    <a:noFill/>
                    <a:ln>
                      <a:noFill/>
                    </a:ln>
                  </pic:spPr>
                </pic:pic>
              </a:graphicData>
            </a:graphic>
          </wp:inline>
        </w:drawing>
      </w:r>
    </w:p>
    <w:p w14:paraId="226D24B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29" w:name="_Toc17410"/>
      <w:bookmarkStart w:id="130" w:name="_Toc805"/>
      <w:bookmarkStart w:id="131" w:name="_Toc22769"/>
      <w:bookmarkStart w:id="132" w:name="_Toc25512"/>
      <w:bookmarkStart w:id="133" w:name="_Toc6221"/>
      <w:r>
        <w:rPr>
          <w:rFonts w:hint="eastAsia" w:ascii="Times New Roman" w:hAnsi="Times New Roman" w:eastAsia="宋体....." w:cs="Times New Roman"/>
          <w:b/>
          <w:bCs/>
          <w:color w:val="auto"/>
          <w:kern w:val="2"/>
          <w:sz w:val="24"/>
          <w:szCs w:val="24"/>
          <w:highlight w:val="none"/>
          <w:lang w:val="en-US" w:eastAsia="zh-CN" w:bidi="ar-SA"/>
        </w:rPr>
        <w:t>附图14-3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水环境管控分区截图</w:t>
      </w:r>
      <w:bookmarkEnd w:id="129"/>
      <w:bookmarkEnd w:id="130"/>
      <w:bookmarkEnd w:id="131"/>
      <w:bookmarkEnd w:id="132"/>
      <w:bookmarkEnd w:id="133"/>
    </w:p>
    <w:p w14:paraId="4EB5C43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684260" cy="5390515"/>
            <wp:effectExtent l="0" t="0" r="2540" b="635"/>
            <wp:docPr id="132"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89"/>
                    <pic:cNvPicPr>
                      <a:picLocks noChangeAspect="1"/>
                    </pic:cNvPicPr>
                  </pic:nvPicPr>
                  <pic:blipFill>
                    <a:blip r:embed="rId87"/>
                    <a:stretch>
                      <a:fillRect/>
                    </a:stretch>
                  </pic:blipFill>
                  <pic:spPr>
                    <a:xfrm>
                      <a:off x="0" y="0"/>
                      <a:ext cx="8684260" cy="5390515"/>
                    </a:xfrm>
                    <a:prstGeom prst="rect">
                      <a:avLst/>
                    </a:prstGeom>
                    <a:noFill/>
                    <a:ln>
                      <a:noFill/>
                    </a:ln>
                  </pic:spPr>
                </pic:pic>
              </a:graphicData>
            </a:graphic>
          </wp:inline>
        </w:drawing>
      </w:r>
    </w:p>
    <w:p w14:paraId="54C1C762">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34" w:name="_Toc7227"/>
      <w:bookmarkStart w:id="135" w:name="_Toc29842"/>
      <w:bookmarkStart w:id="136" w:name="_Toc27132"/>
      <w:bookmarkStart w:id="137" w:name="_Toc24743"/>
      <w:bookmarkStart w:id="138" w:name="_Toc10425"/>
      <w:r>
        <w:rPr>
          <w:rFonts w:hint="eastAsia" w:ascii="Times New Roman" w:hAnsi="Times New Roman" w:eastAsia="宋体....." w:cs="Times New Roman"/>
          <w:b/>
          <w:bCs/>
          <w:color w:val="auto"/>
          <w:kern w:val="2"/>
          <w:sz w:val="24"/>
          <w:szCs w:val="24"/>
          <w:highlight w:val="none"/>
          <w:lang w:val="en-US" w:eastAsia="zh-CN" w:bidi="ar-SA"/>
        </w:rPr>
        <w:t>附图14-4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大气环境管控分区截图</w:t>
      </w:r>
      <w:bookmarkEnd w:id="134"/>
      <w:bookmarkEnd w:id="135"/>
      <w:bookmarkEnd w:id="136"/>
      <w:bookmarkEnd w:id="137"/>
      <w:bookmarkEnd w:id="138"/>
    </w:p>
    <w:p w14:paraId="4871C1B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442325" cy="5243830"/>
            <wp:effectExtent l="0" t="0" r="15875" b="13970"/>
            <wp:docPr id="133"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590"/>
                    <pic:cNvPicPr>
                      <a:picLocks noChangeAspect="1"/>
                    </pic:cNvPicPr>
                  </pic:nvPicPr>
                  <pic:blipFill>
                    <a:blip r:embed="rId88"/>
                    <a:stretch>
                      <a:fillRect/>
                    </a:stretch>
                  </pic:blipFill>
                  <pic:spPr>
                    <a:xfrm>
                      <a:off x="0" y="0"/>
                      <a:ext cx="8442325" cy="5243830"/>
                    </a:xfrm>
                    <a:prstGeom prst="rect">
                      <a:avLst/>
                    </a:prstGeom>
                    <a:noFill/>
                    <a:ln>
                      <a:noFill/>
                    </a:ln>
                  </pic:spPr>
                </pic:pic>
              </a:graphicData>
            </a:graphic>
          </wp:inline>
        </w:drawing>
      </w:r>
    </w:p>
    <w:p w14:paraId="39108E7A">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Times New Roman" w:cs="Times New Roman"/>
          <w:b/>
          <w:bCs/>
          <w:color w:val="auto"/>
          <w:highlight w:val="none"/>
        </w:rPr>
        <w:sectPr>
          <w:footerReference r:id="rId10" w:type="default"/>
          <w:pgSz w:w="16781" w:h="11849" w:orient="landscape"/>
          <w:pgMar w:top="1213" w:right="1417" w:bottom="1213"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bookmarkStart w:id="139" w:name="_Toc373"/>
      <w:bookmarkStart w:id="140" w:name="_Toc22223"/>
      <w:bookmarkStart w:id="141" w:name="_Toc26344"/>
      <w:bookmarkStart w:id="142" w:name="_Toc3375"/>
      <w:bookmarkStart w:id="143" w:name="_Toc29220"/>
      <w:r>
        <w:rPr>
          <w:rFonts w:hint="eastAsia" w:ascii="Times New Roman" w:hAnsi="Times New Roman" w:eastAsia="宋体....." w:cs="Times New Roman"/>
          <w:b/>
          <w:bCs/>
          <w:color w:val="auto"/>
          <w:kern w:val="2"/>
          <w:sz w:val="24"/>
          <w:szCs w:val="24"/>
          <w:highlight w:val="none"/>
          <w:lang w:val="en-US" w:eastAsia="zh-CN" w:bidi="ar-SA"/>
        </w:rPr>
        <w:t>附图14-5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高污染燃料禁燃区截图</w:t>
      </w:r>
      <w:bookmarkEnd w:id="139"/>
      <w:bookmarkEnd w:id="140"/>
      <w:bookmarkEnd w:id="141"/>
      <w:bookmarkEnd w:id="142"/>
      <w:bookmarkEnd w:id="143"/>
    </w:p>
    <w:p w14:paraId="0330DC25">
      <w:pPr>
        <w:keepNext w:val="0"/>
        <w:keepLines w:val="0"/>
        <w:pageBreakBefore w:val="0"/>
        <w:widowControl w:val="0"/>
        <w:kinsoku/>
        <w:wordWrap/>
        <w:overflowPunct/>
        <w:topLinePunct w:val="0"/>
        <w:bidi w:val="0"/>
        <w:snapToGrid/>
        <w:spacing w:line="240" w:lineRule="auto"/>
        <w:ind w:left="200" w:hanging="480" w:hangingChars="200"/>
        <w:jc w:val="center"/>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kern w:val="2"/>
          <w:sz w:val="24"/>
          <w:szCs w:val="24"/>
          <w:lang w:val="en-US" w:eastAsia="zh-CN" w:bidi="ar-SA"/>
        </w:rPr>
        <mc:AlternateContent>
          <mc:Choice Requires="wpg">
            <w:drawing>
              <wp:anchor distT="0" distB="0" distL="114300" distR="114300" simplePos="0" relativeHeight="251778048" behindDoc="0" locked="0" layoutInCell="1" allowOverlap="1">
                <wp:simplePos x="0" y="0"/>
                <wp:positionH relativeFrom="column">
                  <wp:posOffset>3778250</wp:posOffset>
                </wp:positionH>
                <wp:positionV relativeFrom="paragraph">
                  <wp:posOffset>414020</wp:posOffset>
                </wp:positionV>
                <wp:extent cx="1651000" cy="795020"/>
                <wp:effectExtent l="12700" t="12700" r="31750" b="30480"/>
                <wp:wrapNone/>
                <wp:docPr id="134" name="组合 134"/>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42"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293"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7.5pt;margin-top:32.6pt;height:62.6pt;width:130pt;z-index:251778048;mso-width-relative:page;mso-height-relative:page;" coordorigin="9176,2798726" coordsize="2600,1252" o:gfxdata="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RIv7kNoAAAAKAQAADwAAAAAAAAABACAA&#10;AAAiAAAAZHJzL2Rvd25yZXYueG1sUEsBAhQAFAAAAAgAh07iQGfu72LTAwAARgkAAA4AAAAAAAAA&#10;AQAgAAAAKQEAAGRycy9lMm9Eb2MueG1sUEsFBgAAAAAGAAYAWQEAAG4HA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qC2oML0AAADb&#10;AAAADwAAAGRycy9kb3ducmV2LnhtbEWPQWvCQBSE70L/w/IKvelmpdSQZvXQovRSRC30+sg+s0mz&#10;b0N21bS/3i0IHoeZ+YYpV6PrxJmG0HjWoGYZCOLKm4ZrDV+H9TQHESKywc4zafilAKvlw6TEwvgL&#10;7+i8j7VIEA4FarAx9oWUobLkMMx8T5y8ox8cxiSHWpoBLwnuOjnPshfpsOG0YLGnN0vVz/7kNGzU&#10;ov1WNvdH+6nMe92O67+t1frpUWWvICKN8R6+tT+Mhuc5/H9JP0A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ag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_x0000_s1026" o:spid="_x0000_s1026" style="position:absolute;left:9176;top:2799546;height:433;width:500;v-text-anchor:middle;" fillcolor="#FFFF00" filled="t" stroked="t" coordsize="500,433" o:gfxdata="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qLUj74A&#10;AADcAAAADwAAAAAAAAABACAAAAAiAAAAZHJzL2Rvd25yZXYueG1sUEsBAhQAFAAAAAgAh07iQDMv&#10;BZ47AAAAOQAAABAAAAAAAAAAAQAgAAAADQEAAGRycy9zaGFwZXhtbC54bWxQSwUGAAAAAAYABgBb&#10;AQAAtwM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bookmarkStart w:id="144" w:name="_Toc18089"/>
      <w:r>
        <w:rPr>
          <w:rFonts w:ascii="Times New Roman" w:hAnsi="Times New Roman" w:eastAsia="宋体" w:cs="Times New Roman"/>
          <w:kern w:val="2"/>
          <w:position w:val="-263"/>
          <w:sz w:val="21"/>
          <w:szCs w:val="24"/>
          <w:lang w:val="en-US" w:eastAsia="zh-CN" w:bidi="ar-SA"/>
        </w:rPr>
        <w:drawing>
          <wp:inline distT="0" distB="0" distL="0" distR="0">
            <wp:extent cx="5270500" cy="8363585"/>
            <wp:effectExtent l="0" t="0" r="6350" b="18415"/>
            <wp:docPr id="292" name="IM 92"/>
            <wp:cNvGraphicFramePr/>
            <a:graphic xmlns:a="http://schemas.openxmlformats.org/drawingml/2006/main">
              <a:graphicData uri="http://schemas.openxmlformats.org/drawingml/2006/picture">
                <pic:pic xmlns:pic="http://schemas.openxmlformats.org/drawingml/2006/picture">
                  <pic:nvPicPr>
                    <pic:cNvPr id="292" name="IM 92"/>
                    <pic:cNvPicPr/>
                  </pic:nvPicPr>
                  <pic:blipFill>
                    <a:blip r:embed="rId89"/>
                    <a:stretch>
                      <a:fillRect/>
                    </a:stretch>
                  </pic:blipFill>
                  <pic:spPr>
                    <a:xfrm>
                      <a:off x="0" y="0"/>
                      <a:ext cx="5271134" cy="8364219"/>
                    </a:xfrm>
                    <a:prstGeom prst="rect">
                      <a:avLst/>
                    </a:prstGeom>
                  </pic:spPr>
                </pic:pic>
              </a:graphicData>
            </a:graphic>
          </wp:inline>
        </w:drawing>
      </w:r>
    </w:p>
    <w:p w14:paraId="13DB33E3">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5" w:name="_Toc21182"/>
      <w:bookmarkStart w:id="146" w:name="_Toc20135"/>
      <w:bookmarkStart w:id="147" w:name="_Toc31205"/>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eastAsia="宋体....." w:cs="Times New Roman"/>
          <w:b/>
          <w:bCs/>
          <w:color w:val="auto"/>
          <w:kern w:val="2"/>
          <w:sz w:val="24"/>
          <w:szCs w:val="24"/>
          <w:highlight w:val="none"/>
          <w:lang w:val="en-US" w:eastAsia="zh-CN" w:bidi="ar-SA"/>
        </w:rPr>
        <w:t>5</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2"/>
          <w:sz w:val="24"/>
          <w:szCs w:val="24"/>
          <w:highlight w:val="none"/>
          <w:lang w:val="en-US" w:eastAsia="zh-CN" w:bidi="ar-SA"/>
        </w:rPr>
        <w:t>韶关乐</w:t>
      </w:r>
      <w:r>
        <w:rPr>
          <w:rFonts w:hint="eastAsia" w:ascii="Times New Roman" w:hAnsi="Times New Roman" w:eastAsia="宋体" w:cs="Times New Roman"/>
          <w:b/>
          <w:bCs/>
          <w:color w:val="auto"/>
          <w:kern w:val="2"/>
          <w:sz w:val="24"/>
          <w:szCs w:val="24"/>
          <w:highlight w:val="none"/>
          <w:lang w:val="en-US" w:eastAsia="zh-CN" w:bidi="ar-SA"/>
        </w:rPr>
        <w:t>昌经济开发区</w:t>
      </w:r>
      <w:r>
        <w:rPr>
          <w:rFonts w:hint="default" w:ascii="Times New Roman" w:hAnsi="Times New Roman" w:eastAsia="宋体....." w:cs="Times New Roman"/>
          <w:b/>
          <w:bCs/>
          <w:color w:val="auto"/>
          <w:kern w:val="2"/>
          <w:sz w:val="24"/>
          <w:szCs w:val="24"/>
          <w:highlight w:val="none"/>
          <w:lang w:val="en-US" w:eastAsia="zh-CN" w:bidi="ar-SA"/>
        </w:rPr>
        <w:t>管网分布图</w:t>
      </w:r>
      <w:bookmarkEnd w:id="144"/>
      <w:bookmarkEnd w:id="145"/>
      <w:bookmarkEnd w:id="146"/>
      <w:bookmarkEnd w:id="147"/>
    </w:p>
    <w:p w14:paraId="59E71158">
      <w:pPr>
        <w:rPr>
          <w:rFonts w:hint="default" w:ascii="Times New Roman" w:hAnsi="Times New Roman" w:cs="Times New Roman"/>
          <w:b/>
          <w:bCs/>
          <w:color w:val="auto"/>
          <w:highlight w:val="none"/>
          <w:lang w:val="en-US" w:eastAsia="zh-CN"/>
        </w:rPr>
        <w:sectPr>
          <w:pgSz w:w="11849" w:h="16781"/>
          <w:pgMar w:top="1417" w:right="1213" w:bottom="1417" w:left="1213" w:header="850" w:footer="794" w:gutter="340"/>
          <w:pgBorders>
            <w:top w:val="none" w:sz="0" w:space="0"/>
            <w:left w:val="none" w:sz="0" w:space="0"/>
            <w:bottom w:val="none" w:sz="0" w:space="0"/>
            <w:right w:val="none" w:sz="0" w:space="0"/>
          </w:pgBorders>
          <w:pgNumType w:fmt="decimal"/>
          <w:cols w:space="720" w:num="1"/>
          <w:docGrid w:type="lines" w:linePitch="434" w:charSpace="0"/>
        </w:sectPr>
      </w:pPr>
    </w:p>
    <w:p w14:paraId="635EDA0D">
      <w:pPr>
        <w:rPr>
          <w:rFonts w:hint="default"/>
          <w:lang w:val="en-US" w:eastAsia="zh-CN"/>
        </w:rPr>
      </w:pPr>
      <w:r>
        <w:rPr>
          <w:sz w:val="24"/>
        </w:rPr>
        <mc:AlternateContent>
          <mc:Choice Requires="wpg">
            <w:drawing>
              <wp:anchor distT="0" distB="0" distL="114300" distR="114300" simplePos="0" relativeHeight="251779072" behindDoc="0" locked="0" layoutInCell="1" allowOverlap="1">
                <wp:simplePos x="0" y="0"/>
                <wp:positionH relativeFrom="column">
                  <wp:posOffset>2905125</wp:posOffset>
                </wp:positionH>
                <wp:positionV relativeFrom="paragraph">
                  <wp:posOffset>201930</wp:posOffset>
                </wp:positionV>
                <wp:extent cx="1651000" cy="795020"/>
                <wp:effectExtent l="12700" t="12700" r="31750" b="30480"/>
                <wp:wrapNone/>
                <wp:docPr id="135" name="组合 135"/>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33"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64"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8.75pt;margin-top:15.9pt;height:62.6pt;width:130pt;z-index:251779072;mso-width-relative:page;mso-height-relative:page;" coordorigin="9176,2798726" coordsize="2600,1252" o:gfxdata="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Hq5ITPZAAAACgEAAA8AAAAAAAAA&#10;AQAgAAAAIgAAAGRycy9kb3ducmV2LnhtbFBLAQIUABQAAAAIAIdO4kAZe1j92AMAAEUJAAAOAAAA&#10;AAAAAAEAIAAAACg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n2d+1r0AAADb&#10;AAAADwAAAGRycy9kb3ducmV2LnhtbEWPT2sCMRTE7wW/Q3gFbzWbCla2Rg8VxYuIf8DrY/PcrN28&#10;LJtUVz+9EYQeh5n5DTOZda4WF2pD5VmDGmQgiAtvKi41HPaLjzGIEJEN1p5Jw40CzKa9twnmxl95&#10;S5ddLEWCcMhRg42xyaUMhSWHYeAb4uSdfOswJtmW0rR4TXBXy88sG0mHFacFiw39WCp+d39Ow1J9&#10;nY/Kjv3JrpWZl+ducd9YrfvvKvsGEamL/+FXe2U0DIfw/JJ+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Z37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8yqkRb0AAADb&#10;AAAADwAAAGRycy9kb3ducmV2LnhtbEWPT4vCMBTE7wt+h/AEL4umdUWkNnoQBVk8aHe9P5rXP9i8&#10;1CZq99tvBMHjMDO/YdJ1bxpxp87VlhXEkwgEcW51zaWC35/deAHCeWSNjWVS8EcO1qvBR4qJtg8+&#10;0T3zpQgQdgkqqLxvEyldXpFBN7EtcfAK2xn0QXal1B0+Atw0chpFc2mw5rBQYUubivJLdjMK7O1r&#10;e+Dz99FeZ0V/OJY7/tzESo2GcbQE4an37/CrvdcK5jN4fgk/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KqRFvQAA&#10;ANs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position w:val="-222"/>
        </w:rPr>
        <w:drawing>
          <wp:inline distT="0" distB="0" distL="0" distR="0">
            <wp:extent cx="5293360" cy="7061200"/>
            <wp:effectExtent l="0" t="0" r="2540" b="6350"/>
            <wp:docPr id="290" name="IM 82"/>
            <wp:cNvGraphicFramePr/>
            <a:graphic xmlns:a="http://schemas.openxmlformats.org/drawingml/2006/main">
              <a:graphicData uri="http://schemas.openxmlformats.org/drawingml/2006/picture">
                <pic:pic xmlns:pic="http://schemas.openxmlformats.org/drawingml/2006/picture">
                  <pic:nvPicPr>
                    <pic:cNvPr id="290" name="IM 82"/>
                    <pic:cNvPicPr/>
                  </pic:nvPicPr>
                  <pic:blipFill>
                    <a:blip r:embed="rId90"/>
                    <a:stretch>
                      <a:fillRect/>
                    </a:stretch>
                  </pic:blipFill>
                  <pic:spPr>
                    <a:xfrm>
                      <a:off x="0" y="0"/>
                      <a:ext cx="5293817" cy="7061580"/>
                    </a:xfrm>
                    <a:prstGeom prst="rect">
                      <a:avLst/>
                    </a:prstGeom>
                  </pic:spPr>
                </pic:pic>
              </a:graphicData>
            </a:graphic>
          </wp:inline>
        </w:drawing>
      </w:r>
    </w:p>
    <w:p w14:paraId="00A78914">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8" w:name="_Toc14143"/>
      <w:r>
        <w:rPr>
          <w:rFonts w:hint="eastAsia" w:ascii="Times New Roman" w:hAnsi="Times New Roman" w:eastAsia="宋体....." w:cs="Times New Roman"/>
          <w:b/>
          <w:bCs/>
          <w:color w:val="auto"/>
          <w:kern w:val="2"/>
          <w:sz w:val="24"/>
          <w:szCs w:val="24"/>
          <w:highlight w:val="none"/>
          <w:lang w:val="en-US" w:eastAsia="zh-CN" w:bidi="ar-SA"/>
        </w:rPr>
        <w:t>附图16  项目所在区域</w:t>
      </w:r>
      <w:r>
        <w:rPr>
          <w:rFonts w:hint="default" w:ascii="Times New Roman" w:hAnsi="Times New Roman" w:eastAsia="宋体....." w:cs="Times New Roman"/>
          <w:b/>
          <w:bCs/>
          <w:color w:val="auto"/>
          <w:kern w:val="2"/>
          <w:sz w:val="24"/>
          <w:szCs w:val="24"/>
          <w:highlight w:val="none"/>
          <w:lang w:val="en-US" w:eastAsia="en-US" w:bidi="ar-SA"/>
        </w:rPr>
        <w:t>土地利用规划图</w:t>
      </w:r>
      <w:bookmarkEnd w:id="148"/>
    </w:p>
    <w:p w14:paraId="21D27096">
      <w:pPr>
        <w:widowControl w:val="0"/>
        <w:autoSpaceDE w:val="0"/>
        <w:autoSpaceDN w:val="0"/>
        <w:adjustRightInd w:val="0"/>
        <w:jc w:val="center"/>
        <w:rPr>
          <w:rFonts w:hint="eastAsia" w:ascii="宋体....." w:hAnsi="Times New Roman" w:eastAsia="宋体....." w:cs="宋体....."/>
          <w:color w:val="auto"/>
          <w:kern w:val="2"/>
          <w:sz w:val="24"/>
          <w:szCs w:val="24"/>
          <w:highlight w:val="none"/>
          <w:lang w:val="en-US" w:eastAsia="zh-CN" w:bidi="ar-SA"/>
        </w:rPr>
      </w:pPr>
      <w:r>
        <w:rPr>
          <w:rFonts w:ascii="宋体....." w:hAnsi="Times New Roman" w:eastAsia="宋体....." w:cs="宋体....."/>
          <w:color w:val="000000"/>
          <w:kern w:val="2"/>
          <w:sz w:val="24"/>
          <w:szCs w:val="24"/>
          <w:lang w:val="en-US" w:eastAsia="zh-CN" w:bidi="ar-SA"/>
        </w:rPr>
        <mc:AlternateContent>
          <mc:Choice Requires="wpg">
            <w:drawing>
              <wp:anchor distT="0" distB="0" distL="114300" distR="114300" simplePos="0" relativeHeight="251780096" behindDoc="0" locked="0" layoutInCell="1" allowOverlap="1">
                <wp:simplePos x="0" y="0"/>
                <wp:positionH relativeFrom="column">
                  <wp:posOffset>3804920</wp:posOffset>
                </wp:positionH>
                <wp:positionV relativeFrom="paragraph">
                  <wp:posOffset>2491105</wp:posOffset>
                </wp:positionV>
                <wp:extent cx="1651000" cy="795020"/>
                <wp:effectExtent l="12700" t="12700" r="31750" b="30480"/>
                <wp:wrapNone/>
                <wp:docPr id="136" name="组合 136"/>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3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3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9.6pt;margin-top:196.15pt;height:62.6pt;width:130pt;z-index:251780096;mso-width-relative:page;mso-height-relative:page;" coordorigin="9176,2798726" coordsize="2600,1252" o:gfxdata="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I0Wrd7wAAADc&#10;AAAADwAAAGRycy9kb3ducmV2LnhtbEVPTWvCQBC9C/0PyxR6081aqCHN6qHF0kspaqHXITtmk2Zn&#10;Q3bV1F/vCoK3ebzPKVej68SRhtB41qBmGQjiypuGaw0/u/U0BxEissHOM2n4pwCr5cOkxML4E2/o&#10;uI21SCEcCtRgY+wLKUNlyWGY+Z44cXs/OIwJDrU0A55SuOvkPMtepMOGU4PFnt4sVX/bg9PwoRbt&#10;r7K539svZd7rdlyfv63WT48qewURaYx38c39adL85wVcn0kX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Fq3e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WUV4uL0AAADc&#10;AAAADwAAAGRycy9kb3ducmV2LnhtbEWPQYvCQAyF78L+hyELXkSnXWWRrqMHUVjEg7p6D53Ylu1k&#10;amfU+u/NQfCW8F7e+zJbdK5WN2pD5dlAOkpAEefeVlwYOP6th1NQISJbrD2TgQcFWMw/ejPMrL/z&#10;nm6HWCgJ4ZChgTLGJtM65CU5DCPfEIt29q3DKGtbaNviXcJdrb+S5Fs7rFgaSmxoWVL+f7g6A/46&#10;Xm35tNn5y+TcbXfFmgfL1Jj+Z5r8gIrUxbf5df1rBX8stPKMTK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RXi4vQAA&#10;ANw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0885"/>
            <wp:effectExtent l="0" t="0" r="10160" b="12065"/>
            <wp:docPr id="84" name="IM 30"/>
            <wp:cNvGraphicFramePr/>
            <a:graphic xmlns:a="http://schemas.openxmlformats.org/drawingml/2006/main">
              <a:graphicData uri="http://schemas.openxmlformats.org/drawingml/2006/picture">
                <pic:pic xmlns:pic="http://schemas.openxmlformats.org/drawingml/2006/picture">
                  <pic:nvPicPr>
                    <pic:cNvPr id="84" name="IM 30"/>
                    <pic:cNvPicPr/>
                  </pic:nvPicPr>
                  <pic:blipFill>
                    <a:blip r:embed="rId91"/>
                    <a:stretch>
                      <a:fillRect/>
                    </a:stretch>
                  </pic:blipFill>
                  <pic:spPr>
                    <a:xfrm>
                      <a:off x="0" y="0"/>
                      <a:ext cx="5266690" cy="8351519"/>
                    </a:xfrm>
                    <a:prstGeom prst="rect">
                      <a:avLst/>
                    </a:prstGeom>
                  </pic:spPr>
                </pic:pic>
              </a:graphicData>
            </a:graphic>
          </wp:inline>
        </w:drawing>
      </w:r>
    </w:p>
    <w:p w14:paraId="613250B9">
      <w:pPr>
        <w:widowControl w:val="0"/>
        <w:autoSpaceDE w:val="0"/>
        <w:autoSpaceDN w:val="0"/>
        <w:adjustRightInd w:val="0"/>
        <w:jc w:val="center"/>
        <w:outlineLvl w:val="0"/>
        <w:rPr>
          <w:rFonts w:hint="eastAsia" w:ascii="Times New Roman" w:hAnsi="Times New Roman" w:eastAsia="宋体....." w:cs="Times New Roman"/>
          <w:b/>
          <w:bCs/>
          <w:color w:val="auto"/>
          <w:kern w:val="2"/>
          <w:sz w:val="24"/>
          <w:szCs w:val="24"/>
          <w:highlight w:val="none"/>
          <w:lang w:val="en-US" w:eastAsia="zh-CN" w:bidi="ar-SA"/>
        </w:rPr>
      </w:pPr>
      <w:bookmarkStart w:id="149" w:name="_Toc16243"/>
      <w:r>
        <w:rPr>
          <w:rFonts w:hint="eastAsia" w:ascii="Times New Roman" w:hAnsi="Times New Roman" w:eastAsia="宋体....." w:cs="Times New Roman"/>
          <w:b/>
          <w:bCs/>
          <w:color w:val="auto"/>
          <w:kern w:val="2"/>
          <w:sz w:val="24"/>
          <w:szCs w:val="24"/>
          <w:highlight w:val="none"/>
          <w:lang w:val="en-US" w:eastAsia="zh-CN" w:bidi="ar-SA"/>
        </w:rPr>
        <w:t>附图17  项目所在区域生态红线分布图</w:t>
      </w:r>
      <w:bookmarkEnd w:id="149"/>
    </w:p>
    <w:p w14:paraId="19E02820">
      <w:pPr>
        <w:widowControl w:val="0"/>
        <w:ind w:left="240"/>
        <w:jc w:val="both"/>
        <w:rPr>
          <w:rFonts w:hint="default" w:ascii="宋体" w:hAnsi="Times New Roman" w:eastAsia="宋体" w:cs="Times New Roman"/>
          <w:b/>
          <w:bCs/>
          <w:kern w:val="2"/>
          <w:sz w:val="32"/>
          <w:szCs w:val="32"/>
          <w:lang w:val="en-US" w:eastAsia="zh-CN" w:bidi="ar-SA"/>
        </w:rPr>
      </w:pPr>
      <w:r>
        <w:rPr>
          <w:rFonts w:ascii="宋体" w:hAnsi="Times New Roman" w:eastAsia="宋体" w:cs="Times New Roman"/>
          <w:b/>
          <w:bCs/>
          <w:kern w:val="2"/>
          <w:sz w:val="24"/>
          <w:szCs w:val="32"/>
          <w:lang w:val="en-US" w:eastAsia="zh-CN" w:bidi="ar-SA"/>
        </w:rPr>
        <mc:AlternateContent>
          <mc:Choice Requires="wpg">
            <w:drawing>
              <wp:anchor distT="0" distB="0" distL="114300" distR="114300" simplePos="0" relativeHeight="251781120" behindDoc="0" locked="0" layoutInCell="1" allowOverlap="1">
                <wp:simplePos x="0" y="0"/>
                <wp:positionH relativeFrom="column">
                  <wp:posOffset>2931795</wp:posOffset>
                </wp:positionH>
                <wp:positionV relativeFrom="paragraph">
                  <wp:posOffset>1379855</wp:posOffset>
                </wp:positionV>
                <wp:extent cx="1651000" cy="795020"/>
                <wp:effectExtent l="12700" t="12700" r="31750" b="30480"/>
                <wp:wrapNone/>
                <wp:docPr id="139" name="组合 139"/>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6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6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30.85pt;margin-top:108.65pt;height:62.6pt;width:130pt;z-index:251781120;mso-width-relative:page;mso-height-relative:page;" coordorigin="9176,2798726" coordsize="2600,1252" o:gfxdata="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JOmEcrbAAAACwEAAA8AAAAAAAAA&#10;AQAgAAAAIgAAAGRycy9kb3ducmV2LnhtbFBLAQIUABQAAAAIAIdO4kANd+8E1gMAAEcJAAAOAAAA&#10;AAAAAAEAIAAAACo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MPaEarwAAADc&#10;AAAADwAAAGRycy9kb3ducmV2LnhtbEVPPWvDMBDdA/0P4grdElkZ7OBGyZCS0qWEuoGuh3WxnFgn&#10;Yymxm19fFQrd7vE+b72dXCduNITWswa1yEAQ19603Gg4fu7nKxAhIhvsPJOGbwqw3TzM1lgaP/IH&#10;3arYiBTCoUQNNsa+lDLUlhyGhe+JE3fyg8OY4NBIM+CYwl0nl1mWS4ctpwaLPe0s1Zfq6jS8quL8&#10;pezKn+y7Mi/NedrfD1brp0eVPYOINMV/8Z/7zaT5eQG/z6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2hGq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SvZXpb8AAADc&#10;AAAADwAAAGRycy9kb3ducmV2LnhtbEWPQWvCQBCF7wX/wzKCl6Kb2CIlunqQCqXkkNr2PmTHJJid&#10;jdk1Sf9951DobYb35r1vdofJtWqgPjSeDaSrBBRx6W3DlYGvz9PyBVSIyBZbz2TghwIc9rOHHWbW&#10;j/xBwzlWSkI4ZGigjrHLtA5lTQ7DynfEol187zDK2lfa9jhKuGv1Okk22mHD0lBjR8eayuv57gz4&#10;+9Nrzt/vhb89X6a8qE78eEyNWczTZAsq0hT/zX/Xb1bwN0Irz8gEev8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2V6W/&#10;AAAA3AAAAA8AAAAAAAAAAQAgAAAAIgAAAGRycy9kb3ducmV2LnhtbFBLAQIUABQAAAAIAIdO4kAz&#10;LwWeOwAAADkAAAAQAAAAAAAAAAEAIAAAAA4BAABkcnMvc2hhcGV4bWwueG1sUEsFBgAAAAAGAAYA&#10;WwEAALgDA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Times New Roman"/>
          <w:b/>
          <w:bCs/>
          <w:kern w:val="2"/>
          <w:position w:val="-263"/>
          <w:sz w:val="32"/>
          <w:szCs w:val="32"/>
          <w:lang w:val="en-US" w:eastAsia="zh-CN" w:bidi="ar-SA"/>
        </w:rPr>
        <w:drawing>
          <wp:inline distT="0" distB="0" distL="0" distR="0">
            <wp:extent cx="5266690" cy="8353425"/>
            <wp:effectExtent l="0" t="0" r="10160" b="9525"/>
            <wp:docPr id="140" name="IM 66"/>
            <wp:cNvGraphicFramePr/>
            <a:graphic xmlns:a="http://schemas.openxmlformats.org/drawingml/2006/main">
              <a:graphicData uri="http://schemas.openxmlformats.org/drawingml/2006/picture">
                <pic:pic xmlns:pic="http://schemas.openxmlformats.org/drawingml/2006/picture">
                  <pic:nvPicPr>
                    <pic:cNvPr id="140" name="IM 66"/>
                    <pic:cNvPicPr/>
                  </pic:nvPicPr>
                  <pic:blipFill>
                    <a:blip r:embed="rId92"/>
                    <a:stretch>
                      <a:fillRect/>
                    </a:stretch>
                  </pic:blipFill>
                  <pic:spPr>
                    <a:xfrm>
                      <a:off x="0" y="0"/>
                      <a:ext cx="5266690" cy="8354059"/>
                    </a:xfrm>
                    <a:prstGeom prst="rect">
                      <a:avLst/>
                    </a:prstGeom>
                  </pic:spPr>
                </pic:pic>
              </a:graphicData>
            </a:graphic>
          </wp:inline>
        </w:drawing>
      </w:r>
    </w:p>
    <w:p w14:paraId="34F86B6F">
      <w:pPr>
        <w:widowControl w:val="0"/>
        <w:autoSpaceDE w:val="0"/>
        <w:autoSpaceDN w:val="0"/>
        <w:adjustRightInd w:val="0"/>
        <w:jc w:val="center"/>
        <w:outlineLvl w:val="0"/>
        <w:rPr>
          <w:rFonts w:hint="eastAsia" w:ascii="宋体....." w:hAnsi="Times New Roman" w:eastAsia="宋体....." w:cs="宋体....."/>
          <w:color w:val="auto"/>
          <w:kern w:val="2"/>
          <w:sz w:val="24"/>
          <w:szCs w:val="24"/>
          <w:highlight w:val="none"/>
          <w:lang w:val="en-US" w:eastAsia="zh-CN" w:bidi="ar-SA"/>
        </w:rPr>
      </w:pPr>
      <w:bookmarkStart w:id="150" w:name="_Toc15485"/>
      <w:r>
        <w:rPr>
          <w:rFonts w:hint="eastAsia" w:ascii="Times New Roman" w:hAnsi="Times New Roman" w:eastAsia="宋体....." w:cs="Times New Roman"/>
          <w:b/>
          <w:bCs/>
          <w:color w:val="auto"/>
          <w:kern w:val="2"/>
          <w:sz w:val="24"/>
          <w:szCs w:val="24"/>
          <w:highlight w:val="none"/>
          <w:lang w:val="en-US" w:eastAsia="zh-CN" w:bidi="ar-SA"/>
        </w:rPr>
        <w:t>附图18  项目周边永久农田、耕地、园地分布图</w:t>
      </w:r>
      <w:bookmarkEnd w:id="150"/>
    </w:p>
    <w:p w14:paraId="2C82E3E8">
      <w:pPr>
        <w:rPr>
          <w:rFonts w:hint="eastAsia"/>
        </w:rPr>
        <w:sectPr>
          <w:type w:val="continuous"/>
          <w:pgSz w:w="11849" w:h="16781"/>
          <w:pgMar w:top="1417" w:right="1213" w:bottom="1417" w:left="1213" w:header="850" w:footer="794" w:gutter="340"/>
          <w:pgBorders>
            <w:top w:val="none" w:sz="0" w:space="0"/>
            <w:left w:val="none" w:sz="0" w:space="0"/>
            <w:bottom w:val="none" w:sz="0" w:space="0"/>
            <w:right w:val="none" w:sz="0" w:space="0"/>
          </w:pgBorders>
          <w:pgNumType w:fmt="decimal"/>
          <w:cols w:space="720" w:num="1"/>
          <w:docGrid w:type="lines" w:linePitch="434" w:charSpace="0"/>
        </w:sectPr>
      </w:pPr>
    </w:p>
    <w:p w14:paraId="6938CE15">
      <w:pPr>
        <w:outlineLvl w:val="0"/>
        <w:rPr>
          <w:rFonts w:hint="default" w:ascii="Times New Roman" w:hAnsi="Times New Roman" w:eastAsia="宋体" w:cs="Times New Roman"/>
          <w:b/>
          <w:color w:val="auto"/>
          <w:sz w:val="24"/>
          <w:highlight w:val="none"/>
          <w:lang w:val="en-US" w:eastAsia="zh-CN"/>
        </w:rPr>
      </w:pPr>
      <w:bookmarkStart w:id="151" w:name="_Toc16471"/>
      <w:bookmarkStart w:id="152" w:name="_Toc25783"/>
      <w:bookmarkStart w:id="153" w:name="_Toc16666"/>
      <w:r>
        <w:rPr>
          <w:rFonts w:hint="default" w:ascii="Times New Roman" w:hAnsi="Times New Roman" w:cs="Times New Roman"/>
          <w:b/>
          <w:color w:val="auto"/>
          <w:sz w:val="24"/>
          <w:highlight w:val="none"/>
        </w:rPr>
        <w:t>附件</w:t>
      </w:r>
      <w:r>
        <w:rPr>
          <w:rFonts w:hint="eastAsia" w:ascii="Times New Roman" w:hAnsi="Times New Roman" w:cs="Times New Roman"/>
          <w:b/>
          <w:color w:val="auto"/>
          <w:sz w:val="24"/>
          <w:highlight w:val="none"/>
          <w:lang w:val="en-US" w:eastAsia="zh-CN"/>
        </w:rPr>
        <w:t>1</w:t>
      </w:r>
      <w:r>
        <w:rPr>
          <w:rFonts w:hint="default" w:ascii="Times New Roman" w:hAnsi="Times New Roman" w:cs="Times New Roman"/>
          <w:b/>
          <w:color w:val="auto"/>
          <w:sz w:val="24"/>
          <w:highlight w:val="none"/>
        </w:rPr>
        <w:t>：</w:t>
      </w:r>
      <w:bookmarkEnd w:id="116"/>
      <w:bookmarkEnd w:id="117"/>
      <w:bookmarkEnd w:id="118"/>
      <w:bookmarkEnd w:id="119"/>
      <w:bookmarkEnd w:id="120"/>
      <w:r>
        <w:rPr>
          <w:rFonts w:hint="eastAsia" w:ascii="Times New Roman" w:hAnsi="Times New Roman" w:cs="Times New Roman"/>
          <w:b/>
          <w:color w:val="auto"/>
          <w:sz w:val="24"/>
          <w:highlight w:val="none"/>
          <w:lang w:val="en-US" w:eastAsia="zh-CN"/>
        </w:rPr>
        <w:t>营业执照</w:t>
      </w:r>
      <w:bookmarkEnd w:id="151"/>
      <w:bookmarkEnd w:id="152"/>
      <w:bookmarkEnd w:id="153"/>
    </w:p>
    <w:p w14:paraId="0F2E7FCF">
      <w:pPr>
        <w:jc w:val="center"/>
        <w:rPr>
          <w:rFonts w:hint="default" w:ascii="Times New Roman" w:hAnsi="Times New Roman" w:eastAsia="宋体" w:cs="Times New Roman"/>
          <w:color w:val="auto"/>
          <w:highlight w:val="none"/>
          <w:lang w:eastAsia="zh-CN"/>
        </w:rPr>
      </w:pPr>
    </w:p>
    <w:p w14:paraId="2E73CF68">
      <w:pPr>
        <w:jc w:val="center"/>
        <w:rPr>
          <w:rFonts w:hint="default" w:ascii="Times New Roman" w:hAnsi="Times New Roman" w:eastAsia="宋体" w:cs="Times New Roman"/>
          <w:color w:val="auto"/>
          <w:highlight w:val="none"/>
          <w:lang w:eastAsia="zh-CN"/>
        </w:rPr>
        <w:sectPr>
          <w:pgSz w:w="16781" w:h="11849" w:orient="landscape"/>
          <w:pgMar w:top="1213" w:right="1417" w:bottom="1213"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r>
        <w:rPr>
          <w:color w:val="auto"/>
          <w:highlight w:val="none"/>
        </w:rPr>
        <w:drawing>
          <wp:inline distT="0" distB="0" distL="114300" distR="114300">
            <wp:extent cx="6395720" cy="4484370"/>
            <wp:effectExtent l="0" t="0" r="5080" b="11430"/>
            <wp:docPr id="1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
                    <pic:cNvPicPr>
                      <a:picLocks noChangeAspect="1"/>
                    </pic:cNvPicPr>
                  </pic:nvPicPr>
                  <pic:blipFill>
                    <a:blip r:embed="rId93"/>
                    <a:stretch>
                      <a:fillRect/>
                    </a:stretch>
                  </pic:blipFill>
                  <pic:spPr>
                    <a:xfrm>
                      <a:off x="0" y="0"/>
                      <a:ext cx="6395720" cy="4484370"/>
                    </a:xfrm>
                    <a:prstGeom prst="rect">
                      <a:avLst/>
                    </a:prstGeom>
                    <a:noFill/>
                    <a:ln>
                      <a:noFill/>
                    </a:ln>
                  </pic:spPr>
                </pic:pic>
              </a:graphicData>
            </a:graphic>
          </wp:inline>
        </w:drawing>
      </w:r>
    </w:p>
    <w:p w14:paraId="2A67743E">
      <w:pPr>
        <w:spacing w:line="360" w:lineRule="auto"/>
        <w:outlineLvl w:val="0"/>
        <w:rPr>
          <w:rFonts w:hint="default" w:ascii="Times New Roman" w:hAnsi="Times New Roman" w:cs="Times New Roman"/>
          <w:b/>
          <w:bCs/>
          <w:color w:val="auto"/>
          <w:sz w:val="24"/>
          <w:highlight w:val="none"/>
        </w:rPr>
      </w:pPr>
      <w:bookmarkStart w:id="154" w:name="_Toc31355"/>
      <w:bookmarkStart w:id="155" w:name="_Toc12243"/>
      <w:bookmarkStart w:id="156" w:name="_Toc18951"/>
      <w:r>
        <w:rPr>
          <w:rFonts w:hint="default" w:ascii="Times New Roman" w:hAnsi="Times New Roman" w:cs="Times New Roman"/>
          <w:b/>
          <w:bCs/>
          <w:color w:val="auto"/>
          <w:sz w:val="24"/>
          <w:highlight w:val="none"/>
        </w:rPr>
        <w:t>附件</w:t>
      </w:r>
      <w:r>
        <w:rPr>
          <w:rFonts w:hint="eastAsia"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w:t>
      </w:r>
      <w:bookmarkEnd w:id="50"/>
      <w:bookmarkEnd w:id="51"/>
      <w:bookmarkEnd w:id="52"/>
      <w:r>
        <w:rPr>
          <w:rFonts w:hint="default" w:ascii="Times New Roman" w:hAnsi="Times New Roman" w:cs="Times New Roman"/>
          <w:b/>
          <w:bCs/>
          <w:color w:val="auto"/>
          <w:sz w:val="24"/>
          <w:highlight w:val="none"/>
        </w:rPr>
        <w:t>法人身份证复印件</w:t>
      </w:r>
      <w:bookmarkEnd w:id="154"/>
      <w:bookmarkEnd w:id="155"/>
      <w:bookmarkEnd w:id="156"/>
    </w:p>
    <w:p w14:paraId="39DA38A9">
      <w:pPr>
        <w:jc w:val="left"/>
        <w:rPr>
          <w:rFonts w:hint="default" w:ascii="仿宋" w:hAnsi="仿宋" w:eastAsia="仿宋"/>
          <w:b/>
          <w:bCs/>
          <w:color w:val="auto"/>
          <w:sz w:val="28"/>
          <w:szCs w:val="28"/>
          <w:highlight w:val="none"/>
          <w:lang w:val="en-US" w:eastAsia="zh-CN"/>
        </w:rPr>
      </w:pPr>
    </w:p>
    <w:p w14:paraId="2C7B9F64">
      <w:pPr>
        <w:jc w:val="left"/>
        <w:rPr>
          <w:rFonts w:hint="default" w:ascii="仿宋" w:hAnsi="仿宋" w:eastAsia="仿宋"/>
          <w:b/>
          <w:bCs/>
          <w:color w:val="auto"/>
          <w:sz w:val="28"/>
          <w:szCs w:val="28"/>
          <w:highlight w:val="none"/>
          <w:lang w:val="en-US" w:eastAsia="zh-CN"/>
        </w:rPr>
      </w:pPr>
    </w:p>
    <w:p w14:paraId="7526E97B">
      <w:pPr>
        <w:jc w:val="center"/>
        <w:rPr>
          <w:rFonts w:hint="default" w:ascii="仿宋" w:hAnsi="仿宋" w:eastAsia="仿宋"/>
          <w:b/>
          <w:bCs/>
          <w:color w:val="auto"/>
          <w:sz w:val="28"/>
          <w:szCs w:val="28"/>
          <w:highlight w:val="none"/>
          <w:lang w:val="en-US" w:eastAsia="zh-CN"/>
        </w:rPr>
      </w:pPr>
    </w:p>
    <w:p w14:paraId="2A6B35B0">
      <w:pPr>
        <w:widowControl w:val="0"/>
        <w:autoSpaceDE w:val="0"/>
        <w:autoSpaceDN w:val="0"/>
        <w:adjustRightInd w:val="0"/>
        <w:jc w:val="both"/>
        <w:rPr>
          <w:rFonts w:hint="default" w:ascii="仿宋" w:hAnsi="仿宋" w:eastAsia="仿宋" w:cs="宋体....."/>
          <w:b/>
          <w:bCs/>
          <w:color w:val="auto"/>
          <w:kern w:val="2"/>
          <w:sz w:val="28"/>
          <w:szCs w:val="28"/>
          <w:highlight w:val="none"/>
          <w:lang w:val="en-US" w:eastAsia="zh-CN" w:bidi="ar-SA"/>
        </w:rPr>
      </w:pPr>
    </w:p>
    <w:p w14:paraId="2156F79F">
      <w:pPr>
        <w:jc w:val="center"/>
        <w:rPr>
          <w:rFonts w:hint="default" w:ascii="Times New Roman" w:hAnsi="Times New Roman" w:eastAsia="宋体" w:cs="Times New Roman"/>
          <w:b/>
          <w:bCs/>
          <w:color w:val="auto"/>
          <w:sz w:val="24"/>
          <w:highlight w:val="none"/>
          <w:lang w:eastAsia="zh-CN"/>
        </w:rPr>
        <w:sectPr>
          <w:footerReference r:id="rId11" w:type="default"/>
          <w:pgSz w:w="11849" w:h="16781"/>
          <w:pgMar w:top="1440" w:right="1701" w:bottom="1440"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p>
    <w:bookmarkEnd w:id="53"/>
    <w:bookmarkEnd w:id="54"/>
    <w:p w14:paraId="24633301">
      <w:pPr>
        <w:outlineLvl w:val="0"/>
        <w:rPr>
          <w:rFonts w:hint="default"/>
          <w:color w:val="auto"/>
          <w:highlight w:val="none"/>
          <w:lang w:val="en-US"/>
        </w:rPr>
      </w:pPr>
      <w:bookmarkStart w:id="157" w:name="_Toc32401"/>
      <w:bookmarkStart w:id="158" w:name="_Toc11430"/>
      <w:bookmarkStart w:id="159" w:name="_Toc25382"/>
      <w:bookmarkStart w:id="160" w:name="_Toc21317"/>
      <w:bookmarkStart w:id="161" w:name="_Toc3366"/>
      <w:bookmarkStart w:id="162" w:name="_Toc22840"/>
      <w:bookmarkStart w:id="163" w:name="_Toc22528"/>
      <w:r>
        <w:rPr>
          <w:rFonts w:hint="eastAsia" w:ascii="Times New Roman" w:hAnsi="Times New Roman" w:eastAsia="宋体" w:cs="Times New Roman"/>
          <w:b/>
          <w:bCs/>
          <w:color w:val="auto"/>
          <w:sz w:val="24"/>
          <w:highlight w:val="none"/>
          <w:lang w:val="en-US" w:eastAsia="zh-CN"/>
        </w:rPr>
        <w:t>附件3：</w:t>
      </w:r>
      <w:bookmarkEnd w:id="157"/>
      <w:bookmarkEnd w:id="158"/>
      <w:bookmarkEnd w:id="159"/>
      <w:bookmarkEnd w:id="160"/>
      <w:r>
        <w:rPr>
          <w:rFonts w:hint="eastAsia" w:ascii="Times New Roman" w:hAnsi="Times New Roman" w:eastAsia="宋体" w:cs="Times New Roman"/>
          <w:b/>
          <w:bCs/>
          <w:color w:val="auto"/>
          <w:sz w:val="24"/>
          <w:highlight w:val="none"/>
          <w:lang w:val="en-US" w:eastAsia="zh-CN"/>
        </w:rPr>
        <w:t>不动产权证</w:t>
      </w:r>
      <w:bookmarkEnd w:id="161"/>
    </w:p>
    <w:p w14:paraId="52C22E7A">
      <w:pPr>
        <w:jc w:val="center"/>
        <w:rPr>
          <w:rFonts w:hint="default"/>
          <w:color w:val="auto"/>
          <w:highlight w:val="none"/>
        </w:rPr>
        <w:sectPr>
          <w:footerReference r:id="rId12" w:type="default"/>
          <w:pgSz w:w="16783" w:h="11850" w:orient="landscape"/>
          <w:pgMar w:top="1247" w:right="1440" w:bottom="1247" w:left="1440" w:header="850" w:footer="794" w:gutter="340"/>
          <w:pgBorders>
            <w:top w:val="none" w:sz="0" w:space="0"/>
            <w:left w:val="none" w:sz="0" w:space="0"/>
            <w:bottom w:val="none" w:sz="0" w:space="0"/>
            <w:right w:val="none" w:sz="0" w:space="0"/>
          </w:pgBorders>
          <w:pgNumType w:fmt="decimal"/>
          <w:cols w:space="720" w:num="1"/>
          <w:docGrid w:type="lines" w:linePitch="434" w:charSpace="0"/>
        </w:sectPr>
      </w:pPr>
      <w:r>
        <w:rPr>
          <w:rFonts w:ascii="宋体....." w:hAnsi="Times New Roman" w:eastAsia="宋体....." w:cs="宋体....."/>
          <w:color w:val="auto"/>
          <w:kern w:val="2"/>
          <w:sz w:val="24"/>
          <w:szCs w:val="24"/>
          <w:highlight w:val="none"/>
          <w:lang w:val="en-US" w:eastAsia="zh-CN" w:bidi="ar-SA"/>
        </w:rPr>
        <w:drawing>
          <wp:inline distT="0" distB="0" distL="114300" distR="114300">
            <wp:extent cx="7229475" cy="5155565"/>
            <wp:effectExtent l="0" t="0" r="9525" b="6985"/>
            <wp:docPr id="1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
                    <pic:cNvPicPr>
                      <a:picLocks noChangeAspect="1"/>
                    </pic:cNvPicPr>
                  </pic:nvPicPr>
                  <pic:blipFill>
                    <a:blip r:embed="rId94"/>
                    <a:stretch>
                      <a:fillRect/>
                    </a:stretch>
                  </pic:blipFill>
                  <pic:spPr>
                    <a:xfrm>
                      <a:off x="0" y="0"/>
                      <a:ext cx="7229475" cy="5155565"/>
                    </a:xfrm>
                    <a:prstGeom prst="rect">
                      <a:avLst/>
                    </a:prstGeom>
                    <a:noFill/>
                    <a:ln>
                      <a:noFill/>
                    </a:ln>
                  </pic:spPr>
                </pic:pic>
              </a:graphicData>
            </a:graphic>
          </wp:inline>
        </w:drawing>
      </w:r>
    </w:p>
    <w:p w14:paraId="44625A7F">
      <w:pPr>
        <w:spacing w:line="360" w:lineRule="auto"/>
        <w:outlineLvl w:val="0"/>
        <w:rPr>
          <w:rFonts w:hint="default" w:ascii="Times New Roman" w:hAnsi="Times New Roman" w:cs="Times New Roman"/>
          <w:b/>
          <w:bCs/>
          <w:color w:val="auto"/>
          <w:sz w:val="24"/>
          <w:highlight w:val="none"/>
        </w:rPr>
      </w:pPr>
      <w:bookmarkStart w:id="164" w:name="_Toc9277"/>
      <w:bookmarkStart w:id="165" w:name="_Toc5508"/>
      <w:bookmarkStart w:id="166" w:name="_Toc900"/>
      <w:bookmarkStart w:id="167" w:name="_Toc26843"/>
      <w:r>
        <w:rPr>
          <w:rFonts w:hint="default" w:ascii="Times New Roman" w:hAnsi="Times New Roman" w:cs="Times New Roman"/>
          <w:b/>
          <w:bCs/>
          <w:color w:val="auto"/>
          <w:sz w:val="24"/>
          <w:highlight w:val="none"/>
        </w:rPr>
        <w:t>附件</w:t>
      </w:r>
      <w:r>
        <w:rPr>
          <w:rFonts w:hint="eastAsia"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w:t>
      </w:r>
      <w:bookmarkEnd w:id="164"/>
      <w:r>
        <w:rPr>
          <w:rFonts w:hint="default" w:ascii="Times New Roman" w:hAnsi="Times New Roman" w:cs="Times New Roman"/>
          <w:b/>
          <w:bCs/>
          <w:color w:val="auto"/>
          <w:sz w:val="24"/>
          <w:highlight w:val="none"/>
          <w:lang w:val="en-US" w:eastAsia="zh-CN"/>
        </w:rPr>
        <w:t>备案证</w:t>
      </w:r>
      <w:bookmarkEnd w:id="165"/>
      <w:bookmarkEnd w:id="166"/>
      <w:bookmarkEnd w:id="167"/>
    </w:p>
    <w:p w14:paraId="3C563AEA">
      <w:pPr>
        <w:spacing w:line="360" w:lineRule="auto"/>
        <w:outlineLvl w:val="9"/>
        <w:rPr>
          <w:rFonts w:hint="default" w:ascii="Times New Roman" w:hAnsi="Times New Roman" w:cs="Times New Roman"/>
          <w:b/>
          <w:bCs/>
          <w:color w:val="auto"/>
          <w:sz w:val="24"/>
          <w:highlight w:val="none"/>
        </w:rPr>
      </w:pPr>
    </w:p>
    <w:bookmarkEnd w:id="162"/>
    <w:bookmarkEnd w:id="163"/>
    <w:p w14:paraId="48ABD8FC">
      <w:pPr>
        <w:spacing w:line="360" w:lineRule="auto"/>
        <w:jc w:val="center"/>
        <w:outlineLvl w:val="9"/>
        <w:rPr>
          <w:rFonts w:hint="default" w:ascii="Times New Roman" w:hAnsi="Times New Roman" w:cs="Times New Roman"/>
          <w:b/>
          <w:bCs/>
          <w:color w:val="auto"/>
          <w:sz w:val="24"/>
          <w:highlight w:val="none"/>
        </w:rPr>
        <w:sectPr>
          <w:headerReference r:id="rId13"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bookmarkStart w:id="168" w:name="_Toc19231"/>
      <w:bookmarkStart w:id="169" w:name="_Toc32491"/>
      <w:r>
        <w:rPr>
          <w:color w:val="auto"/>
          <w:highlight w:val="none"/>
        </w:rPr>
        <w:drawing>
          <wp:inline distT="0" distB="0" distL="114300" distR="114300">
            <wp:extent cx="6838315" cy="4846955"/>
            <wp:effectExtent l="0" t="0" r="635" b="10795"/>
            <wp:docPr id="144"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569"/>
                    <pic:cNvPicPr>
                      <a:picLocks noChangeAspect="1"/>
                    </pic:cNvPicPr>
                  </pic:nvPicPr>
                  <pic:blipFill>
                    <a:blip r:embed="rId95"/>
                    <a:stretch>
                      <a:fillRect/>
                    </a:stretch>
                  </pic:blipFill>
                  <pic:spPr>
                    <a:xfrm>
                      <a:off x="0" y="0"/>
                      <a:ext cx="6838315" cy="4846955"/>
                    </a:xfrm>
                    <a:prstGeom prst="rect">
                      <a:avLst/>
                    </a:prstGeom>
                    <a:noFill/>
                    <a:ln>
                      <a:noFill/>
                    </a:ln>
                  </pic:spPr>
                </pic:pic>
              </a:graphicData>
            </a:graphic>
          </wp:inline>
        </w:drawing>
      </w:r>
      <w:bookmarkEnd w:id="168"/>
    </w:p>
    <w:bookmarkEnd w:id="169"/>
    <w:p w14:paraId="52B40E81">
      <w:pPr>
        <w:spacing w:line="360" w:lineRule="auto"/>
        <w:outlineLvl w:val="0"/>
        <w:rPr>
          <w:b/>
          <w:bCs/>
          <w:color w:val="auto"/>
          <w:sz w:val="24"/>
          <w:szCs w:val="24"/>
          <w:highlight w:val="none"/>
          <w:lang w:bidi="ar"/>
        </w:rPr>
      </w:pPr>
      <w:bookmarkStart w:id="170" w:name="_Toc5358"/>
      <w:bookmarkStart w:id="171" w:name="_Toc25689"/>
      <w:bookmarkStart w:id="172" w:name="_Toc12877"/>
      <w:bookmarkStart w:id="173" w:name="_Toc20900"/>
      <w:bookmarkStart w:id="174" w:name="_Toc9757"/>
      <w:bookmarkStart w:id="175" w:name="_Toc231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5-1</w:t>
      </w:r>
      <w:r>
        <w:rPr>
          <w:b/>
          <w:bCs/>
          <w:color w:val="auto"/>
          <w:sz w:val="24"/>
          <w:szCs w:val="24"/>
          <w:highlight w:val="none"/>
        </w:rPr>
        <w:t xml:space="preserve"> </w:t>
      </w:r>
      <w:r>
        <w:rPr>
          <w:rFonts w:hint="eastAsia"/>
          <w:b/>
          <w:bCs/>
          <w:color w:val="auto"/>
          <w:sz w:val="24"/>
          <w:szCs w:val="24"/>
          <w:highlight w:val="none"/>
        </w:rPr>
        <w:t>除油剂</w:t>
      </w:r>
      <w:r>
        <w:rPr>
          <w:b/>
          <w:bCs/>
          <w:color w:val="auto"/>
          <w:sz w:val="24"/>
          <w:szCs w:val="24"/>
          <w:highlight w:val="none"/>
          <w:lang w:bidi="ar"/>
        </w:rPr>
        <w:t>MSDS报告</w:t>
      </w:r>
      <w:bookmarkEnd w:id="170"/>
      <w:bookmarkEnd w:id="171"/>
      <w:bookmarkEnd w:id="172"/>
      <w:bookmarkEnd w:id="173"/>
      <w:bookmarkEnd w:id="174"/>
    </w:p>
    <w:p w14:paraId="580F8717">
      <w:pPr>
        <w:rPr>
          <w:rFonts w:hint="eastAsia" w:eastAsia="宋体"/>
          <w:color w:val="auto"/>
          <w:highlight w:val="none"/>
          <w:lang w:eastAsia="zh-CN"/>
        </w:rPr>
        <w:sectPr>
          <w:headerReference r:id="rId14" w:type="default"/>
          <w:footerReference r:id="rId15" w:type="default"/>
          <w:pgSz w:w="11907" w:h="16840"/>
          <w:pgMar w:top="1531" w:right="1701" w:bottom="1531" w:left="1701" w:header="1020" w:footer="1020" w:gutter="0"/>
          <w:pgBorders>
            <w:top w:val="none" w:sz="0" w:space="0"/>
            <w:left w:val="none" w:sz="0" w:space="0"/>
            <w:bottom w:val="none" w:sz="0" w:space="0"/>
            <w:right w:val="none" w:sz="0" w:space="0"/>
          </w:pgBorders>
          <w:pgNumType w:fmt="decimal"/>
          <w:cols w:space="720" w:num="1"/>
        </w:sectPr>
      </w:pPr>
      <w:r>
        <w:rPr>
          <w:rFonts w:hint="eastAsia" w:eastAsia="宋体"/>
          <w:color w:val="auto"/>
          <w:highlight w:val="none"/>
          <w:lang w:eastAsia="zh-CN"/>
        </w:rPr>
        <w:drawing>
          <wp:inline distT="0" distB="0" distL="114300" distR="114300">
            <wp:extent cx="5396865" cy="7759700"/>
            <wp:effectExtent l="0" t="0" r="13335" b="12700"/>
            <wp:docPr id="278" name="图片 278" descr="408cd8d4d22049eb2f0e646502c4c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408cd8d4d22049eb2f0e646502c4c47e"/>
                    <pic:cNvPicPr>
                      <a:picLocks noChangeAspect="1"/>
                    </pic:cNvPicPr>
                  </pic:nvPicPr>
                  <pic:blipFill>
                    <a:blip r:embed="rId96"/>
                    <a:stretch>
                      <a:fillRect/>
                    </a:stretch>
                  </pic:blipFill>
                  <pic:spPr>
                    <a:xfrm>
                      <a:off x="0" y="0"/>
                      <a:ext cx="5396865" cy="7759700"/>
                    </a:xfrm>
                    <a:prstGeom prst="rect">
                      <a:avLst/>
                    </a:prstGeom>
                  </pic:spPr>
                </pic:pic>
              </a:graphicData>
            </a:graphic>
          </wp:inline>
        </w:drawing>
      </w:r>
    </w:p>
    <w:p w14:paraId="62E93564">
      <w:pPr>
        <w:spacing w:line="360" w:lineRule="auto"/>
        <w:outlineLvl w:val="0"/>
        <w:rPr>
          <w:b/>
          <w:bCs/>
          <w:color w:val="auto"/>
          <w:sz w:val="24"/>
          <w:szCs w:val="24"/>
          <w:highlight w:val="none"/>
          <w:lang w:bidi="ar"/>
        </w:rPr>
      </w:pPr>
      <w:bookmarkStart w:id="176" w:name="_Toc14643"/>
      <w:bookmarkStart w:id="177" w:name="_Toc3417"/>
      <w:bookmarkStart w:id="178" w:name="_Toc10257"/>
      <w:bookmarkStart w:id="179" w:name="_Toc29044"/>
      <w:bookmarkStart w:id="180" w:name="_Toc15075"/>
      <w:bookmarkStart w:id="181" w:name="_Toc953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5-2</w:t>
      </w:r>
      <w:r>
        <w:rPr>
          <w:b/>
          <w:bCs/>
          <w:color w:val="auto"/>
          <w:sz w:val="24"/>
          <w:szCs w:val="24"/>
          <w:highlight w:val="none"/>
        </w:rPr>
        <w:t xml:space="preserve"> </w:t>
      </w:r>
      <w:r>
        <w:rPr>
          <w:rFonts w:hint="eastAsia"/>
          <w:b/>
          <w:bCs/>
          <w:color w:val="auto"/>
          <w:sz w:val="24"/>
          <w:szCs w:val="24"/>
          <w:highlight w:val="none"/>
        </w:rPr>
        <w:t>无铬钝化剂</w:t>
      </w:r>
      <w:r>
        <w:rPr>
          <w:b/>
          <w:bCs/>
          <w:color w:val="auto"/>
          <w:sz w:val="24"/>
          <w:szCs w:val="24"/>
          <w:highlight w:val="none"/>
          <w:lang w:bidi="ar"/>
        </w:rPr>
        <w:t>MSDS报告</w:t>
      </w:r>
      <w:bookmarkEnd w:id="176"/>
      <w:bookmarkEnd w:id="177"/>
      <w:bookmarkEnd w:id="178"/>
      <w:bookmarkEnd w:id="179"/>
      <w:bookmarkEnd w:id="180"/>
      <w:bookmarkEnd w:id="181"/>
    </w:p>
    <w:p w14:paraId="3FF6FEE7">
      <w:pPr>
        <w:spacing w:line="360" w:lineRule="auto"/>
        <w:outlineLvl w:val="9"/>
        <w:rPr>
          <w:rFonts w:hint="eastAsia" w:eastAsia="宋体"/>
          <w:b/>
          <w:bCs/>
          <w:color w:val="auto"/>
          <w:sz w:val="24"/>
          <w:szCs w:val="24"/>
          <w:highlight w:val="none"/>
          <w:lang w:val="en-US" w:eastAsia="zh-CN" w:bidi="ar"/>
        </w:rPr>
      </w:pPr>
      <w:bookmarkStart w:id="182" w:name="_Toc31382"/>
      <w:bookmarkStart w:id="183" w:name="_Toc18564"/>
      <w:bookmarkStart w:id="184" w:name="_Toc5947"/>
      <w:r>
        <w:rPr>
          <w:color w:val="auto"/>
          <w:highlight w:val="none"/>
        </w:rPr>
        <w:drawing>
          <wp:inline distT="0" distB="0" distL="114300" distR="114300">
            <wp:extent cx="5716905" cy="8124190"/>
            <wp:effectExtent l="0" t="0" r="17145" b="10160"/>
            <wp:docPr id="1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9"/>
                    <pic:cNvPicPr>
                      <a:picLocks noChangeAspect="1"/>
                    </pic:cNvPicPr>
                  </pic:nvPicPr>
                  <pic:blipFill>
                    <a:blip r:embed="rId97"/>
                    <a:stretch>
                      <a:fillRect/>
                    </a:stretch>
                  </pic:blipFill>
                  <pic:spPr>
                    <a:xfrm>
                      <a:off x="0" y="0"/>
                      <a:ext cx="5716905" cy="8124190"/>
                    </a:xfrm>
                    <a:prstGeom prst="rect">
                      <a:avLst/>
                    </a:prstGeom>
                    <a:noFill/>
                    <a:ln>
                      <a:noFill/>
                    </a:ln>
                  </pic:spPr>
                </pic:pic>
              </a:graphicData>
            </a:graphic>
          </wp:inline>
        </w:drawing>
      </w:r>
      <w:r>
        <w:rPr>
          <w:color w:val="auto"/>
          <w:highlight w:val="none"/>
        </w:rPr>
        <w:drawing>
          <wp:inline distT="0" distB="0" distL="114300" distR="114300">
            <wp:extent cx="5524500" cy="7772400"/>
            <wp:effectExtent l="0" t="0" r="0" b="0"/>
            <wp:docPr id="1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0"/>
                    <pic:cNvPicPr>
                      <a:picLocks noChangeAspect="1"/>
                    </pic:cNvPicPr>
                  </pic:nvPicPr>
                  <pic:blipFill>
                    <a:blip r:embed="rId98"/>
                    <a:stretch>
                      <a:fillRect/>
                    </a:stretch>
                  </pic:blipFill>
                  <pic:spPr>
                    <a:xfrm>
                      <a:off x="0" y="0"/>
                      <a:ext cx="5524500" cy="7772400"/>
                    </a:xfrm>
                    <a:prstGeom prst="rect">
                      <a:avLst/>
                    </a:prstGeom>
                    <a:noFill/>
                    <a:ln>
                      <a:noFill/>
                    </a:ln>
                  </pic:spPr>
                </pic:pic>
              </a:graphicData>
            </a:graphic>
          </wp:inline>
        </w:drawing>
      </w:r>
      <w:r>
        <w:rPr>
          <w:color w:val="auto"/>
          <w:highlight w:val="none"/>
        </w:rPr>
        <w:drawing>
          <wp:inline distT="0" distB="0" distL="114300" distR="114300">
            <wp:extent cx="5467350" cy="7762875"/>
            <wp:effectExtent l="0" t="0" r="0" b="9525"/>
            <wp:docPr id="15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1"/>
                    <pic:cNvPicPr>
                      <a:picLocks noChangeAspect="1"/>
                    </pic:cNvPicPr>
                  </pic:nvPicPr>
                  <pic:blipFill>
                    <a:blip r:embed="rId99"/>
                    <a:stretch>
                      <a:fillRect/>
                    </a:stretch>
                  </pic:blipFill>
                  <pic:spPr>
                    <a:xfrm>
                      <a:off x="0" y="0"/>
                      <a:ext cx="5467350" cy="7762875"/>
                    </a:xfrm>
                    <a:prstGeom prst="rect">
                      <a:avLst/>
                    </a:prstGeom>
                    <a:noFill/>
                    <a:ln>
                      <a:noFill/>
                    </a:ln>
                  </pic:spPr>
                </pic:pic>
              </a:graphicData>
            </a:graphic>
          </wp:inline>
        </w:drawing>
      </w:r>
      <w:r>
        <w:rPr>
          <w:color w:val="auto"/>
          <w:highlight w:val="none"/>
        </w:rPr>
        <w:drawing>
          <wp:inline distT="0" distB="0" distL="114300" distR="114300">
            <wp:extent cx="5057775" cy="7143750"/>
            <wp:effectExtent l="0" t="0" r="9525" b="0"/>
            <wp:docPr id="15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2"/>
                    <pic:cNvPicPr>
                      <a:picLocks noChangeAspect="1"/>
                    </pic:cNvPicPr>
                  </pic:nvPicPr>
                  <pic:blipFill>
                    <a:blip r:embed="rId100"/>
                    <a:stretch>
                      <a:fillRect/>
                    </a:stretch>
                  </pic:blipFill>
                  <pic:spPr>
                    <a:xfrm>
                      <a:off x="0" y="0"/>
                      <a:ext cx="5057775" cy="7143750"/>
                    </a:xfrm>
                    <a:prstGeom prst="rect">
                      <a:avLst/>
                    </a:prstGeom>
                    <a:noFill/>
                    <a:ln>
                      <a:noFill/>
                    </a:ln>
                  </pic:spPr>
                </pic:pic>
              </a:graphicData>
            </a:graphic>
          </wp:inline>
        </w:drawing>
      </w:r>
      <w:r>
        <w:rPr>
          <w:color w:val="auto"/>
          <w:highlight w:val="none"/>
        </w:rPr>
        <w:drawing>
          <wp:inline distT="0" distB="0" distL="114300" distR="114300">
            <wp:extent cx="5076825" cy="7124700"/>
            <wp:effectExtent l="0" t="0" r="9525" b="0"/>
            <wp:docPr id="15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3"/>
                    <pic:cNvPicPr>
                      <a:picLocks noChangeAspect="1"/>
                    </pic:cNvPicPr>
                  </pic:nvPicPr>
                  <pic:blipFill>
                    <a:blip r:embed="rId101"/>
                    <a:stretch>
                      <a:fillRect/>
                    </a:stretch>
                  </pic:blipFill>
                  <pic:spPr>
                    <a:xfrm>
                      <a:off x="0" y="0"/>
                      <a:ext cx="5076825" cy="7124700"/>
                    </a:xfrm>
                    <a:prstGeom prst="rect">
                      <a:avLst/>
                    </a:prstGeom>
                    <a:noFill/>
                    <a:ln>
                      <a:noFill/>
                    </a:ln>
                  </pic:spPr>
                </pic:pic>
              </a:graphicData>
            </a:graphic>
          </wp:inline>
        </w:drawing>
      </w:r>
      <w:r>
        <w:rPr>
          <w:color w:val="auto"/>
          <w:highlight w:val="none"/>
        </w:rPr>
        <w:drawing>
          <wp:inline distT="0" distB="0" distL="114300" distR="114300">
            <wp:extent cx="5669280" cy="8009255"/>
            <wp:effectExtent l="0" t="0" r="7620" b="10795"/>
            <wp:docPr id="15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4"/>
                    <pic:cNvPicPr>
                      <a:picLocks noChangeAspect="1"/>
                    </pic:cNvPicPr>
                  </pic:nvPicPr>
                  <pic:blipFill>
                    <a:blip r:embed="rId102"/>
                    <a:stretch>
                      <a:fillRect/>
                    </a:stretch>
                  </pic:blipFill>
                  <pic:spPr>
                    <a:xfrm>
                      <a:off x="0" y="0"/>
                      <a:ext cx="5669280" cy="8009255"/>
                    </a:xfrm>
                    <a:prstGeom prst="rect">
                      <a:avLst/>
                    </a:prstGeom>
                    <a:noFill/>
                    <a:ln>
                      <a:noFill/>
                    </a:ln>
                  </pic:spPr>
                </pic:pic>
              </a:graphicData>
            </a:graphic>
          </wp:inline>
        </w:drawing>
      </w:r>
      <w:r>
        <w:rPr>
          <w:color w:val="auto"/>
          <w:highlight w:val="none"/>
        </w:rPr>
        <w:drawing>
          <wp:inline distT="0" distB="0" distL="114300" distR="114300">
            <wp:extent cx="5404485" cy="7614920"/>
            <wp:effectExtent l="0" t="0" r="5715" b="5080"/>
            <wp:docPr id="15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5"/>
                    <pic:cNvPicPr>
                      <a:picLocks noChangeAspect="1"/>
                    </pic:cNvPicPr>
                  </pic:nvPicPr>
                  <pic:blipFill>
                    <a:blip r:embed="rId103"/>
                    <a:stretch>
                      <a:fillRect/>
                    </a:stretch>
                  </pic:blipFill>
                  <pic:spPr>
                    <a:xfrm>
                      <a:off x="0" y="0"/>
                      <a:ext cx="5404485" cy="7614920"/>
                    </a:xfrm>
                    <a:prstGeom prst="rect">
                      <a:avLst/>
                    </a:prstGeom>
                    <a:noFill/>
                    <a:ln>
                      <a:noFill/>
                    </a:ln>
                  </pic:spPr>
                </pic:pic>
              </a:graphicData>
            </a:graphic>
          </wp:inline>
        </w:drawing>
      </w:r>
      <w:bookmarkEnd w:id="182"/>
      <w:bookmarkEnd w:id="183"/>
      <w:bookmarkEnd w:id="184"/>
    </w:p>
    <w:p w14:paraId="71C09851">
      <w:pPr>
        <w:jc w:val="left"/>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400040" cy="7636510"/>
            <wp:effectExtent l="0" t="0" r="10160" b="2540"/>
            <wp:docPr id="207" name="图片 12" descr="组合 3_页面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2" descr="组合 3_页面_24"/>
                    <pic:cNvPicPr>
                      <a:picLocks noChangeAspect="1"/>
                    </pic:cNvPicPr>
                  </pic:nvPicPr>
                  <pic:blipFill>
                    <a:blip r:embed="rId104"/>
                    <a:stretch>
                      <a:fillRect/>
                    </a:stretch>
                  </pic:blipFill>
                  <pic:spPr>
                    <a:xfrm>
                      <a:off x="0" y="0"/>
                      <a:ext cx="5400040" cy="763651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19" name="图片 13" descr="组合 3_页面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3" descr="组合 3_页面_25"/>
                    <pic:cNvPicPr>
                      <a:picLocks noChangeAspect="1"/>
                    </pic:cNvPicPr>
                  </pic:nvPicPr>
                  <pic:blipFill>
                    <a:blip r:embed="rId105"/>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11" name="图片 14" descr="组合 3_页面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4" descr="组合 3_页面_26"/>
                    <pic:cNvPicPr>
                      <a:picLocks noChangeAspect="1"/>
                    </pic:cNvPicPr>
                  </pic:nvPicPr>
                  <pic:blipFill>
                    <a:blip r:embed="rId106"/>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25" name="图片 15" descr="组合 3_页面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5" descr="组合 3_页面_27"/>
                    <pic:cNvPicPr>
                      <a:picLocks noChangeAspect="1"/>
                    </pic:cNvPicPr>
                  </pic:nvPicPr>
                  <pic:blipFill>
                    <a:blip r:embed="rId107"/>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5595" cy="7626350"/>
            <wp:effectExtent l="0" t="0" r="14605" b="12700"/>
            <wp:docPr id="230" name="图片 16" descr="组合 3_页面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6" descr="组合 3_页面_28"/>
                    <pic:cNvPicPr>
                      <a:picLocks noChangeAspect="1"/>
                    </pic:cNvPicPr>
                  </pic:nvPicPr>
                  <pic:blipFill>
                    <a:blip r:embed="rId108"/>
                    <a:stretch>
                      <a:fillRect/>
                    </a:stretch>
                  </pic:blipFill>
                  <pic:spPr>
                    <a:xfrm>
                      <a:off x="0" y="0"/>
                      <a:ext cx="5395595" cy="7626350"/>
                    </a:xfrm>
                    <a:prstGeom prst="rect">
                      <a:avLst/>
                    </a:prstGeom>
                    <a:noFill/>
                    <a:ln>
                      <a:noFill/>
                    </a:ln>
                  </pic:spPr>
                </pic:pic>
              </a:graphicData>
            </a:graphic>
          </wp:inline>
        </w:drawing>
      </w:r>
    </w:p>
    <w:p w14:paraId="2EC33F71">
      <w:pPr>
        <w:rPr>
          <w:rFonts w:hint="eastAsia" w:eastAsia="宋体"/>
          <w:color w:val="auto"/>
          <w:highlight w:val="none"/>
          <w:lang w:eastAsia="zh-CN"/>
        </w:rPr>
      </w:pPr>
    </w:p>
    <w:p w14:paraId="3873EF11">
      <w:pPr>
        <w:rPr>
          <w:rFonts w:hint="eastAsia" w:eastAsia="宋体"/>
          <w:color w:val="auto"/>
          <w:highlight w:val="none"/>
          <w:lang w:eastAsia="zh-CN"/>
        </w:rPr>
      </w:pPr>
    </w:p>
    <w:p w14:paraId="4F81E2A4">
      <w:pPr>
        <w:rPr>
          <w:rFonts w:hint="eastAsia" w:eastAsia="宋体"/>
          <w:color w:val="auto"/>
          <w:highlight w:val="none"/>
          <w:lang w:eastAsia="zh-CN"/>
        </w:rPr>
      </w:pPr>
    </w:p>
    <w:p w14:paraId="70C4EB3A">
      <w:pPr>
        <w:rPr>
          <w:rFonts w:hint="eastAsia" w:eastAsia="宋体"/>
          <w:color w:val="auto"/>
          <w:highlight w:val="none"/>
          <w:lang w:eastAsia="zh-CN"/>
        </w:rPr>
      </w:pPr>
    </w:p>
    <w:p w14:paraId="7E5164B7">
      <w:pPr>
        <w:rPr>
          <w:rFonts w:hint="eastAsia" w:eastAsia="宋体"/>
          <w:color w:val="auto"/>
          <w:highlight w:val="none"/>
          <w:lang w:eastAsia="zh-CN"/>
        </w:rPr>
      </w:pPr>
    </w:p>
    <w:p w14:paraId="48EBFC97">
      <w:pPr>
        <w:rPr>
          <w:rFonts w:hint="eastAsia" w:eastAsia="宋体"/>
          <w:color w:val="auto"/>
          <w:highlight w:val="none"/>
          <w:lang w:eastAsia="zh-CN"/>
        </w:rPr>
      </w:pPr>
    </w:p>
    <w:p w14:paraId="4BA2863E">
      <w:pPr>
        <w:rPr>
          <w:rFonts w:hint="eastAsia" w:eastAsia="宋体"/>
          <w:color w:val="auto"/>
          <w:highlight w:val="none"/>
          <w:lang w:eastAsia="zh-CN"/>
        </w:rPr>
      </w:pPr>
    </w:p>
    <w:p w14:paraId="3768557F">
      <w:pPr>
        <w:spacing w:line="360" w:lineRule="auto"/>
        <w:outlineLvl w:val="0"/>
        <w:rPr>
          <w:b/>
          <w:bCs/>
          <w:color w:val="auto"/>
          <w:sz w:val="24"/>
          <w:szCs w:val="24"/>
          <w:highlight w:val="none"/>
          <w:lang w:bidi="ar"/>
        </w:rPr>
      </w:pPr>
      <w:bookmarkStart w:id="185" w:name="_Toc2705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5-3</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底漆</w:t>
      </w:r>
      <w:r>
        <w:rPr>
          <w:b/>
          <w:bCs/>
          <w:color w:val="auto"/>
          <w:sz w:val="24"/>
          <w:szCs w:val="24"/>
          <w:highlight w:val="none"/>
          <w:lang w:bidi="ar"/>
        </w:rPr>
        <w:t>MSDS报告</w:t>
      </w:r>
      <w:bookmarkEnd w:id="185"/>
    </w:p>
    <w:p w14:paraId="217414FF">
      <w:pPr>
        <w:rPr>
          <w:rFonts w:hint="default" w:eastAsia="宋体"/>
          <w:b/>
          <w:bCs/>
          <w:color w:val="auto"/>
          <w:highlight w:val="none"/>
          <w:lang w:val="en-US" w:eastAsia="zh-CN"/>
        </w:rPr>
      </w:pPr>
    </w:p>
    <w:p w14:paraId="11F1BA45">
      <w:pPr>
        <w:rPr>
          <w:rFonts w:hint="eastAsia" w:eastAsia="宋体"/>
          <w:color w:val="auto"/>
          <w:highlight w:val="none"/>
          <w:lang w:eastAsia="zh-CN"/>
        </w:rPr>
      </w:pPr>
      <w:r>
        <w:drawing>
          <wp:inline distT="0" distB="0" distL="114300" distR="114300">
            <wp:extent cx="5095875" cy="7086600"/>
            <wp:effectExtent l="0" t="0" r="9525" b="0"/>
            <wp:docPr id="2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7"/>
                    <pic:cNvPicPr>
                      <a:picLocks noChangeAspect="1"/>
                    </pic:cNvPicPr>
                  </pic:nvPicPr>
                  <pic:blipFill>
                    <a:blip r:embed="rId109"/>
                    <a:stretch>
                      <a:fillRect/>
                    </a:stretch>
                  </pic:blipFill>
                  <pic:spPr>
                    <a:xfrm>
                      <a:off x="0" y="0"/>
                      <a:ext cx="5095875" cy="7086600"/>
                    </a:xfrm>
                    <a:prstGeom prst="rect">
                      <a:avLst/>
                    </a:prstGeom>
                    <a:noFill/>
                    <a:ln>
                      <a:noFill/>
                    </a:ln>
                  </pic:spPr>
                </pic:pic>
              </a:graphicData>
            </a:graphic>
          </wp:inline>
        </w:drawing>
      </w:r>
      <w:r>
        <w:drawing>
          <wp:inline distT="0" distB="0" distL="114300" distR="114300">
            <wp:extent cx="5503545" cy="7659370"/>
            <wp:effectExtent l="0" t="0" r="1905" b="17780"/>
            <wp:docPr id="9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3"/>
                    <pic:cNvPicPr>
                      <a:picLocks noChangeAspect="1"/>
                    </pic:cNvPicPr>
                  </pic:nvPicPr>
                  <pic:blipFill>
                    <a:blip r:embed="rId110"/>
                    <a:stretch>
                      <a:fillRect/>
                    </a:stretch>
                  </pic:blipFill>
                  <pic:spPr>
                    <a:xfrm>
                      <a:off x="0" y="0"/>
                      <a:ext cx="5503545" cy="765937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1" name="图片 19" descr="组合 3_页面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9" descr="组合 3_页面_31"/>
                    <pic:cNvPicPr>
                      <a:picLocks noChangeAspect="1"/>
                    </pic:cNvPicPr>
                  </pic:nvPicPr>
                  <pic:blipFill>
                    <a:blip r:embed="rId111"/>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6" name="图片 20" descr="组合 3_页面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0" descr="组合 3_页面_32"/>
                    <pic:cNvPicPr>
                      <a:picLocks noChangeAspect="1"/>
                    </pic:cNvPicPr>
                  </pic:nvPicPr>
                  <pic:blipFill>
                    <a:blip r:embed="rId112"/>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7" name="图片 21" descr="组合 3_页面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1" descr="组合 3_页面_33"/>
                    <pic:cNvPicPr>
                      <a:picLocks noChangeAspect="1"/>
                    </pic:cNvPicPr>
                  </pic:nvPicPr>
                  <pic:blipFill>
                    <a:blip r:embed="rId113"/>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4" name="图片 22" descr="组合 3_页面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2" descr="组合 3_页面_34"/>
                    <pic:cNvPicPr>
                      <a:picLocks noChangeAspect="1"/>
                    </pic:cNvPicPr>
                  </pic:nvPicPr>
                  <pic:blipFill>
                    <a:blip r:embed="rId114"/>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2" name="图片 23" descr="组合 3_页面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 descr="组合 3_页面_35"/>
                    <pic:cNvPicPr>
                      <a:picLocks noChangeAspect="1"/>
                    </pic:cNvPicPr>
                  </pic:nvPicPr>
                  <pic:blipFill>
                    <a:blip r:embed="rId115"/>
                    <a:stretch>
                      <a:fillRect/>
                    </a:stretch>
                  </pic:blipFill>
                  <pic:spPr>
                    <a:xfrm>
                      <a:off x="0" y="0"/>
                      <a:ext cx="5399405" cy="7635240"/>
                    </a:xfrm>
                    <a:prstGeom prst="rect">
                      <a:avLst/>
                    </a:prstGeom>
                    <a:noFill/>
                    <a:ln>
                      <a:noFill/>
                    </a:ln>
                  </pic:spPr>
                </pic:pic>
              </a:graphicData>
            </a:graphic>
          </wp:inline>
        </w:drawing>
      </w:r>
    </w:p>
    <w:p w14:paraId="3DBD1D62">
      <w:pPr>
        <w:rPr>
          <w:rFonts w:hint="eastAsia" w:eastAsia="宋体"/>
          <w:color w:val="auto"/>
          <w:highlight w:val="none"/>
          <w:lang w:eastAsia="zh-CN"/>
        </w:rPr>
      </w:pPr>
    </w:p>
    <w:p w14:paraId="47CE8BFE">
      <w:pPr>
        <w:rPr>
          <w:rFonts w:hint="eastAsia" w:eastAsia="宋体"/>
          <w:color w:val="auto"/>
          <w:highlight w:val="none"/>
          <w:lang w:eastAsia="zh-CN"/>
        </w:rPr>
      </w:pPr>
    </w:p>
    <w:p w14:paraId="464D57DF">
      <w:pPr>
        <w:rPr>
          <w:rFonts w:hint="eastAsia" w:eastAsia="宋体"/>
          <w:color w:val="auto"/>
          <w:highlight w:val="none"/>
          <w:lang w:eastAsia="zh-CN"/>
        </w:rPr>
      </w:pPr>
    </w:p>
    <w:p w14:paraId="4F780765">
      <w:pPr>
        <w:rPr>
          <w:rFonts w:hint="eastAsia" w:eastAsia="宋体"/>
          <w:color w:val="auto"/>
          <w:highlight w:val="none"/>
          <w:lang w:eastAsia="zh-CN"/>
        </w:rPr>
      </w:pPr>
    </w:p>
    <w:p w14:paraId="0AA693FA">
      <w:pPr>
        <w:rPr>
          <w:rFonts w:hint="eastAsia" w:eastAsia="宋体"/>
          <w:color w:val="auto"/>
          <w:highlight w:val="none"/>
          <w:lang w:eastAsia="zh-CN"/>
        </w:rPr>
      </w:pPr>
    </w:p>
    <w:p w14:paraId="437895E1">
      <w:pPr>
        <w:rPr>
          <w:rFonts w:hint="eastAsia" w:eastAsia="宋体"/>
          <w:color w:val="auto"/>
          <w:highlight w:val="none"/>
          <w:lang w:eastAsia="zh-CN"/>
        </w:rPr>
      </w:pPr>
    </w:p>
    <w:p w14:paraId="1E7DAFB9">
      <w:pPr>
        <w:rPr>
          <w:rFonts w:hint="eastAsia" w:eastAsia="宋体"/>
          <w:color w:val="auto"/>
          <w:highlight w:val="none"/>
          <w:lang w:eastAsia="zh-CN"/>
        </w:rPr>
      </w:pPr>
    </w:p>
    <w:p w14:paraId="1F3EC0ED">
      <w:pPr>
        <w:spacing w:line="360" w:lineRule="auto"/>
        <w:outlineLvl w:val="0"/>
        <w:rPr>
          <w:b/>
          <w:bCs/>
          <w:color w:val="auto"/>
          <w:sz w:val="24"/>
          <w:szCs w:val="24"/>
          <w:highlight w:val="none"/>
          <w:lang w:bidi="ar"/>
        </w:rPr>
      </w:pPr>
      <w:bookmarkStart w:id="186" w:name="_Toc42"/>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5-4</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面漆</w:t>
      </w:r>
      <w:r>
        <w:rPr>
          <w:b/>
          <w:bCs/>
          <w:color w:val="auto"/>
          <w:sz w:val="24"/>
          <w:szCs w:val="24"/>
          <w:highlight w:val="none"/>
          <w:lang w:bidi="ar"/>
        </w:rPr>
        <w:t>MSDS报告</w:t>
      </w:r>
      <w:bookmarkEnd w:id="186"/>
    </w:p>
    <w:p w14:paraId="4EE29958">
      <w:pPr>
        <w:rPr>
          <w:rFonts w:hint="default" w:eastAsia="宋体"/>
          <w:b/>
          <w:bCs/>
          <w:color w:val="auto"/>
          <w:highlight w:val="none"/>
          <w:lang w:val="en-US" w:eastAsia="zh-CN"/>
        </w:rPr>
      </w:pPr>
    </w:p>
    <w:p w14:paraId="508962CC">
      <w:pPr>
        <w:rPr>
          <w:rFonts w:hint="eastAsia" w:eastAsia="宋体"/>
          <w:color w:val="auto"/>
          <w:highlight w:val="none"/>
          <w:lang w:eastAsia="zh-CN"/>
        </w:rPr>
      </w:pPr>
      <w:r>
        <w:drawing>
          <wp:inline distT="0" distB="0" distL="114300" distR="114300">
            <wp:extent cx="5048250" cy="7191375"/>
            <wp:effectExtent l="0" t="0" r="0" b="9525"/>
            <wp:docPr id="21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4"/>
                    <pic:cNvPicPr>
                      <a:picLocks noChangeAspect="1"/>
                    </pic:cNvPicPr>
                  </pic:nvPicPr>
                  <pic:blipFill>
                    <a:blip r:embed="rId116"/>
                    <a:stretch>
                      <a:fillRect/>
                    </a:stretch>
                  </pic:blipFill>
                  <pic:spPr>
                    <a:xfrm>
                      <a:off x="0" y="0"/>
                      <a:ext cx="5048250" cy="7191375"/>
                    </a:xfrm>
                    <a:prstGeom prst="rect">
                      <a:avLst/>
                    </a:prstGeom>
                    <a:noFill/>
                    <a:ln>
                      <a:noFill/>
                    </a:ln>
                  </pic:spPr>
                </pic:pic>
              </a:graphicData>
            </a:graphic>
          </wp:inline>
        </w:drawing>
      </w:r>
      <w:r>
        <w:drawing>
          <wp:inline distT="0" distB="0" distL="114300" distR="114300">
            <wp:extent cx="5503545" cy="7674610"/>
            <wp:effectExtent l="0" t="0" r="1905" b="2540"/>
            <wp:docPr id="10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4"/>
                    <pic:cNvPicPr>
                      <a:picLocks noChangeAspect="1"/>
                    </pic:cNvPicPr>
                  </pic:nvPicPr>
                  <pic:blipFill>
                    <a:blip r:embed="rId117"/>
                    <a:stretch>
                      <a:fillRect/>
                    </a:stretch>
                  </pic:blipFill>
                  <pic:spPr>
                    <a:xfrm>
                      <a:off x="0" y="0"/>
                      <a:ext cx="5503545" cy="767461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2" name="图片 26" descr="组合 3_页面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6" descr="组合 3_页面_38"/>
                    <pic:cNvPicPr>
                      <a:picLocks noChangeAspect="1"/>
                    </pic:cNvPicPr>
                  </pic:nvPicPr>
                  <pic:blipFill>
                    <a:blip r:embed="rId118"/>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7" name="图片 27" descr="组合 3_页面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7" descr="组合 3_页面_39"/>
                    <pic:cNvPicPr>
                      <a:picLocks noChangeAspect="1"/>
                    </pic:cNvPicPr>
                  </pic:nvPicPr>
                  <pic:blipFill>
                    <a:blip r:embed="rId119"/>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2" name="图片 28" descr="组合 3_页面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8" descr="组合 3_页面_40"/>
                    <pic:cNvPicPr>
                      <a:picLocks noChangeAspect="1"/>
                    </pic:cNvPicPr>
                  </pic:nvPicPr>
                  <pic:blipFill>
                    <a:blip r:embed="rId12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5" name="图片 29" descr="组合 3_页面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9" descr="组合 3_页面_41"/>
                    <pic:cNvPicPr>
                      <a:picLocks noChangeAspect="1"/>
                    </pic:cNvPicPr>
                  </pic:nvPicPr>
                  <pic:blipFill>
                    <a:blip r:embed="rId121"/>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2" name="图片 30" descr="组合 3_页面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0" descr="组合 3_页面_42"/>
                    <pic:cNvPicPr>
                      <a:picLocks noChangeAspect="1"/>
                    </pic:cNvPicPr>
                  </pic:nvPicPr>
                  <pic:blipFill>
                    <a:blip r:embed="rId122"/>
                    <a:stretch>
                      <a:fillRect/>
                    </a:stretch>
                  </pic:blipFill>
                  <pic:spPr>
                    <a:xfrm>
                      <a:off x="0" y="0"/>
                      <a:ext cx="5399405" cy="7635240"/>
                    </a:xfrm>
                    <a:prstGeom prst="rect">
                      <a:avLst/>
                    </a:prstGeom>
                    <a:noFill/>
                    <a:ln>
                      <a:noFill/>
                    </a:ln>
                  </pic:spPr>
                </pic:pic>
              </a:graphicData>
            </a:graphic>
          </wp:inline>
        </w:drawing>
      </w:r>
    </w:p>
    <w:p w14:paraId="5892B33E">
      <w:pPr>
        <w:rPr>
          <w:rFonts w:hint="eastAsia"/>
          <w:color w:val="auto"/>
          <w:highlight w:val="none"/>
          <w:lang w:val="en-US" w:eastAsia="zh-CN"/>
        </w:rPr>
      </w:pPr>
    </w:p>
    <w:p w14:paraId="1EADCE84">
      <w:pPr>
        <w:rPr>
          <w:rFonts w:hint="eastAsia"/>
          <w:color w:val="auto"/>
          <w:highlight w:val="none"/>
          <w:lang w:val="en-US" w:eastAsia="zh-CN"/>
        </w:rPr>
      </w:pPr>
    </w:p>
    <w:p w14:paraId="07756D55">
      <w:pPr>
        <w:rPr>
          <w:rFonts w:hint="eastAsia"/>
          <w:color w:val="auto"/>
          <w:highlight w:val="none"/>
          <w:lang w:val="en-US" w:eastAsia="zh-CN"/>
        </w:rPr>
      </w:pPr>
    </w:p>
    <w:p w14:paraId="42F0416B">
      <w:pPr>
        <w:rPr>
          <w:rFonts w:hint="eastAsia"/>
          <w:color w:val="auto"/>
          <w:highlight w:val="none"/>
          <w:lang w:val="en-US" w:eastAsia="zh-CN"/>
        </w:rPr>
      </w:pPr>
    </w:p>
    <w:p w14:paraId="33F31B40">
      <w:pPr>
        <w:rPr>
          <w:rFonts w:hint="eastAsia"/>
          <w:color w:val="auto"/>
          <w:highlight w:val="none"/>
          <w:lang w:val="en-US" w:eastAsia="zh-CN"/>
        </w:rPr>
      </w:pPr>
    </w:p>
    <w:p w14:paraId="34FDA12B">
      <w:pPr>
        <w:rPr>
          <w:rFonts w:hint="eastAsia"/>
          <w:color w:val="auto"/>
          <w:highlight w:val="none"/>
          <w:lang w:val="en-US" w:eastAsia="zh-CN"/>
        </w:rPr>
      </w:pPr>
    </w:p>
    <w:p w14:paraId="61E0F59A">
      <w:pPr>
        <w:rPr>
          <w:rFonts w:hint="eastAsia"/>
          <w:color w:val="auto"/>
          <w:highlight w:val="none"/>
          <w:lang w:val="en-US" w:eastAsia="zh-CN"/>
        </w:rPr>
      </w:pPr>
    </w:p>
    <w:p w14:paraId="5E028EBF">
      <w:pPr>
        <w:spacing w:line="360" w:lineRule="auto"/>
        <w:outlineLvl w:val="0"/>
        <w:rPr>
          <w:b/>
          <w:bCs/>
          <w:color w:val="auto"/>
          <w:sz w:val="24"/>
          <w:szCs w:val="24"/>
          <w:highlight w:val="none"/>
          <w:lang w:bidi="ar"/>
        </w:rPr>
      </w:pPr>
      <w:bookmarkStart w:id="187" w:name="_Toc1385"/>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5-5</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清漆</w:t>
      </w:r>
      <w:r>
        <w:rPr>
          <w:b/>
          <w:bCs/>
          <w:color w:val="auto"/>
          <w:sz w:val="24"/>
          <w:szCs w:val="24"/>
          <w:highlight w:val="none"/>
          <w:lang w:bidi="ar"/>
        </w:rPr>
        <w:t>MSDS报告</w:t>
      </w:r>
      <w:bookmarkEnd w:id="187"/>
    </w:p>
    <w:p w14:paraId="44999007">
      <w:pPr>
        <w:jc w:val="left"/>
        <w:rPr>
          <w:rFonts w:hint="eastAsia" w:eastAsia="宋体"/>
          <w:color w:val="auto"/>
          <w:highlight w:val="none"/>
          <w:lang w:eastAsia="zh-CN"/>
        </w:rPr>
      </w:pPr>
      <w:r>
        <w:drawing>
          <wp:inline distT="0" distB="0" distL="114300" distR="114300">
            <wp:extent cx="5048250" cy="7172325"/>
            <wp:effectExtent l="0" t="0" r="0" b="9525"/>
            <wp:docPr id="22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31"/>
                    <pic:cNvPicPr>
                      <a:picLocks noChangeAspect="1"/>
                    </pic:cNvPicPr>
                  </pic:nvPicPr>
                  <pic:blipFill>
                    <a:blip r:embed="rId123"/>
                    <a:stretch>
                      <a:fillRect/>
                    </a:stretch>
                  </pic:blipFill>
                  <pic:spPr>
                    <a:xfrm>
                      <a:off x="0" y="0"/>
                      <a:ext cx="5048250" cy="7172325"/>
                    </a:xfrm>
                    <a:prstGeom prst="rect">
                      <a:avLst/>
                    </a:prstGeom>
                    <a:noFill/>
                    <a:ln>
                      <a:noFill/>
                    </a:ln>
                  </pic:spPr>
                </pic:pic>
              </a:graphicData>
            </a:graphic>
          </wp:inline>
        </w:drawing>
      </w:r>
      <w:r>
        <w:drawing>
          <wp:inline distT="0" distB="0" distL="114300" distR="114300">
            <wp:extent cx="5400675" cy="7372350"/>
            <wp:effectExtent l="0" t="0" r="9525" b="0"/>
            <wp:docPr id="1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5"/>
                    <pic:cNvPicPr>
                      <a:picLocks noChangeAspect="1"/>
                    </pic:cNvPicPr>
                  </pic:nvPicPr>
                  <pic:blipFill>
                    <a:blip r:embed="rId124"/>
                    <a:stretch>
                      <a:fillRect/>
                    </a:stretch>
                  </pic:blipFill>
                  <pic:spPr>
                    <a:xfrm>
                      <a:off x="0" y="0"/>
                      <a:ext cx="5400675" cy="7372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0" name="图片 33" descr="组合 3_页面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3" descr="组合 3_页面_45"/>
                    <pic:cNvPicPr>
                      <a:picLocks noChangeAspect="1"/>
                    </pic:cNvPicPr>
                  </pic:nvPicPr>
                  <pic:blipFill>
                    <a:blip r:embed="rId125"/>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3" name="图片 34" descr="组合 3_页面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4" descr="组合 3_页面_46"/>
                    <pic:cNvPicPr>
                      <a:picLocks noChangeAspect="1"/>
                    </pic:cNvPicPr>
                  </pic:nvPicPr>
                  <pic:blipFill>
                    <a:blip r:embed="rId126"/>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5" name="图片 35" descr="组合 3_页面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5" descr="组合 3_页面_47"/>
                    <pic:cNvPicPr>
                      <a:picLocks noChangeAspect="1"/>
                    </pic:cNvPicPr>
                  </pic:nvPicPr>
                  <pic:blipFill>
                    <a:blip r:embed="rId127"/>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6" name="图片 36" descr="组合 3_页面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36" descr="组合 3_页面_48"/>
                    <pic:cNvPicPr>
                      <a:picLocks noChangeAspect="1"/>
                    </pic:cNvPicPr>
                  </pic:nvPicPr>
                  <pic:blipFill>
                    <a:blip r:embed="rId128"/>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9" name="图片 37" descr="组合 3_页面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37" descr="组合 3_页面_49"/>
                    <pic:cNvPicPr>
                      <a:picLocks noChangeAspect="1"/>
                    </pic:cNvPicPr>
                  </pic:nvPicPr>
                  <pic:blipFill>
                    <a:blip r:embed="rId129"/>
                    <a:stretch>
                      <a:fillRect/>
                    </a:stretch>
                  </pic:blipFill>
                  <pic:spPr>
                    <a:xfrm>
                      <a:off x="0" y="0"/>
                      <a:ext cx="5399405" cy="7635240"/>
                    </a:xfrm>
                    <a:prstGeom prst="rect">
                      <a:avLst/>
                    </a:prstGeom>
                    <a:noFill/>
                    <a:ln>
                      <a:noFill/>
                    </a:ln>
                  </pic:spPr>
                </pic:pic>
              </a:graphicData>
            </a:graphic>
          </wp:inline>
        </w:drawing>
      </w:r>
    </w:p>
    <w:p w14:paraId="06D55076">
      <w:pPr>
        <w:rPr>
          <w:rFonts w:hint="eastAsia" w:eastAsia="宋体"/>
          <w:color w:val="auto"/>
          <w:highlight w:val="none"/>
          <w:lang w:eastAsia="zh-CN"/>
        </w:rPr>
      </w:pPr>
    </w:p>
    <w:p w14:paraId="6B550C1B">
      <w:pPr>
        <w:rPr>
          <w:rFonts w:hint="eastAsia" w:eastAsia="宋体"/>
          <w:color w:val="auto"/>
          <w:highlight w:val="none"/>
          <w:lang w:eastAsia="zh-CN"/>
        </w:rPr>
      </w:pPr>
    </w:p>
    <w:p w14:paraId="02B3193F">
      <w:pPr>
        <w:rPr>
          <w:rFonts w:hint="eastAsia" w:eastAsia="宋体"/>
          <w:color w:val="auto"/>
          <w:highlight w:val="none"/>
          <w:lang w:eastAsia="zh-CN"/>
        </w:rPr>
      </w:pPr>
    </w:p>
    <w:p w14:paraId="3A361BE9">
      <w:pPr>
        <w:rPr>
          <w:rFonts w:hint="eastAsia" w:eastAsia="宋体"/>
          <w:color w:val="auto"/>
          <w:highlight w:val="none"/>
          <w:lang w:eastAsia="zh-CN"/>
        </w:rPr>
      </w:pPr>
    </w:p>
    <w:p w14:paraId="5AD139EB">
      <w:pPr>
        <w:rPr>
          <w:rFonts w:hint="eastAsia" w:eastAsia="宋体"/>
          <w:color w:val="auto"/>
          <w:highlight w:val="none"/>
          <w:lang w:eastAsia="zh-CN"/>
        </w:rPr>
      </w:pPr>
    </w:p>
    <w:p w14:paraId="3CFEED44">
      <w:pPr>
        <w:rPr>
          <w:rFonts w:hint="eastAsia" w:eastAsia="宋体"/>
          <w:color w:val="auto"/>
          <w:highlight w:val="none"/>
          <w:lang w:eastAsia="zh-CN"/>
        </w:rPr>
      </w:pPr>
    </w:p>
    <w:p w14:paraId="28E0F117">
      <w:pPr>
        <w:jc w:val="both"/>
        <w:rPr>
          <w:rFonts w:hint="eastAsia" w:eastAsia="宋体"/>
          <w:color w:val="auto"/>
          <w:highlight w:val="none"/>
          <w:lang w:eastAsia="zh-CN"/>
        </w:rPr>
      </w:pPr>
    </w:p>
    <w:p w14:paraId="355056B9">
      <w:pPr>
        <w:spacing w:line="360" w:lineRule="auto"/>
        <w:outlineLvl w:val="0"/>
        <w:rPr>
          <w:b/>
          <w:bCs/>
          <w:color w:val="auto"/>
          <w:sz w:val="24"/>
          <w:szCs w:val="24"/>
          <w:highlight w:val="none"/>
          <w:lang w:bidi="ar"/>
        </w:rPr>
      </w:pPr>
      <w:bookmarkStart w:id="188" w:name="_Toc19354"/>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5-6</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稀释剂</w:t>
      </w:r>
      <w:r>
        <w:rPr>
          <w:b/>
          <w:bCs/>
          <w:color w:val="auto"/>
          <w:sz w:val="24"/>
          <w:szCs w:val="24"/>
          <w:highlight w:val="none"/>
          <w:lang w:bidi="ar"/>
        </w:rPr>
        <w:t>MSDS报告</w:t>
      </w:r>
      <w:bookmarkEnd w:id="188"/>
    </w:p>
    <w:p w14:paraId="42AACD38">
      <w:pPr>
        <w:jc w:val="left"/>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399405" cy="7635240"/>
            <wp:effectExtent l="0" t="0" r="10795" b="3810"/>
            <wp:docPr id="224" name="图片 38" descr="组合 3_页面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38" descr="组合 3_页面_50"/>
                    <pic:cNvPicPr>
                      <a:picLocks noChangeAspect="1"/>
                    </pic:cNvPicPr>
                  </pic:nvPicPr>
                  <pic:blipFill>
                    <a:blip r:embed="rId13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770" cy="7635240"/>
            <wp:effectExtent l="0" t="0" r="11430" b="3810"/>
            <wp:docPr id="231" name="图片 39" descr="组合 3_页面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9" descr="组合 3_页面_51"/>
                    <pic:cNvPicPr>
                      <a:picLocks noChangeAspect="1"/>
                    </pic:cNvPicPr>
                  </pic:nvPicPr>
                  <pic:blipFill>
                    <a:blip r:embed="rId131"/>
                    <a:stretch>
                      <a:fillRect/>
                    </a:stretch>
                  </pic:blipFill>
                  <pic:spPr>
                    <a:xfrm>
                      <a:off x="0" y="0"/>
                      <a:ext cx="5398770"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8" name="图片 40" descr="组合 3_页面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40" descr="组合 3_页面_52"/>
                    <pic:cNvPicPr>
                      <a:picLocks noChangeAspect="1"/>
                    </pic:cNvPicPr>
                  </pic:nvPicPr>
                  <pic:blipFill>
                    <a:blip r:embed="rId132"/>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41" name="图片 41" descr="组合 3_页面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41" descr="组合 3_页面_53"/>
                    <pic:cNvPicPr>
                      <a:picLocks noChangeAspect="1"/>
                    </pic:cNvPicPr>
                  </pic:nvPicPr>
                  <pic:blipFill>
                    <a:blip r:embed="rId133"/>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9" name="图片 42" descr="组合 3_页面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42" descr="组合 3_页面_54"/>
                    <pic:cNvPicPr>
                      <a:picLocks noChangeAspect="1"/>
                    </pic:cNvPicPr>
                  </pic:nvPicPr>
                  <pic:blipFill>
                    <a:blip r:embed="rId134"/>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42" name="图片 43" descr="组合 3_页面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43" descr="组合 3_页面_55"/>
                    <pic:cNvPicPr>
                      <a:picLocks noChangeAspect="1"/>
                    </pic:cNvPicPr>
                  </pic:nvPicPr>
                  <pic:blipFill>
                    <a:blip r:embed="rId135"/>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160" name="图片 44" descr="组合 3_页面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44" descr="组合 3_页面_56"/>
                    <pic:cNvPicPr>
                      <a:picLocks noChangeAspect="1"/>
                    </pic:cNvPicPr>
                  </pic:nvPicPr>
                  <pic:blipFill>
                    <a:blip r:embed="rId136"/>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8473440"/>
            <wp:effectExtent l="0" t="0" r="10795" b="3810"/>
            <wp:docPr id="161" name="图片 45" descr="组合 3_页面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45" descr="组合 3_页面_57"/>
                    <pic:cNvPicPr>
                      <a:picLocks noChangeAspect="1"/>
                    </pic:cNvPicPr>
                  </pic:nvPicPr>
                  <pic:blipFill>
                    <a:blip r:embed="rId137"/>
                    <a:stretch>
                      <a:fillRect/>
                    </a:stretch>
                  </pic:blipFill>
                  <pic:spPr>
                    <a:xfrm>
                      <a:off x="0" y="0"/>
                      <a:ext cx="5399405" cy="8473440"/>
                    </a:xfrm>
                    <a:prstGeom prst="rect">
                      <a:avLst/>
                    </a:prstGeom>
                    <a:noFill/>
                    <a:ln>
                      <a:noFill/>
                    </a:ln>
                  </pic:spPr>
                </pic:pic>
              </a:graphicData>
            </a:graphic>
          </wp:inline>
        </w:drawing>
      </w:r>
    </w:p>
    <w:p w14:paraId="6211AA73">
      <w:pPr>
        <w:rPr>
          <w:rFonts w:hint="eastAsia" w:eastAsia="宋体"/>
          <w:color w:val="auto"/>
          <w:highlight w:val="none"/>
          <w:lang w:eastAsia="zh-CN"/>
        </w:rPr>
      </w:pPr>
    </w:p>
    <w:p w14:paraId="4EB414FA">
      <w:pPr>
        <w:spacing w:line="360" w:lineRule="auto"/>
        <w:outlineLvl w:val="0"/>
        <w:rPr>
          <w:b/>
          <w:bCs/>
          <w:color w:val="auto"/>
          <w:sz w:val="24"/>
          <w:szCs w:val="24"/>
          <w:highlight w:val="none"/>
          <w:lang w:bidi="ar"/>
        </w:rPr>
      </w:pPr>
      <w:bookmarkStart w:id="189" w:name="_Toc10093"/>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5-7</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粉末涂料</w:t>
      </w:r>
      <w:r>
        <w:rPr>
          <w:b/>
          <w:bCs/>
          <w:color w:val="auto"/>
          <w:sz w:val="24"/>
          <w:szCs w:val="24"/>
          <w:highlight w:val="none"/>
          <w:lang w:bidi="ar"/>
        </w:rPr>
        <w:t>MSDS报告</w:t>
      </w:r>
      <w:bookmarkEnd w:id="189"/>
    </w:p>
    <w:p w14:paraId="5C813B5B">
      <w:pPr>
        <w:jc w:val="left"/>
        <w:rPr>
          <w:rFonts w:hint="eastAsia" w:eastAsia="宋体"/>
          <w:color w:val="auto"/>
          <w:highlight w:val="none"/>
          <w:lang w:eastAsia="zh-CN"/>
        </w:rPr>
      </w:pPr>
      <w:r>
        <w:drawing>
          <wp:inline distT="0" distB="0" distL="114300" distR="114300">
            <wp:extent cx="5181600" cy="6829425"/>
            <wp:effectExtent l="0" t="0" r="0" b="9525"/>
            <wp:docPr id="22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46"/>
                    <pic:cNvPicPr>
                      <a:picLocks noChangeAspect="1"/>
                    </pic:cNvPicPr>
                  </pic:nvPicPr>
                  <pic:blipFill>
                    <a:blip r:embed="rId138"/>
                    <a:stretch>
                      <a:fillRect/>
                    </a:stretch>
                  </pic:blipFill>
                  <pic:spPr>
                    <a:xfrm>
                      <a:off x="0" y="0"/>
                      <a:ext cx="5181600" cy="6829425"/>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8" name="图片 47" descr="组合 3_页面_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47" descr="组合 3_页面_59"/>
                    <pic:cNvPicPr>
                      <a:picLocks noChangeAspect="1"/>
                    </pic:cNvPicPr>
                  </pic:nvPicPr>
                  <pic:blipFill>
                    <a:blip r:embed="rId139"/>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7" name="图片 48" descr="组合 3_页面_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48" descr="组合 3_页面_60"/>
                    <pic:cNvPicPr>
                      <a:picLocks noChangeAspect="1"/>
                    </pic:cNvPicPr>
                  </pic:nvPicPr>
                  <pic:blipFill>
                    <a:blip r:embed="rId14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199" name="图片 49" descr="组合 3_页面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49" descr="组合 3_页面_61"/>
                    <pic:cNvPicPr>
                      <a:picLocks noChangeAspect="1"/>
                    </pic:cNvPicPr>
                  </pic:nvPicPr>
                  <pic:blipFill>
                    <a:blip r:embed="rId141"/>
                    <a:stretch>
                      <a:fillRect/>
                    </a:stretch>
                  </pic:blipFill>
                  <pic:spPr>
                    <a:xfrm>
                      <a:off x="0" y="0"/>
                      <a:ext cx="5399405" cy="7635240"/>
                    </a:xfrm>
                    <a:prstGeom prst="rect">
                      <a:avLst/>
                    </a:prstGeom>
                    <a:noFill/>
                    <a:ln>
                      <a:noFill/>
                    </a:ln>
                  </pic:spPr>
                </pic:pic>
              </a:graphicData>
            </a:graphic>
          </wp:inline>
        </w:drawing>
      </w:r>
    </w:p>
    <w:p w14:paraId="75DDFF71">
      <w:pPr>
        <w:jc w:val="left"/>
        <w:rPr>
          <w:rFonts w:hint="eastAsia" w:eastAsia="宋体"/>
          <w:color w:val="auto"/>
          <w:highlight w:val="none"/>
          <w:lang w:eastAsia="zh-CN"/>
        </w:rPr>
      </w:pPr>
    </w:p>
    <w:p w14:paraId="493F7AFB">
      <w:pPr>
        <w:jc w:val="left"/>
        <w:rPr>
          <w:rFonts w:hint="eastAsia" w:eastAsia="宋体"/>
          <w:color w:val="auto"/>
          <w:highlight w:val="none"/>
          <w:lang w:eastAsia="zh-CN"/>
        </w:rPr>
      </w:pPr>
    </w:p>
    <w:p w14:paraId="75A17962">
      <w:pPr>
        <w:jc w:val="left"/>
        <w:rPr>
          <w:rFonts w:hint="eastAsia" w:eastAsia="宋体"/>
          <w:color w:val="auto"/>
          <w:highlight w:val="none"/>
          <w:lang w:eastAsia="zh-CN"/>
        </w:rPr>
      </w:pPr>
    </w:p>
    <w:p w14:paraId="6EFE920B">
      <w:pPr>
        <w:jc w:val="left"/>
        <w:rPr>
          <w:rFonts w:hint="eastAsia" w:eastAsia="宋体"/>
          <w:color w:val="auto"/>
          <w:highlight w:val="none"/>
          <w:lang w:eastAsia="zh-CN"/>
        </w:rPr>
      </w:pPr>
    </w:p>
    <w:p w14:paraId="41886A14">
      <w:pPr>
        <w:jc w:val="left"/>
        <w:rPr>
          <w:rFonts w:hint="eastAsia" w:eastAsia="宋体"/>
          <w:color w:val="auto"/>
          <w:highlight w:val="none"/>
          <w:lang w:eastAsia="zh-CN"/>
        </w:rPr>
      </w:pPr>
    </w:p>
    <w:p w14:paraId="196177F9">
      <w:pPr>
        <w:jc w:val="left"/>
        <w:rPr>
          <w:rFonts w:hint="eastAsia" w:eastAsia="宋体"/>
          <w:color w:val="auto"/>
          <w:highlight w:val="none"/>
          <w:lang w:eastAsia="zh-CN"/>
        </w:rPr>
      </w:pPr>
    </w:p>
    <w:p w14:paraId="08BB1548">
      <w:pPr>
        <w:spacing w:line="360" w:lineRule="auto"/>
        <w:outlineLvl w:val="0"/>
        <w:rPr>
          <w:b/>
          <w:bCs/>
          <w:color w:val="auto"/>
          <w:sz w:val="24"/>
          <w:szCs w:val="24"/>
          <w:highlight w:val="none"/>
          <w:lang w:bidi="ar"/>
        </w:rPr>
      </w:pPr>
      <w:bookmarkStart w:id="190" w:name="_Toc14389"/>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w:t>
      </w:r>
      <w:r>
        <w:rPr>
          <w:rFonts w:hint="eastAsia"/>
          <w:b/>
          <w:bCs/>
          <w:color w:val="auto"/>
          <w:sz w:val="24"/>
          <w:szCs w:val="24"/>
          <w:highlight w:val="none"/>
          <w:lang w:val="en-US" w:eastAsia="zh-CN" w:bidi="ar"/>
        </w:rPr>
        <w:t>8</w:t>
      </w:r>
      <w:r>
        <w:rPr>
          <w:b/>
          <w:bCs/>
          <w:color w:val="auto"/>
          <w:sz w:val="24"/>
          <w:szCs w:val="24"/>
          <w:highlight w:val="none"/>
        </w:rPr>
        <w:t xml:space="preserve"> </w:t>
      </w:r>
      <w:r>
        <w:rPr>
          <w:rFonts w:hint="eastAsia"/>
          <w:b/>
          <w:bCs/>
          <w:color w:val="auto"/>
          <w:sz w:val="24"/>
          <w:szCs w:val="24"/>
          <w:highlight w:val="none"/>
          <w:lang w:val="en-US" w:eastAsia="zh-CN"/>
        </w:rPr>
        <w:t>清洗剂</w:t>
      </w:r>
      <w:r>
        <w:rPr>
          <w:b/>
          <w:bCs/>
          <w:color w:val="auto"/>
          <w:sz w:val="24"/>
          <w:szCs w:val="24"/>
          <w:highlight w:val="none"/>
          <w:lang w:bidi="ar"/>
        </w:rPr>
        <w:t>MSDS报告</w:t>
      </w:r>
      <w:bookmarkEnd w:id="190"/>
    </w:p>
    <w:p w14:paraId="7F822C7C">
      <w:pPr>
        <w:pStyle w:val="56"/>
        <w:pageBreakBefore w:val="0"/>
        <w:wordWrap w:val="0"/>
        <w:overflowPunct/>
        <w:bidi w:val="0"/>
        <w:ind w:left="0" w:leftChars="0" w:firstLine="0" w:firstLineChars="0"/>
        <w:jc w:val="center"/>
        <w:rPr>
          <w:color w:val="auto"/>
          <w:highlight w:val="none"/>
        </w:rPr>
      </w:pPr>
      <w:r>
        <w:rPr>
          <w:color w:val="auto"/>
          <w:highlight w:val="none"/>
        </w:rPr>
        <w:drawing>
          <wp:inline distT="0" distB="0" distL="114300" distR="114300">
            <wp:extent cx="5609590" cy="7943215"/>
            <wp:effectExtent l="0" t="0" r="10160" b="635"/>
            <wp:docPr id="20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5"/>
                    <pic:cNvPicPr>
                      <a:picLocks noChangeAspect="1"/>
                    </pic:cNvPicPr>
                  </pic:nvPicPr>
                  <pic:blipFill>
                    <a:blip r:embed="rId142"/>
                    <a:stretch>
                      <a:fillRect/>
                    </a:stretch>
                  </pic:blipFill>
                  <pic:spPr>
                    <a:xfrm>
                      <a:off x="0" y="0"/>
                      <a:ext cx="5609590" cy="7943215"/>
                    </a:xfrm>
                    <a:prstGeom prst="rect">
                      <a:avLst/>
                    </a:prstGeom>
                    <a:noFill/>
                    <a:ln>
                      <a:noFill/>
                    </a:ln>
                  </pic:spPr>
                </pic:pic>
              </a:graphicData>
            </a:graphic>
          </wp:inline>
        </w:drawing>
      </w:r>
      <w:r>
        <w:rPr>
          <w:color w:val="auto"/>
          <w:highlight w:val="none"/>
        </w:rPr>
        <w:drawing>
          <wp:inline distT="0" distB="0" distL="114300" distR="114300">
            <wp:extent cx="5612130" cy="8001000"/>
            <wp:effectExtent l="0" t="0" r="7620" b="0"/>
            <wp:docPr id="2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6"/>
                    <pic:cNvPicPr>
                      <a:picLocks noChangeAspect="1"/>
                    </pic:cNvPicPr>
                  </pic:nvPicPr>
                  <pic:blipFill>
                    <a:blip r:embed="rId143"/>
                    <a:stretch>
                      <a:fillRect/>
                    </a:stretch>
                  </pic:blipFill>
                  <pic:spPr>
                    <a:xfrm>
                      <a:off x="0" y="0"/>
                      <a:ext cx="5612130" cy="8001000"/>
                    </a:xfrm>
                    <a:prstGeom prst="rect">
                      <a:avLst/>
                    </a:prstGeom>
                    <a:noFill/>
                    <a:ln>
                      <a:noFill/>
                    </a:ln>
                  </pic:spPr>
                </pic:pic>
              </a:graphicData>
            </a:graphic>
          </wp:inline>
        </w:drawing>
      </w:r>
    </w:p>
    <w:p w14:paraId="4A8FD3D9">
      <w:pPr>
        <w:rPr>
          <w:color w:val="auto"/>
          <w:highlight w:val="none"/>
        </w:rPr>
      </w:pPr>
      <w:r>
        <w:rPr>
          <w:color w:val="auto"/>
          <w:highlight w:val="none"/>
        </w:rPr>
        <w:drawing>
          <wp:inline distT="0" distB="0" distL="114300" distR="114300">
            <wp:extent cx="5612765" cy="7944485"/>
            <wp:effectExtent l="0" t="0" r="6985" b="18415"/>
            <wp:docPr id="23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7"/>
                    <pic:cNvPicPr>
                      <a:picLocks noChangeAspect="1"/>
                    </pic:cNvPicPr>
                  </pic:nvPicPr>
                  <pic:blipFill>
                    <a:blip r:embed="rId144"/>
                    <a:stretch>
                      <a:fillRect/>
                    </a:stretch>
                  </pic:blipFill>
                  <pic:spPr>
                    <a:xfrm>
                      <a:off x="0" y="0"/>
                      <a:ext cx="5612765" cy="7944485"/>
                    </a:xfrm>
                    <a:prstGeom prst="rect">
                      <a:avLst/>
                    </a:prstGeom>
                    <a:noFill/>
                    <a:ln>
                      <a:noFill/>
                    </a:ln>
                  </pic:spPr>
                </pic:pic>
              </a:graphicData>
            </a:graphic>
          </wp:inline>
        </w:drawing>
      </w:r>
    </w:p>
    <w:p w14:paraId="298D5670">
      <w:pPr>
        <w:pStyle w:val="2"/>
        <w:rPr>
          <w:rFonts w:hint="eastAsia"/>
          <w:lang w:val="en-US" w:eastAsia="zh-CN"/>
        </w:rPr>
      </w:pPr>
      <w:r>
        <w:rPr>
          <w:color w:val="auto"/>
          <w:highlight w:val="none"/>
        </w:rPr>
        <w:drawing>
          <wp:inline distT="0" distB="0" distL="114300" distR="114300">
            <wp:extent cx="5609590" cy="7943215"/>
            <wp:effectExtent l="0" t="0" r="10160" b="635"/>
            <wp:docPr id="2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8"/>
                    <pic:cNvPicPr>
                      <a:picLocks noChangeAspect="1"/>
                    </pic:cNvPicPr>
                  </pic:nvPicPr>
                  <pic:blipFill>
                    <a:blip r:embed="rId145"/>
                    <a:stretch>
                      <a:fillRect/>
                    </a:stretch>
                  </pic:blipFill>
                  <pic:spPr>
                    <a:xfrm>
                      <a:off x="0" y="0"/>
                      <a:ext cx="5609590" cy="7943215"/>
                    </a:xfrm>
                    <a:prstGeom prst="rect">
                      <a:avLst/>
                    </a:prstGeom>
                    <a:noFill/>
                    <a:ln>
                      <a:noFill/>
                    </a:ln>
                  </pic:spPr>
                </pic:pic>
              </a:graphicData>
            </a:graphic>
          </wp:inline>
        </w:drawing>
      </w:r>
      <w:r>
        <w:rPr>
          <w:color w:val="auto"/>
          <w:highlight w:val="none"/>
        </w:rPr>
        <w:drawing>
          <wp:inline distT="0" distB="0" distL="114300" distR="114300">
            <wp:extent cx="5612765" cy="7953375"/>
            <wp:effectExtent l="0" t="0" r="6985" b="9525"/>
            <wp:docPr id="2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9"/>
                    <pic:cNvPicPr>
                      <a:picLocks noChangeAspect="1"/>
                    </pic:cNvPicPr>
                  </pic:nvPicPr>
                  <pic:blipFill>
                    <a:blip r:embed="rId146"/>
                    <a:stretch>
                      <a:fillRect/>
                    </a:stretch>
                  </pic:blipFill>
                  <pic:spPr>
                    <a:xfrm>
                      <a:off x="0" y="0"/>
                      <a:ext cx="5612765" cy="7953375"/>
                    </a:xfrm>
                    <a:prstGeom prst="rect">
                      <a:avLst/>
                    </a:prstGeom>
                    <a:noFill/>
                    <a:ln>
                      <a:noFill/>
                    </a:ln>
                  </pic:spPr>
                </pic:pic>
              </a:graphicData>
            </a:graphic>
          </wp:inline>
        </w:drawing>
      </w:r>
    </w:p>
    <w:p w14:paraId="0ECEF3CB">
      <w:pPr>
        <w:pStyle w:val="56"/>
        <w:pageBreakBefore w:val="0"/>
        <w:wordWrap w:val="0"/>
        <w:overflowPunct/>
        <w:bidi w:val="0"/>
        <w:ind w:left="0" w:leftChars="0" w:firstLine="0" w:firstLineChars="0"/>
        <w:jc w:val="center"/>
        <w:rPr>
          <w:rFonts w:hint="eastAsia" w:ascii="Times New Roman" w:cs="Times New Roman"/>
          <w:b/>
          <w:bCs/>
          <w:color w:val="auto"/>
          <w:kern w:val="2"/>
          <w:sz w:val="21"/>
          <w:szCs w:val="21"/>
          <w:highlight w:val="none"/>
          <w:vertAlign w:val="baseline"/>
          <w:lang w:val="en-US" w:eastAsia="zh-CN" w:bidi="ar-SA"/>
        </w:rPr>
      </w:pPr>
      <w:r>
        <w:rPr>
          <w:color w:val="auto"/>
          <w:highlight w:val="none"/>
        </w:rPr>
        <w:drawing>
          <wp:inline distT="0" distB="0" distL="114300" distR="114300">
            <wp:extent cx="5614035" cy="7973060"/>
            <wp:effectExtent l="0" t="0" r="5715" b="8890"/>
            <wp:docPr id="2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0"/>
                    <pic:cNvPicPr>
                      <a:picLocks noChangeAspect="1"/>
                    </pic:cNvPicPr>
                  </pic:nvPicPr>
                  <pic:blipFill>
                    <a:blip r:embed="rId147"/>
                    <a:stretch>
                      <a:fillRect/>
                    </a:stretch>
                  </pic:blipFill>
                  <pic:spPr>
                    <a:xfrm>
                      <a:off x="0" y="0"/>
                      <a:ext cx="5614035" cy="7973060"/>
                    </a:xfrm>
                    <a:prstGeom prst="rect">
                      <a:avLst/>
                    </a:prstGeom>
                    <a:noFill/>
                    <a:ln>
                      <a:noFill/>
                    </a:ln>
                  </pic:spPr>
                </pic:pic>
              </a:graphicData>
            </a:graphic>
          </wp:inline>
        </w:drawing>
      </w:r>
    </w:p>
    <w:p w14:paraId="3C7DD230">
      <w:pPr>
        <w:pStyle w:val="56"/>
        <w:pageBreakBefore w:val="0"/>
        <w:wordWrap w:val="0"/>
        <w:overflowPunct/>
        <w:bidi w:val="0"/>
        <w:ind w:left="0" w:leftChars="0" w:firstLine="0" w:firstLineChars="0"/>
        <w:jc w:val="center"/>
        <w:rPr>
          <w:rFonts w:hint="eastAsia" w:ascii="Times New Roman" w:cs="Times New Roman"/>
          <w:b/>
          <w:bCs/>
          <w:color w:val="auto"/>
          <w:kern w:val="2"/>
          <w:sz w:val="21"/>
          <w:szCs w:val="21"/>
          <w:highlight w:val="none"/>
          <w:vertAlign w:val="baseline"/>
          <w:lang w:val="en-US" w:eastAsia="zh-CN" w:bidi="ar-SA"/>
        </w:rPr>
      </w:pPr>
      <w:r>
        <w:rPr>
          <w:color w:val="auto"/>
          <w:highlight w:val="none"/>
        </w:rPr>
        <w:drawing>
          <wp:inline distT="0" distB="0" distL="114300" distR="114300">
            <wp:extent cx="5608320" cy="7944485"/>
            <wp:effectExtent l="0" t="0" r="11430" b="18415"/>
            <wp:docPr id="2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1"/>
                    <pic:cNvPicPr>
                      <a:picLocks noChangeAspect="1"/>
                    </pic:cNvPicPr>
                  </pic:nvPicPr>
                  <pic:blipFill>
                    <a:blip r:embed="rId148"/>
                    <a:stretch>
                      <a:fillRect/>
                    </a:stretch>
                  </pic:blipFill>
                  <pic:spPr>
                    <a:xfrm>
                      <a:off x="0" y="0"/>
                      <a:ext cx="5608320" cy="7944485"/>
                    </a:xfrm>
                    <a:prstGeom prst="rect">
                      <a:avLst/>
                    </a:prstGeom>
                    <a:noFill/>
                    <a:ln>
                      <a:noFill/>
                    </a:ln>
                  </pic:spPr>
                </pic:pic>
              </a:graphicData>
            </a:graphic>
          </wp:inline>
        </w:drawing>
      </w:r>
    </w:p>
    <w:p w14:paraId="1C8C150C">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r>
        <w:rPr>
          <w:color w:val="auto"/>
          <w:highlight w:val="none"/>
        </w:rPr>
        <w:drawing>
          <wp:inline distT="0" distB="0" distL="114300" distR="114300">
            <wp:extent cx="5609590" cy="7938770"/>
            <wp:effectExtent l="0" t="0" r="10160" b="5080"/>
            <wp:docPr id="25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2"/>
                    <pic:cNvPicPr>
                      <a:picLocks noChangeAspect="1"/>
                    </pic:cNvPicPr>
                  </pic:nvPicPr>
                  <pic:blipFill>
                    <a:blip r:embed="rId149"/>
                    <a:stretch>
                      <a:fillRect/>
                    </a:stretch>
                  </pic:blipFill>
                  <pic:spPr>
                    <a:xfrm>
                      <a:off x="0" y="0"/>
                      <a:ext cx="5609590" cy="7938770"/>
                    </a:xfrm>
                    <a:prstGeom prst="rect">
                      <a:avLst/>
                    </a:prstGeom>
                    <a:noFill/>
                    <a:ln>
                      <a:noFill/>
                    </a:ln>
                  </pic:spPr>
                </pic:pic>
              </a:graphicData>
            </a:graphic>
          </wp:inline>
        </w:drawing>
      </w:r>
    </w:p>
    <w:p w14:paraId="140B9C2B">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335442C0">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F1B3381">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906243E">
      <w:pPr>
        <w:spacing w:line="360" w:lineRule="auto"/>
        <w:outlineLvl w:val="0"/>
        <w:rPr>
          <w:b/>
          <w:bCs/>
          <w:color w:val="auto"/>
          <w:sz w:val="24"/>
          <w:szCs w:val="24"/>
          <w:highlight w:val="none"/>
          <w:lang w:bidi="ar"/>
        </w:rPr>
      </w:pPr>
      <w:bookmarkStart w:id="191" w:name="_Toc1914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w:t>
      </w:r>
      <w:r>
        <w:rPr>
          <w:rFonts w:hint="eastAsia"/>
          <w:b/>
          <w:bCs/>
          <w:color w:val="auto"/>
          <w:sz w:val="24"/>
          <w:szCs w:val="24"/>
          <w:highlight w:val="none"/>
          <w:lang w:val="en-US" w:eastAsia="zh-CN" w:bidi="ar"/>
        </w:rPr>
        <w:t>9</w:t>
      </w:r>
      <w:r>
        <w:rPr>
          <w:b/>
          <w:bCs/>
          <w:color w:val="auto"/>
          <w:sz w:val="24"/>
          <w:szCs w:val="24"/>
          <w:highlight w:val="none"/>
        </w:rPr>
        <w:t xml:space="preserve"> </w:t>
      </w:r>
      <w:r>
        <w:rPr>
          <w:rFonts w:hint="eastAsia" w:ascii="Times New Roman" w:eastAsia="宋体"/>
          <w:b/>
          <w:bCs/>
          <w:color w:val="auto"/>
          <w:sz w:val="24"/>
          <w:szCs w:val="24"/>
          <w:highlight w:val="none"/>
          <w:lang w:val="en-US" w:eastAsia="zh-CN"/>
        </w:rPr>
        <w:t>油漆和粉末涂料VOCs含量检测</w:t>
      </w:r>
      <w:r>
        <w:rPr>
          <w:b/>
          <w:bCs/>
          <w:color w:val="auto"/>
          <w:sz w:val="24"/>
          <w:szCs w:val="24"/>
          <w:highlight w:val="none"/>
          <w:lang w:bidi="ar"/>
        </w:rPr>
        <w:t>报告</w:t>
      </w:r>
      <w:bookmarkEnd w:id="191"/>
    </w:p>
    <w:p w14:paraId="3C11E84C">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62" name="图片 50" descr="检测报告(2)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50" descr="检测报告(2)_页面_1"/>
                    <pic:cNvPicPr>
                      <a:picLocks noChangeAspect="1"/>
                    </pic:cNvPicPr>
                  </pic:nvPicPr>
                  <pic:blipFill>
                    <a:blip r:embed="rId150"/>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78" name="图片 51" descr="检测报告(2)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51" descr="检测报告(2)_页面_2"/>
                    <pic:cNvPicPr>
                      <a:picLocks noChangeAspect="1"/>
                    </pic:cNvPicPr>
                  </pic:nvPicPr>
                  <pic:blipFill>
                    <a:blip r:embed="rId151"/>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6" name="图片 52" descr="检测报告(2)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52" descr="检测报告(2)_页面_3"/>
                    <pic:cNvPicPr>
                      <a:picLocks noChangeAspect="1"/>
                    </pic:cNvPicPr>
                  </pic:nvPicPr>
                  <pic:blipFill>
                    <a:blip r:embed="rId152"/>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84" name="图片 53" descr="检测报告(2)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3" descr="检测报告(2)_页面_4"/>
                    <pic:cNvPicPr>
                      <a:picLocks noChangeAspect="1"/>
                    </pic:cNvPicPr>
                  </pic:nvPicPr>
                  <pic:blipFill>
                    <a:blip r:embed="rId153"/>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7" name="图片 54" descr="检测报告(1)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54" descr="检测报告(1)_页面_1"/>
                    <pic:cNvPicPr>
                      <a:picLocks noChangeAspect="1"/>
                    </pic:cNvPicPr>
                  </pic:nvPicPr>
                  <pic:blipFill>
                    <a:blip r:embed="rId154"/>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63" name="图片 55" descr="检测报告(1)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55" descr="检测报告(1)_页面_2"/>
                    <pic:cNvPicPr>
                      <a:picLocks noChangeAspect="1"/>
                    </pic:cNvPicPr>
                  </pic:nvPicPr>
                  <pic:blipFill>
                    <a:blip r:embed="rId155">
                      <a:lum bright="-6000"/>
                    </a:blip>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85" name="图片 56" descr="检测报告(1)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56" descr="检测报告(1)_页面_3"/>
                    <pic:cNvPicPr>
                      <a:picLocks noChangeAspect="1"/>
                    </pic:cNvPicPr>
                  </pic:nvPicPr>
                  <pic:blipFill>
                    <a:blip r:embed="rId156"/>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8" name="图片 57" descr="检测报告(1)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57" descr="检测报告(1)_页面_4"/>
                    <pic:cNvPicPr>
                      <a:picLocks noChangeAspect="1"/>
                    </pic:cNvPicPr>
                  </pic:nvPicPr>
                  <pic:blipFill>
                    <a:blip r:embed="rId157"/>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7" name="图片 58" descr="检测报告(3)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8" descr="检测报告(3)_页面_1"/>
                    <pic:cNvPicPr>
                      <a:picLocks noChangeAspect="1"/>
                    </pic:cNvPicPr>
                  </pic:nvPicPr>
                  <pic:blipFill>
                    <a:blip r:embed="rId158"/>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4" name="图片 59" descr="检测报告(3)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59" descr="检测报告(3)_页面_2"/>
                    <pic:cNvPicPr>
                      <a:picLocks noChangeAspect="1"/>
                    </pic:cNvPicPr>
                  </pic:nvPicPr>
                  <pic:blipFill>
                    <a:blip r:embed="rId159"/>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3" name="图片 60" descr="检测报告(3)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60" descr="检测报告(3)_页面_3"/>
                    <pic:cNvPicPr>
                      <a:picLocks noChangeAspect="1"/>
                    </pic:cNvPicPr>
                  </pic:nvPicPr>
                  <pic:blipFill>
                    <a:blip r:embed="rId160"/>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9" name="图片 61" descr="检测报告(3)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61" descr="检测报告(3)_页面_4"/>
                    <pic:cNvPicPr>
                      <a:picLocks noChangeAspect="1"/>
                    </pic:cNvPicPr>
                  </pic:nvPicPr>
                  <pic:blipFill>
                    <a:blip r:embed="rId161"/>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275" cy="7786370"/>
            <wp:effectExtent l="0" t="0" r="3175" b="5080"/>
            <wp:docPr id="246" name="图片 62" descr="组合 2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62" descr="组合 2_页面_16"/>
                    <pic:cNvPicPr>
                      <a:picLocks noChangeAspect="1"/>
                    </pic:cNvPicPr>
                  </pic:nvPicPr>
                  <pic:blipFill>
                    <a:blip r:embed="rId162"/>
                    <a:stretch>
                      <a:fillRect/>
                    </a:stretch>
                  </pic:blipFill>
                  <pic:spPr>
                    <a:xfrm>
                      <a:off x="0" y="0"/>
                      <a:ext cx="5502275" cy="7786370"/>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275" cy="7785735"/>
            <wp:effectExtent l="0" t="0" r="3175" b="5715"/>
            <wp:docPr id="248" name="图片 63" descr="组合 2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63" descr="组合 2_页面_17"/>
                    <pic:cNvPicPr>
                      <a:picLocks noChangeAspect="1"/>
                    </pic:cNvPicPr>
                  </pic:nvPicPr>
                  <pic:blipFill>
                    <a:blip r:embed="rId163"/>
                    <a:stretch>
                      <a:fillRect/>
                    </a:stretch>
                  </pic:blipFill>
                  <pic:spPr>
                    <a:xfrm>
                      <a:off x="0" y="0"/>
                      <a:ext cx="5502275"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910" cy="7785100"/>
            <wp:effectExtent l="0" t="0" r="2540" b="6350"/>
            <wp:docPr id="245" name="图片 64" descr="组合 2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64" descr="组合 2_页面_18"/>
                    <pic:cNvPicPr>
                      <a:picLocks noChangeAspect="1"/>
                    </pic:cNvPicPr>
                  </pic:nvPicPr>
                  <pic:blipFill>
                    <a:blip r:embed="rId164"/>
                    <a:stretch>
                      <a:fillRect/>
                    </a:stretch>
                  </pic:blipFill>
                  <pic:spPr>
                    <a:xfrm>
                      <a:off x="0" y="0"/>
                      <a:ext cx="5502910" cy="7785100"/>
                    </a:xfrm>
                    <a:prstGeom prst="rect">
                      <a:avLst/>
                    </a:prstGeom>
                    <a:noFill/>
                    <a:ln>
                      <a:noFill/>
                    </a:ln>
                  </pic:spPr>
                </pic:pic>
              </a:graphicData>
            </a:graphic>
          </wp:inline>
        </w:drawing>
      </w:r>
    </w:p>
    <w:p w14:paraId="76C55561">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12A38160">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74A18A8">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489711A0">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p>
    <w:p w14:paraId="7B474B40">
      <w:pPr>
        <w:widowControl w:val="0"/>
        <w:spacing w:line="360" w:lineRule="auto"/>
        <w:jc w:val="left"/>
        <w:outlineLvl w:val="0"/>
        <w:rPr>
          <w:rFonts w:hint="default" w:ascii="Times New Roman" w:hAnsi="Times New Roman" w:eastAsia="宋体" w:cs="Times New Roman"/>
          <w:b/>
          <w:bCs/>
          <w:color w:val="auto"/>
          <w:kern w:val="2"/>
          <w:sz w:val="24"/>
          <w:szCs w:val="24"/>
          <w:highlight w:val="none"/>
          <w:lang w:val="en-US" w:eastAsia="zh-CN" w:bidi="ar"/>
        </w:rPr>
      </w:pPr>
      <w:bookmarkStart w:id="192" w:name="_Toc19358"/>
      <w:bookmarkStart w:id="193" w:name="_Toc17981"/>
      <w:bookmarkStart w:id="194" w:name="_Toc28463"/>
      <w:bookmarkStart w:id="195" w:name="_Toc31946"/>
      <w:r>
        <w:rPr>
          <w:rFonts w:hint="eastAsia" w:ascii="Times New Roman" w:hAnsi="Times New Roman" w:eastAsia="宋体" w:cs="Times New Roman"/>
          <w:b/>
          <w:bCs/>
          <w:color w:val="auto"/>
          <w:kern w:val="2"/>
          <w:sz w:val="24"/>
          <w:szCs w:val="24"/>
          <w:highlight w:val="none"/>
          <w:lang w:val="en-US" w:eastAsia="zh-CN" w:bidi="ar"/>
        </w:rPr>
        <w:t>附件6 环境质量现状监测报告（摘录部分）</w:t>
      </w:r>
      <w:bookmarkEnd w:id="192"/>
      <w:bookmarkEnd w:id="193"/>
      <w:bookmarkEnd w:id="194"/>
      <w:bookmarkEnd w:id="195"/>
    </w:p>
    <w:p w14:paraId="28A4DA66">
      <w:pPr>
        <w:rPr>
          <w:color w:val="auto"/>
          <w:highlight w:val="none"/>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1"/>
      </w:tblGrid>
      <w:tr w14:paraId="3B46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vAlign w:val="center"/>
          </w:tcPr>
          <w:p w14:paraId="6A524BB4">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5038725" cy="7124700"/>
                  <wp:effectExtent l="0" t="0" r="9525" b="0"/>
                  <wp:docPr id="1123" name="图片 6"/>
                  <wp:cNvGraphicFramePr/>
                  <a:graphic xmlns:a="http://schemas.openxmlformats.org/drawingml/2006/main">
                    <a:graphicData uri="http://schemas.openxmlformats.org/drawingml/2006/picture">
                      <pic:pic xmlns:pic="http://schemas.openxmlformats.org/drawingml/2006/picture">
                        <pic:nvPicPr>
                          <pic:cNvPr id="1123" name="图片 6"/>
                          <pic:cNvPicPr/>
                        </pic:nvPicPr>
                        <pic:blipFill>
                          <a:blip r:embed="rId165" cstate="print"/>
                          <a:srcRect/>
                          <a:stretch>
                            <a:fillRect/>
                          </a:stretch>
                        </pic:blipFill>
                        <pic:spPr>
                          <a:xfrm>
                            <a:off x="0" y="0"/>
                            <a:ext cx="5038725" cy="7124700"/>
                          </a:xfrm>
                          <a:prstGeom prst="rect">
                            <a:avLst/>
                          </a:prstGeom>
                          <a:ln>
                            <a:noFill/>
                          </a:ln>
                        </pic:spPr>
                      </pic:pic>
                    </a:graphicData>
                  </a:graphic>
                </wp:inline>
              </w:drawing>
            </w:r>
          </w:p>
        </w:tc>
      </w:tr>
      <w:tr w14:paraId="755A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2EC7AD7D">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4933950" cy="7077075"/>
                  <wp:effectExtent l="0" t="0" r="0" b="9525"/>
                  <wp:docPr id="1124" name="图片 7"/>
                  <wp:cNvGraphicFramePr/>
                  <a:graphic xmlns:a="http://schemas.openxmlformats.org/drawingml/2006/main">
                    <a:graphicData uri="http://schemas.openxmlformats.org/drawingml/2006/picture">
                      <pic:pic xmlns:pic="http://schemas.openxmlformats.org/drawingml/2006/picture">
                        <pic:nvPicPr>
                          <pic:cNvPr id="1124" name="图片 7"/>
                          <pic:cNvPicPr/>
                        </pic:nvPicPr>
                        <pic:blipFill>
                          <a:blip r:embed="rId166" cstate="print"/>
                          <a:srcRect/>
                          <a:stretch>
                            <a:fillRect/>
                          </a:stretch>
                        </pic:blipFill>
                        <pic:spPr>
                          <a:xfrm>
                            <a:off x="0" y="0"/>
                            <a:ext cx="4933950" cy="7077075"/>
                          </a:xfrm>
                          <a:prstGeom prst="rect">
                            <a:avLst/>
                          </a:prstGeom>
                          <a:ln>
                            <a:noFill/>
                          </a:ln>
                        </pic:spPr>
                      </pic:pic>
                    </a:graphicData>
                  </a:graphic>
                </wp:inline>
              </w:drawing>
            </w:r>
          </w:p>
        </w:tc>
      </w:tr>
      <w:tr w14:paraId="7F89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6D807947">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114300" distR="114300">
                  <wp:extent cx="5476875" cy="7810500"/>
                  <wp:effectExtent l="0" t="0" r="9525" b="0"/>
                  <wp:docPr id="1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3"/>
                          <pic:cNvPicPr>
                            <a:picLocks noChangeAspect="1"/>
                          </pic:cNvPicPr>
                        </pic:nvPicPr>
                        <pic:blipFill>
                          <a:blip r:embed="rId167"/>
                          <a:stretch>
                            <a:fillRect/>
                          </a:stretch>
                        </pic:blipFill>
                        <pic:spPr>
                          <a:xfrm>
                            <a:off x="0" y="0"/>
                            <a:ext cx="5476875" cy="7810500"/>
                          </a:xfrm>
                          <a:prstGeom prst="rect">
                            <a:avLst/>
                          </a:prstGeom>
                          <a:noFill/>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114300" distR="114300">
                  <wp:extent cx="5257800" cy="7553325"/>
                  <wp:effectExtent l="0" t="0" r="0" b="9525"/>
                  <wp:docPr id="1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
                          <pic:cNvPicPr>
                            <a:picLocks noChangeAspect="1"/>
                          </pic:cNvPicPr>
                        </pic:nvPicPr>
                        <pic:blipFill>
                          <a:blip r:embed="rId168"/>
                          <a:stretch>
                            <a:fillRect/>
                          </a:stretch>
                        </pic:blipFill>
                        <pic:spPr>
                          <a:xfrm>
                            <a:off x="0" y="0"/>
                            <a:ext cx="5257800" cy="7553325"/>
                          </a:xfrm>
                          <a:prstGeom prst="rect">
                            <a:avLst/>
                          </a:prstGeom>
                          <a:noFill/>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0" distR="0">
                  <wp:extent cx="5057775" cy="7105650"/>
                  <wp:effectExtent l="0" t="0" r="9525" b="0"/>
                  <wp:docPr id="1125" name="图片 1"/>
                  <wp:cNvGraphicFramePr/>
                  <a:graphic xmlns:a="http://schemas.openxmlformats.org/drawingml/2006/main">
                    <a:graphicData uri="http://schemas.openxmlformats.org/drawingml/2006/picture">
                      <pic:pic xmlns:pic="http://schemas.openxmlformats.org/drawingml/2006/picture">
                        <pic:nvPicPr>
                          <pic:cNvPr id="1125" name="图片 1"/>
                          <pic:cNvPicPr/>
                        </pic:nvPicPr>
                        <pic:blipFill>
                          <a:blip r:embed="rId169" cstate="print"/>
                          <a:srcRect/>
                          <a:stretch>
                            <a:fillRect/>
                          </a:stretch>
                        </pic:blipFill>
                        <pic:spPr>
                          <a:xfrm>
                            <a:off x="0" y="0"/>
                            <a:ext cx="5057775" cy="7105650"/>
                          </a:xfrm>
                          <a:prstGeom prst="rect">
                            <a:avLst/>
                          </a:prstGeom>
                          <a:ln>
                            <a:noFill/>
                          </a:ln>
                        </pic:spPr>
                      </pic:pic>
                    </a:graphicData>
                  </a:graphic>
                </wp:inline>
              </w:drawing>
            </w:r>
          </w:p>
        </w:tc>
      </w:tr>
      <w:tr w14:paraId="7C7F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4600FC8C">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4991100" cy="6962775"/>
                  <wp:effectExtent l="0" t="0" r="0" b="9525"/>
                  <wp:docPr id="1126" name="图片 2"/>
                  <wp:cNvGraphicFramePr/>
                  <a:graphic xmlns:a="http://schemas.openxmlformats.org/drawingml/2006/main">
                    <a:graphicData uri="http://schemas.openxmlformats.org/drawingml/2006/picture">
                      <pic:pic xmlns:pic="http://schemas.openxmlformats.org/drawingml/2006/picture">
                        <pic:nvPicPr>
                          <pic:cNvPr id="1126" name="图片 2"/>
                          <pic:cNvPicPr/>
                        </pic:nvPicPr>
                        <pic:blipFill>
                          <a:blip r:embed="rId170" cstate="print"/>
                          <a:srcRect/>
                          <a:stretch>
                            <a:fillRect/>
                          </a:stretch>
                        </pic:blipFill>
                        <pic:spPr>
                          <a:xfrm>
                            <a:off x="0" y="0"/>
                            <a:ext cx="4991100" cy="6962775"/>
                          </a:xfrm>
                          <a:prstGeom prst="rect">
                            <a:avLst/>
                          </a:prstGeom>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0" distR="0">
                  <wp:extent cx="4991100" cy="7077075"/>
                  <wp:effectExtent l="0" t="0" r="0" b="9525"/>
                  <wp:docPr id="1127" name="图片 3"/>
                  <wp:cNvGraphicFramePr/>
                  <a:graphic xmlns:a="http://schemas.openxmlformats.org/drawingml/2006/main">
                    <a:graphicData uri="http://schemas.openxmlformats.org/drawingml/2006/picture">
                      <pic:pic xmlns:pic="http://schemas.openxmlformats.org/drawingml/2006/picture">
                        <pic:nvPicPr>
                          <pic:cNvPr id="1127" name="图片 3"/>
                          <pic:cNvPicPr/>
                        </pic:nvPicPr>
                        <pic:blipFill>
                          <a:blip r:embed="rId171" cstate="print"/>
                          <a:srcRect/>
                          <a:stretch>
                            <a:fillRect/>
                          </a:stretch>
                        </pic:blipFill>
                        <pic:spPr>
                          <a:xfrm>
                            <a:off x="0" y="0"/>
                            <a:ext cx="4991100" cy="7077075"/>
                          </a:xfrm>
                          <a:prstGeom prst="rect">
                            <a:avLst/>
                          </a:prstGeom>
                          <a:ln>
                            <a:noFill/>
                          </a:ln>
                        </pic:spPr>
                      </pic:pic>
                    </a:graphicData>
                  </a:graphic>
                </wp:inline>
              </w:drawing>
            </w:r>
          </w:p>
        </w:tc>
      </w:tr>
      <w:tr w14:paraId="02B4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2DB59297">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5572125" cy="7905115"/>
                  <wp:effectExtent l="0" t="0" r="9525" b="635"/>
                  <wp:docPr id="1129" name="图片 5"/>
                  <wp:cNvGraphicFramePr/>
                  <a:graphic xmlns:a="http://schemas.openxmlformats.org/drawingml/2006/main">
                    <a:graphicData uri="http://schemas.openxmlformats.org/drawingml/2006/picture">
                      <pic:pic xmlns:pic="http://schemas.openxmlformats.org/drawingml/2006/picture">
                        <pic:nvPicPr>
                          <pic:cNvPr id="1129" name="图片 5"/>
                          <pic:cNvPicPr/>
                        </pic:nvPicPr>
                        <pic:blipFill>
                          <a:blip r:embed="rId172" cstate="print"/>
                          <a:srcRect/>
                          <a:stretch>
                            <a:fillRect/>
                          </a:stretch>
                        </pic:blipFill>
                        <pic:spPr>
                          <a:xfrm>
                            <a:off x="0" y="0"/>
                            <a:ext cx="5572125" cy="7905749"/>
                          </a:xfrm>
                          <a:prstGeom prst="rect">
                            <a:avLst/>
                          </a:prstGeom>
                          <a:ln>
                            <a:noFill/>
                          </a:ln>
                        </pic:spPr>
                      </pic:pic>
                    </a:graphicData>
                  </a:graphic>
                </wp:inline>
              </w:drawing>
            </w:r>
          </w:p>
        </w:tc>
      </w:tr>
    </w:tbl>
    <w:p w14:paraId="61E1DCF4">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p>
    <w:p w14:paraId="0D904B51">
      <w:pPr>
        <w:spacing w:line="360" w:lineRule="auto"/>
        <w:outlineLvl w:val="0"/>
        <w:rPr>
          <w:rFonts w:hint="eastAsia"/>
          <w:b/>
          <w:bCs/>
          <w:color w:val="auto"/>
          <w:sz w:val="24"/>
          <w:szCs w:val="24"/>
          <w:highlight w:val="none"/>
          <w:lang w:val="en-US" w:eastAsia="zh-CN"/>
        </w:rPr>
      </w:pPr>
      <w:bookmarkStart w:id="196" w:name="_Toc17057"/>
      <w:bookmarkStart w:id="197" w:name="_Toc3631"/>
      <w:bookmarkStart w:id="198" w:name="_Toc24822"/>
      <w:bookmarkStart w:id="199" w:name="_Toc11455"/>
      <w:bookmarkStart w:id="200" w:name="_Toc32"/>
      <w:bookmarkStart w:id="201" w:name="_Toc6045"/>
      <w:bookmarkStart w:id="202" w:name="_Toc30993"/>
      <w:r>
        <w:rPr>
          <w:rFonts w:hint="eastAsia" w:ascii="Times New Roman" w:eastAsia="宋体"/>
          <w:b/>
          <w:bCs/>
          <w:color w:val="auto"/>
          <w:sz w:val="24"/>
          <w:szCs w:val="24"/>
          <w:highlight w:val="none"/>
          <w:lang w:val="en-US" w:eastAsia="zh-CN"/>
        </w:rPr>
        <w:t>附件7 武江中钛的监测数据（引用摘录）</w:t>
      </w:r>
      <w:bookmarkEnd w:id="196"/>
      <w:bookmarkEnd w:id="197"/>
      <w:bookmarkEnd w:id="198"/>
      <w:bookmarkEnd w:id="199"/>
    </w:p>
    <w:p w14:paraId="49444490">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r>
        <w:rPr>
          <w:rFonts w:hint="eastAsia" w:ascii="Times New Roman" w:eastAsia="宋体"/>
          <w:b/>
          <w:bCs/>
          <w:color w:val="auto"/>
          <w:highlight w:val="none"/>
          <w:lang w:val="en-US" w:eastAsia="zh-CN"/>
        </w:rPr>
        <w:drawing>
          <wp:inline distT="0" distB="0" distL="114300" distR="114300">
            <wp:extent cx="5749925" cy="8134985"/>
            <wp:effectExtent l="0" t="0" r="3175" b="18415"/>
            <wp:docPr id="164"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51"/>
                    <pic:cNvPicPr>
                      <a:picLocks noChangeAspect="1"/>
                    </pic:cNvPicPr>
                  </pic:nvPicPr>
                  <pic:blipFill>
                    <a:blip r:embed="rId173"/>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165"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552"/>
                    <pic:cNvPicPr>
                      <a:picLocks noChangeAspect="1"/>
                    </pic:cNvPicPr>
                  </pic:nvPicPr>
                  <pic:blipFill>
                    <a:blip r:embed="rId174"/>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87"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53"/>
                    <pic:cNvPicPr>
                      <a:picLocks noChangeAspect="1"/>
                    </pic:cNvPicPr>
                  </pic:nvPicPr>
                  <pic:blipFill>
                    <a:blip r:embed="rId175"/>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90"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54"/>
                    <pic:cNvPicPr>
                      <a:picLocks noChangeAspect="1"/>
                    </pic:cNvPicPr>
                  </pic:nvPicPr>
                  <pic:blipFill>
                    <a:blip r:embed="rId176"/>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173"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555"/>
                    <pic:cNvPicPr>
                      <a:picLocks noChangeAspect="1"/>
                    </pic:cNvPicPr>
                  </pic:nvPicPr>
                  <pic:blipFill>
                    <a:blip r:embed="rId177"/>
                    <a:stretch>
                      <a:fillRect/>
                    </a:stretch>
                  </pic:blipFill>
                  <pic:spPr>
                    <a:xfrm>
                      <a:off x="0" y="0"/>
                      <a:ext cx="5749925" cy="8134985"/>
                    </a:xfrm>
                    <a:prstGeom prst="rect">
                      <a:avLst/>
                    </a:prstGeom>
                    <a:noFill/>
                    <a:ln>
                      <a:noFill/>
                    </a:ln>
                  </pic:spPr>
                </pic:pic>
              </a:graphicData>
            </a:graphic>
          </wp:inline>
        </w:drawing>
      </w:r>
    </w:p>
    <w:p w14:paraId="5A9D7902">
      <w:pPr>
        <w:spacing w:line="360" w:lineRule="auto"/>
        <w:outlineLvl w:val="0"/>
        <w:rPr>
          <w:rFonts w:hint="eastAsia" w:ascii="Times New Roman" w:eastAsia="宋体"/>
          <w:b/>
          <w:bCs/>
          <w:color w:val="auto"/>
          <w:sz w:val="24"/>
          <w:szCs w:val="24"/>
          <w:highlight w:val="none"/>
          <w:lang w:val="en-US" w:eastAsia="zh-CN"/>
        </w:rPr>
      </w:pPr>
      <w:bookmarkStart w:id="203" w:name="_Toc30277"/>
      <w:r>
        <w:rPr>
          <w:rFonts w:hint="eastAsia" w:ascii="Times New Roman" w:eastAsia="宋体"/>
          <w:b/>
          <w:bCs/>
          <w:color w:val="auto"/>
          <w:sz w:val="24"/>
          <w:szCs w:val="24"/>
          <w:highlight w:val="none"/>
          <w:lang w:val="en-US" w:eastAsia="zh-CN"/>
        </w:rPr>
        <w:t>附件8 废水水质监测报告（引用摘录）</w:t>
      </w:r>
      <w:bookmarkEnd w:id="200"/>
      <w:bookmarkEnd w:id="201"/>
      <w:bookmarkEnd w:id="202"/>
      <w:bookmarkEnd w:id="203"/>
    </w:p>
    <w:p w14:paraId="58EF1B2D">
      <w:pPr>
        <w:pStyle w:val="2"/>
        <w:rPr>
          <w:rFonts w:hint="default"/>
          <w:lang w:val="en-US" w:eastAsia="zh-CN"/>
        </w:rPr>
      </w:pPr>
      <w:r>
        <w:drawing>
          <wp:inline distT="0" distB="0" distL="114300" distR="114300">
            <wp:extent cx="5219700" cy="3743325"/>
            <wp:effectExtent l="0" t="0" r="0" b="9525"/>
            <wp:docPr id="1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
                    <pic:cNvPicPr>
                      <a:picLocks noChangeAspect="1"/>
                    </pic:cNvPicPr>
                  </pic:nvPicPr>
                  <pic:blipFill>
                    <a:blip r:embed="rId178"/>
                    <a:stretch>
                      <a:fillRect/>
                    </a:stretch>
                  </pic:blipFill>
                  <pic:spPr>
                    <a:xfrm>
                      <a:off x="0" y="0"/>
                      <a:ext cx="5219700" cy="3743325"/>
                    </a:xfrm>
                    <a:prstGeom prst="rect">
                      <a:avLst/>
                    </a:prstGeom>
                    <a:noFill/>
                    <a:ln>
                      <a:noFill/>
                    </a:ln>
                  </pic:spPr>
                </pic:pic>
              </a:graphicData>
            </a:graphic>
          </wp:inline>
        </w:drawing>
      </w:r>
    </w:p>
    <w:bookmarkEnd w:id="175"/>
    <w:p w14:paraId="414783B5">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r>
        <w:drawing>
          <wp:inline distT="0" distB="0" distL="114300" distR="114300">
            <wp:extent cx="5000625" cy="6962775"/>
            <wp:effectExtent l="0" t="0" r="9525" b="9525"/>
            <wp:docPr id="9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3"/>
                    <pic:cNvPicPr>
                      <a:picLocks noChangeAspect="1"/>
                    </pic:cNvPicPr>
                  </pic:nvPicPr>
                  <pic:blipFill>
                    <a:blip r:embed="rId179"/>
                    <a:stretch>
                      <a:fillRect/>
                    </a:stretch>
                  </pic:blipFill>
                  <pic:spPr>
                    <a:xfrm>
                      <a:off x="0" y="0"/>
                      <a:ext cx="5000625" cy="6962775"/>
                    </a:xfrm>
                    <a:prstGeom prst="rect">
                      <a:avLst/>
                    </a:prstGeom>
                    <a:noFill/>
                    <a:ln>
                      <a:noFill/>
                    </a:ln>
                  </pic:spPr>
                </pic:pic>
              </a:graphicData>
            </a:graphic>
          </wp:inline>
        </w:drawing>
      </w:r>
    </w:p>
    <w:p w14:paraId="224BE413">
      <w:pPr>
        <w:spacing w:line="360" w:lineRule="auto"/>
        <w:outlineLvl w:val="0"/>
        <w:rPr>
          <w:rFonts w:hint="default" w:ascii="Times New Roman" w:hAnsi="Times New Roman" w:eastAsia="宋体" w:cs="Times New Roman"/>
          <w:b/>
          <w:bCs/>
          <w:color w:val="auto"/>
          <w:sz w:val="24"/>
          <w:szCs w:val="24"/>
          <w:highlight w:val="none"/>
          <w:lang w:val="en-US" w:eastAsia="zh-CN"/>
        </w:rPr>
      </w:pPr>
      <w:bookmarkStart w:id="204" w:name="_Toc19394"/>
      <w:r>
        <w:rPr>
          <w:rFonts w:hint="eastAsia" w:cs="Times New Roman"/>
          <w:b/>
          <w:bCs/>
          <w:color w:val="auto"/>
          <w:sz w:val="24"/>
          <w:szCs w:val="24"/>
          <w:highlight w:val="none"/>
          <w:lang w:val="en-US" w:eastAsia="zh-CN"/>
        </w:rPr>
        <w:t>附件9 总量替代指标来源复函</w:t>
      </w:r>
      <w:bookmarkEnd w:id="204"/>
    </w:p>
    <w:p w14:paraId="0BBD92FD">
      <w:pPr>
        <w:rPr>
          <w:color w:val="auto"/>
          <w:highlight w:val="none"/>
        </w:rPr>
      </w:pPr>
    </w:p>
    <w:p w14:paraId="68E31EA6">
      <w:pPr>
        <w:rPr>
          <w:color w:val="auto"/>
          <w:highlight w:val="none"/>
        </w:rPr>
      </w:pPr>
    </w:p>
    <w:p w14:paraId="21FC2036">
      <w:pPr>
        <w:widowControl w:val="0"/>
        <w:autoSpaceDE w:val="0"/>
        <w:autoSpaceDN w:val="0"/>
        <w:adjustRightInd w:val="0"/>
        <w:jc w:val="both"/>
        <w:rPr>
          <w:rFonts w:ascii="宋体....." w:hAnsi="Times New Roman" w:eastAsia="宋体....." w:cs="宋体....."/>
          <w:color w:val="000000"/>
          <w:kern w:val="2"/>
          <w:sz w:val="24"/>
          <w:szCs w:val="24"/>
          <w:lang w:val="en-US" w:eastAsia="zh-CN" w:bidi="ar-SA"/>
        </w:rPr>
      </w:pPr>
    </w:p>
    <w:p w14:paraId="24DC0003">
      <w:pPr>
        <w:widowControl w:val="0"/>
        <w:autoSpaceDE w:val="0"/>
        <w:autoSpaceDN w:val="0"/>
        <w:adjustRightInd w:val="0"/>
        <w:jc w:val="both"/>
        <w:rPr>
          <w:rFonts w:ascii="宋体....." w:hAnsi="Times New Roman" w:eastAsia="宋体....." w:cs="宋体....."/>
          <w:color w:val="auto"/>
          <w:kern w:val="2"/>
          <w:sz w:val="24"/>
          <w:szCs w:val="24"/>
          <w:highlight w:val="none"/>
          <w:lang w:val="en-US" w:eastAsia="zh-CN" w:bidi="ar-SA"/>
        </w:rPr>
      </w:pPr>
    </w:p>
    <w:p w14:paraId="32F506DB">
      <w:pPr>
        <w:rPr>
          <w:color w:val="auto"/>
          <w:highlight w:val="none"/>
        </w:rPr>
      </w:pPr>
    </w:p>
    <w:p w14:paraId="59424F04">
      <w:pPr>
        <w:rPr>
          <w:rFonts w:hint="default"/>
          <w:color w:val="auto"/>
          <w:highlight w:val="none"/>
        </w:rPr>
      </w:pPr>
    </w:p>
    <w:p w14:paraId="1FEE28E4"/>
    <w:p w14:paraId="07BE6689">
      <w:pPr>
        <w:pStyle w:val="2"/>
        <w:rPr>
          <w:rFonts w:hint="default"/>
        </w:rPr>
      </w:pPr>
    </w:p>
    <w:sectPr>
      <w:headerReference r:id="rId16" w:type="default"/>
      <w:footerReference r:id="rId17" w:type="default"/>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宋体.....">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roman"/>
    <w:pitch w:val="default"/>
    <w:sig w:usb0="F7FFAEFF" w:usb1="F9DFFFFF" w:usb2="0000007F" w:usb3="00000000" w:csb0="203F01FF" w:csb1="DFFF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体">
    <w:altName w:val="宋体"/>
    <w:panose1 w:val="00000000000000000000"/>
    <w:charset w:val="86"/>
    <w:family w:val="roma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1E63">
    <w:pPr>
      <w:pStyle w:val="3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A7AD">
    <w:pPr>
      <w:pStyle w:val="38"/>
      <w:framePr w:wrap="around" w:vAnchor="text" w:hAnchor="margin" w:xAlign="center" w:y="1"/>
      <w:rPr>
        <w:rStyle w:val="52"/>
      </w:rPr>
    </w:pPr>
    <w:r>
      <w:fldChar w:fldCharType="begin"/>
    </w:r>
    <w:r>
      <w:rPr>
        <w:rStyle w:val="52"/>
      </w:rPr>
      <w:instrText xml:space="preserve">PAGE  </w:instrText>
    </w:r>
    <w:r>
      <w:fldChar w:fldCharType="end"/>
    </w:r>
  </w:p>
  <w:p w14:paraId="42BE60E2">
    <w:pPr>
      <w:pStyle w:val="3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3127">
    <w:pPr>
      <w:pStyle w:val="38"/>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9" name="文本框 2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CFB8CD">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9</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QQ7by4QEAAMMDAAAOAAAA&#10;AAAAAAEAIAAAAB4BAABkcnMvZTJvRG9jLnhtbFBLBQYAAAAABgAGAFkBAABxBQAAAAA=&#10;">
              <v:fill on="f" focussize="0,0"/>
              <v:stroke on="f"/>
              <v:imagedata o:title=""/>
              <o:lock v:ext="edit" aspectratio="f"/>
              <v:textbox inset="0mm,0mm,0mm,0mm" style="mso-fit-shape-to-text:t;">
                <w:txbxContent>
                  <w:p w14:paraId="37CFB8CD">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9</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2A6A">
    <w:pPr>
      <w:pStyle w:val="38"/>
      <w:ind w:right="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3"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EA3ABA">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CjkIvgAQAAwwMAAA4AAAAA&#10;AAAAAQAgAAAAHgEAAGRycy9lMm9Eb2MueG1sUEsFBgAAAAAGAAYAWQEAAHAFAAAAAA==&#10;">
              <v:fill on="f" focussize="0,0"/>
              <v:stroke on="f"/>
              <v:imagedata o:title=""/>
              <o:lock v:ext="edit" aspectratio="f"/>
              <v:textbox inset="0mm,0mm,0mm,0mm" style="mso-fit-shape-to-text:t;">
                <w:txbxContent>
                  <w:p w14:paraId="32EA3ABA">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F53F9">
    <w:pPr>
      <w:widowControl w:val="0"/>
      <w:tabs>
        <w:tab w:val="center" w:pos="4153"/>
        <w:tab w:val="right" w:pos="8306"/>
      </w:tabs>
      <w:snapToGrid w:val="0"/>
      <w:ind w:right="360" w:firstLine="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1"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lNlOIBAADDAwAADgAA&#10;AAAAAAABACAAAAAeAQAAZHJzL2Uyb0RvYy54bWxQSwUGAAAAAAYABgBZAQAAcgUAAAAA&#10;">
              <v:fill on="f" focussize="0,0"/>
              <v:stroke on="f"/>
              <v:imagedata o:title=""/>
              <o:lock v:ext="edit" aspectratio="f"/>
              <v:textbox inset="0mm,0mm,0mm,0mm" style="mso-fit-shape-to-text:t;">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EE04C">
    <w:pPr>
      <w:widowControl w:val="0"/>
      <w:tabs>
        <w:tab w:val="center" w:pos="4153"/>
        <w:tab w:val="right" w:pos="8306"/>
      </w:tabs>
      <w:snapToGrid w:val="0"/>
      <w:ind w:right="360" w:firstLine="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0"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590CF8">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UHpRt4QEAAMMDAAAOAAAA&#10;AAAAAAEAIAAAAB4BAABkcnMvZTJvRG9jLnhtbFBLBQYAAAAABgAGAFkBAABxBQAAAAA=&#10;">
              <v:fill on="f" focussize="0,0"/>
              <v:stroke on="f"/>
              <v:imagedata o:title=""/>
              <o:lock v:ext="edit" aspectratio="f"/>
              <v:textbox inset="0mm,0mm,0mm,0mm" style="mso-fit-shape-to-text:t;">
                <w:txbxContent>
                  <w:p w14:paraId="04590CF8">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F5F2A">
    <w:pPr>
      <w:widowControl w:val="0"/>
      <w:tabs>
        <w:tab w:val="center" w:pos="4153"/>
        <w:tab w:val="right" w:pos="8306"/>
      </w:tabs>
      <w:snapToGrid w:val="0"/>
      <w:ind w:right="360"/>
      <w:jc w:val="both"/>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03B641">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Bek+bgAQAAwwMAAA4AAAAA&#10;AAAAAQAgAAAAHgEAAGRycy9lMm9Eb2MueG1sUEsFBgAAAAAGAAYAWQEAAHAFAAAAAA==&#10;">
              <v:fill on="f" focussize="0,0"/>
              <v:stroke on="f"/>
              <v:imagedata o:title=""/>
              <o:lock v:ext="edit" aspectratio="f"/>
              <v:textbox inset="0mm,0mm,0mm,0mm" style="mso-fit-shape-to-text:t;">
                <w:txbxContent>
                  <w:p w14:paraId="1D03B641">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1BDD">
    <w:pPr>
      <w:widowControl w:val="0"/>
      <w:tabs>
        <w:tab w:val="center" w:pos="4153"/>
        <w:tab w:val="right" w:pos="8306"/>
      </w:tabs>
      <w:snapToGrid w:val="0"/>
      <w:ind w:right="360"/>
      <w:jc w:val="both"/>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819012">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SRlKTgAQAAwwMAAA4AAAAA&#10;AAAAAQAgAAAAHgEAAGRycy9lMm9Eb2MueG1sUEsFBgAAAAAGAAYAWQEAAHAFAAAAAA==&#10;">
              <v:fill on="f" focussize="0,0"/>
              <v:stroke on="f"/>
              <v:imagedata o:title=""/>
              <o:lock v:ext="edit" aspectratio="f"/>
              <v:textbox inset="0mm,0mm,0mm,0mm" style="mso-fit-shape-to-text:t;">
                <w:txbxContent>
                  <w:p w14:paraId="44819012">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300C">
    <w:pPr>
      <w:pStyle w:val="38"/>
      <w:ind w:right="360"/>
      <w:jc w:val="both"/>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6"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02DCE">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mucw84QEAAMMDAAAOAAAA&#10;AAAAAAEAIAAAAB4BAABkcnMvZTJvRG9jLnhtbFBLBQYAAAAABgAGAFkBAABxBQAAAAA=&#10;">
              <v:fill on="f" focussize="0,0"/>
              <v:stroke on="f"/>
              <v:imagedata o:title=""/>
              <o:lock v:ext="edit" aspectratio="f"/>
              <v:textbox inset="0mm,0mm,0mm,0mm" style="mso-fit-shape-to-text:t;">
                <w:txbxContent>
                  <w:p w14:paraId="4D202DCE">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5782F">
    <w:pPr>
      <w:pStyle w:val="3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A51D">
    <w:pPr>
      <w:pStyle w:val="3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3DA46">
    <w:pPr>
      <w:pStyle w:val="3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96A86">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20"/>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AAA6">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20"/>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1022A">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0E9B5"/>
    <w:multiLevelType w:val="singleLevel"/>
    <w:tmpl w:val="BB00E9B5"/>
    <w:lvl w:ilvl="0" w:tentative="0">
      <w:start w:val="1"/>
      <w:numFmt w:val="decimal"/>
      <w:pStyle w:val="151"/>
      <w:suff w:val="space"/>
      <w:lvlText w:val="表2-%1"/>
      <w:lvlJc w:val="center"/>
      <w:pPr>
        <w:tabs>
          <w:tab w:val="left" w:pos="0"/>
        </w:tabs>
        <w:ind w:left="0" w:firstLine="0"/>
      </w:pPr>
      <w:rPr>
        <w:rFonts w:hint="default" w:ascii="Times New Roman" w:hAnsi="Times New Roman"/>
        <w:b/>
        <w:bCs/>
        <w:snapToGrid w:val="0"/>
        <w:color w:val="000000"/>
        <w:sz w:val="21"/>
        <w:szCs w:val="21"/>
      </w:rPr>
    </w:lvl>
  </w:abstractNum>
  <w:abstractNum w:abstractNumId="1">
    <w:nsid w:val="D0FA49B2"/>
    <w:multiLevelType w:val="multilevel"/>
    <w:tmpl w:val="D0FA49B2"/>
    <w:lvl w:ilvl="0" w:tentative="0">
      <w:start w:val="1"/>
      <w:numFmt w:val="decimal"/>
      <w:pStyle w:val="153"/>
      <w:suff w:val="space"/>
      <w:lvlText w:val="%1."/>
      <w:lvlJc w:val="left"/>
      <w:pPr>
        <w:tabs>
          <w:tab w:val="left" w:pos="0"/>
        </w:tabs>
        <w:ind w:left="0" w:firstLine="482"/>
      </w:pPr>
      <w:rPr>
        <w:rFonts w:hint="default"/>
        <w:b/>
        <w:bCs/>
        <w:color w:val="000000"/>
        <w:sz w:val="24"/>
        <w:szCs w:val="24"/>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E6BFA822"/>
    <w:multiLevelType w:val="singleLevel"/>
    <w:tmpl w:val="E6BFA822"/>
    <w:lvl w:ilvl="0" w:tentative="0">
      <w:start w:val="1"/>
      <w:numFmt w:val="decimal"/>
      <w:suff w:val="space"/>
      <w:lvlText w:val="图2-%1"/>
      <w:lvlJc w:val="left"/>
      <w:pPr>
        <w:tabs>
          <w:tab w:val="left" w:pos="420"/>
        </w:tabs>
        <w:ind w:left="0" w:firstLine="0"/>
      </w:pPr>
      <w:rPr>
        <w:rFonts w:hint="default"/>
        <w:b/>
        <w:sz w:val="21"/>
        <w:szCs w:val="21"/>
      </w:rPr>
    </w:lvl>
  </w:abstractNum>
  <w:abstractNum w:abstractNumId="3">
    <w:nsid w:val="F24B7D65"/>
    <w:multiLevelType w:val="singleLevel"/>
    <w:tmpl w:val="F24B7D65"/>
    <w:lvl w:ilvl="0" w:tentative="0">
      <w:start w:val="1"/>
      <w:numFmt w:val="decimal"/>
      <w:suff w:val="space"/>
      <w:lvlText w:val="表3-%1"/>
      <w:lvlJc w:val="center"/>
      <w:pPr>
        <w:tabs>
          <w:tab w:val="left" w:pos="0"/>
        </w:tabs>
        <w:ind w:left="0" w:firstLine="40"/>
      </w:pPr>
      <w:rPr>
        <w:rFonts w:hint="default" w:ascii="Times New Roman" w:hAnsi="Times New Roman" w:cs="Times New Roman"/>
        <w:b/>
        <w:color w:val="000000"/>
        <w:sz w:val="21"/>
        <w:szCs w:val="21"/>
      </w:rPr>
    </w:lvl>
  </w:abstractNum>
  <w:abstractNum w:abstractNumId="4">
    <w:nsid w:val="FEFB23CF"/>
    <w:multiLevelType w:val="singleLevel"/>
    <w:tmpl w:val="FEFB23CF"/>
    <w:lvl w:ilvl="0" w:tentative="0">
      <w:start w:val="1"/>
      <w:numFmt w:val="decimal"/>
      <w:suff w:val="space"/>
      <w:lvlText w:val="表2-%1"/>
      <w:lvlJc w:val="center"/>
      <w:pPr>
        <w:tabs>
          <w:tab w:val="left" w:pos="0"/>
        </w:tabs>
        <w:ind w:left="0" w:firstLine="40"/>
      </w:pPr>
      <w:rPr>
        <w:rFonts w:hint="default" w:ascii="Times New Roman" w:hAnsi="Times New Roman" w:cs="Times New Roman"/>
        <w:b/>
        <w:color w:val="000000"/>
        <w:sz w:val="21"/>
        <w:szCs w:val="21"/>
      </w:rPr>
    </w:lvl>
  </w:abstractNum>
  <w:abstractNum w:abstractNumId="5">
    <w:nsid w:val="00000002"/>
    <w:multiLevelType w:val="multilevel"/>
    <w:tmpl w:val="00000002"/>
    <w:lvl w:ilvl="0" w:tentative="0">
      <w:start w:val="1"/>
      <w:numFmt w:val="bullet"/>
      <w:lvlText w:val=""/>
      <w:lvlJc w:val="left"/>
      <w:pPr>
        <w:tabs>
          <w:tab w:val="left" w:pos="780"/>
        </w:tabs>
        <w:ind w:left="8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000000C"/>
    <w:multiLevelType w:val="singleLevel"/>
    <w:tmpl w:val="0000000C"/>
    <w:lvl w:ilvl="0" w:tentative="0">
      <w:start w:val="1"/>
      <w:numFmt w:val="chineseCounting"/>
      <w:pStyle w:val="176"/>
      <w:suff w:val="nothing"/>
      <w:lvlText w:val="（%1）"/>
      <w:lvlJc w:val="left"/>
      <w:pPr>
        <w:ind w:left="0" w:firstLine="420"/>
      </w:pPr>
      <w:rPr>
        <w:rFonts w:hint="eastAsia"/>
      </w:rPr>
    </w:lvl>
  </w:abstractNum>
  <w:abstractNum w:abstractNumId="7">
    <w:nsid w:val="182F78F9"/>
    <w:multiLevelType w:val="singleLevel"/>
    <w:tmpl w:val="182F78F9"/>
    <w:lvl w:ilvl="0" w:tentative="0">
      <w:start w:val="1"/>
      <w:numFmt w:val="bullet"/>
      <w:pStyle w:val="28"/>
      <w:lvlText w:val=""/>
      <w:lvlJc w:val="left"/>
      <w:pPr>
        <w:tabs>
          <w:tab w:val="left" w:pos="2040"/>
        </w:tabs>
        <w:ind w:left="2040" w:hanging="360"/>
      </w:pPr>
      <w:rPr>
        <w:rFonts w:hint="default" w:ascii="Wingdings" w:hAnsi="Wingdings"/>
      </w:rPr>
    </w:lvl>
  </w:abstractNum>
  <w:abstractNum w:abstractNumId="8">
    <w:nsid w:val="21130950"/>
    <w:multiLevelType w:val="multilevel"/>
    <w:tmpl w:val="21130950"/>
    <w:lvl w:ilvl="0" w:tentative="0">
      <w:start w:val="1"/>
      <w:numFmt w:val="decimal"/>
      <w:lvlText w:val="%1."/>
      <w:lvlJc w:val="left"/>
      <w:pPr>
        <w:ind w:left="567" w:hanging="425"/>
      </w:pPr>
    </w:lvl>
    <w:lvl w:ilvl="1" w:tentative="0">
      <w:start w:val="1"/>
      <w:numFmt w:val="decimal"/>
      <w:pStyle w:val="6"/>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rPr>
        <w:i w:val="0"/>
      </w:r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9">
    <w:nsid w:val="3744670F"/>
    <w:multiLevelType w:val="multilevel"/>
    <w:tmpl w:val="3744670F"/>
    <w:lvl w:ilvl="0" w:tentative="0">
      <w:start w:val="1"/>
      <w:numFmt w:val="decimal"/>
      <w:lvlText w:val="%1"/>
      <w:lvlJc w:val="left"/>
      <w:pPr>
        <w:ind w:left="432" w:hanging="432"/>
      </w:pPr>
      <w:rPr>
        <w:rFonts w:hint="eastAsia"/>
      </w:rPr>
    </w:lvl>
    <w:lvl w:ilvl="1" w:tentative="0">
      <w:start w:val="1"/>
      <w:numFmt w:val="none"/>
      <w:suff w:val="nothing"/>
      <w:lvlText w:val=""/>
      <w:lvlJc w:val="left"/>
      <w:pPr>
        <w:tabs>
          <w:tab w:val="left" w:pos="0"/>
        </w:tabs>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2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2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0">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75"/>
      <w:suff w:val="space"/>
      <w:lvlText w:val="%1.%2"/>
      <w:lvlJc w:val="left"/>
      <w:pPr>
        <w:ind w:left="156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4A3CC985"/>
    <w:multiLevelType w:val="singleLevel"/>
    <w:tmpl w:val="4A3CC985"/>
    <w:lvl w:ilvl="0" w:tentative="0">
      <w:start w:val="1"/>
      <w:numFmt w:val="decimal"/>
      <w:suff w:val="nothing"/>
      <w:lvlText w:val="%1、"/>
      <w:lvlJc w:val="left"/>
    </w:lvl>
  </w:abstractNum>
  <w:abstractNum w:abstractNumId="12">
    <w:nsid w:val="68BC5020"/>
    <w:multiLevelType w:val="singleLevel"/>
    <w:tmpl w:val="68BC5020"/>
    <w:lvl w:ilvl="0" w:tentative="0">
      <w:start w:val="3"/>
      <w:numFmt w:val="chineseCounting"/>
      <w:suff w:val="nothing"/>
      <w:lvlText w:val="%1、"/>
      <w:lvlJc w:val="left"/>
      <w:rPr>
        <w:rFonts w:hint="eastAsia"/>
      </w:rPr>
    </w:lvl>
  </w:abstractNum>
  <w:abstractNum w:abstractNumId="13">
    <w:nsid w:val="6FCC5E05"/>
    <w:multiLevelType w:val="singleLevel"/>
    <w:tmpl w:val="6FCC5E05"/>
    <w:lvl w:ilvl="0" w:tentative="0">
      <w:start w:val="6"/>
      <w:numFmt w:val="decimal"/>
      <w:suff w:val="nothing"/>
      <w:lvlText w:val="%1、"/>
      <w:lvlJc w:val="left"/>
    </w:lvl>
  </w:abstractNum>
  <w:abstractNum w:abstractNumId="14">
    <w:nsid w:val="72B149C0"/>
    <w:multiLevelType w:val="singleLevel"/>
    <w:tmpl w:val="72B149C0"/>
    <w:lvl w:ilvl="0" w:tentative="0">
      <w:start w:val="1"/>
      <w:numFmt w:val="bullet"/>
      <w:pStyle w:val="30"/>
      <w:lvlText w:val=""/>
      <w:lvlJc w:val="left"/>
      <w:pPr>
        <w:tabs>
          <w:tab w:val="left" w:pos="780"/>
        </w:tabs>
        <w:ind w:left="780" w:hanging="360"/>
      </w:pPr>
      <w:rPr>
        <w:rFonts w:hint="default" w:ascii="Wingdings" w:hAnsi="Wingdings"/>
      </w:rPr>
    </w:lvl>
  </w:abstractNum>
  <w:abstractNum w:abstractNumId="15">
    <w:nsid w:val="7E84E819"/>
    <w:multiLevelType w:val="singleLevel"/>
    <w:tmpl w:val="7E84E819"/>
    <w:lvl w:ilvl="0" w:tentative="0">
      <w:start w:val="1"/>
      <w:numFmt w:val="decimal"/>
      <w:pStyle w:val="155"/>
      <w:suff w:val="space"/>
      <w:lvlText w:val="表1-%1"/>
      <w:lvlJc w:val="center"/>
      <w:pPr>
        <w:tabs>
          <w:tab w:val="left" w:pos="0"/>
        </w:tabs>
        <w:ind w:left="0" w:firstLine="0"/>
      </w:pPr>
      <w:rPr>
        <w:rFonts w:hint="default" w:ascii="Times New Roman" w:hAnsi="Times New Roman"/>
        <w:b/>
        <w:bCs/>
        <w:sz w:val="21"/>
        <w:szCs w:val="21"/>
      </w:rPr>
    </w:lvl>
  </w:abstractNum>
  <w:num w:numId="1">
    <w:abstractNumId w:val="9"/>
  </w:num>
  <w:num w:numId="2">
    <w:abstractNumId w:val="8"/>
  </w:num>
  <w:num w:numId="3">
    <w:abstractNumId w:val="7"/>
  </w:num>
  <w:num w:numId="4">
    <w:abstractNumId w:val="14"/>
  </w:num>
  <w:num w:numId="5">
    <w:abstractNumId w:val="10"/>
  </w:num>
  <w:num w:numId="6">
    <w:abstractNumId w:val="0"/>
  </w:num>
  <w:num w:numId="7">
    <w:abstractNumId w:val="1"/>
  </w:num>
  <w:num w:numId="8">
    <w:abstractNumId w:val="15"/>
  </w:num>
  <w:num w:numId="9">
    <w:abstractNumId w:val="6"/>
  </w:num>
  <w:num w:numId="10">
    <w:abstractNumId w:val="4"/>
  </w:num>
  <w:num w:numId="11">
    <w:abstractNumId w:val="2"/>
  </w:num>
  <w:num w:numId="12">
    <w:abstractNumId w:val="11"/>
  </w:num>
  <w:num w:numId="13">
    <w:abstractNumId w:val="12"/>
  </w:num>
  <w:num w:numId="14">
    <w:abstractNumId w:val="3"/>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ZmVlNzJjYTlkNDJmNTU5YjllMGJmOTE3YjBlZjkifQ=="/>
  </w:docVars>
  <w:rsids>
    <w:rsidRoot w:val="00172A27"/>
    <w:rsid w:val="000060B3"/>
    <w:rsid w:val="00015F24"/>
    <w:rsid w:val="0004364B"/>
    <w:rsid w:val="00061B1F"/>
    <w:rsid w:val="00062D88"/>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283E"/>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1F6F"/>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1AF3"/>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4E1D"/>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2862"/>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4795"/>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22DA5"/>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3BB5"/>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C4924"/>
    <w:rsid w:val="00AD055E"/>
    <w:rsid w:val="00AD47A7"/>
    <w:rsid w:val="00AF0CBF"/>
    <w:rsid w:val="00AF257F"/>
    <w:rsid w:val="00AF33CF"/>
    <w:rsid w:val="00AF4D50"/>
    <w:rsid w:val="00AF6179"/>
    <w:rsid w:val="00B1295A"/>
    <w:rsid w:val="00B20A45"/>
    <w:rsid w:val="00B22C5C"/>
    <w:rsid w:val="00B24F30"/>
    <w:rsid w:val="00B31ABF"/>
    <w:rsid w:val="00B33BE3"/>
    <w:rsid w:val="00B356EC"/>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056B"/>
    <w:rsid w:val="00CF0C49"/>
    <w:rsid w:val="00CF36BE"/>
    <w:rsid w:val="00CF6000"/>
    <w:rsid w:val="00D003F3"/>
    <w:rsid w:val="00D0364F"/>
    <w:rsid w:val="00D06834"/>
    <w:rsid w:val="00D118B6"/>
    <w:rsid w:val="00D308ED"/>
    <w:rsid w:val="00D36D86"/>
    <w:rsid w:val="00D428AA"/>
    <w:rsid w:val="00D50A34"/>
    <w:rsid w:val="00D53EFA"/>
    <w:rsid w:val="00D94A7C"/>
    <w:rsid w:val="00D95896"/>
    <w:rsid w:val="00DA7A42"/>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23D"/>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36B2E"/>
    <w:rsid w:val="00F41BAF"/>
    <w:rsid w:val="00F465A7"/>
    <w:rsid w:val="00F50B7C"/>
    <w:rsid w:val="00F550E6"/>
    <w:rsid w:val="00F62C86"/>
    <w:rsid w:val="00F74345"/>
    <w:rsid w:val="00F80A0A"/>
    <w:rsid w:val="00F82B19"/>
    <w:rsid w:val="00F9212D"/>
    <w:rsid w:val="00F965DA"/>
    <w:rsid w:val="00FA406A"/>
    <w:rsid w:val="00FB503A"/>
    <w:rsid w:val="00FB516C"/>
    <w:rsid w:val="00FD0236"/>
    <w:rsid w:val="00FD18F4"/>
    <w:rsid w:val="00FD54DB"/>
    <w:rsid w:val="00FD619F"/>
    <w:rsid w:val="010E282D"/>
    <w:rsid w:val="01290F7E"/>
    <w:rsid w:val="012F2BCE"/>
    <w:rsid w:val="013C3EE0"/>
    <w:rsid w:val="0143304E"/>
    <w:rsid w:val="015C24E4"/>
    <w:rsid w:val="015D1E09"/>
    <w:rsid w:val="01826A17"/>
    <w:rsid w:val="01A5507F"/>
    <w:rsid w:val="01D76954"/>
    <w:rsid w:val="01FD42EF"/>
    <w:rsid w:val="01FE0E66"/>
    <w:rsid w:val="021310DD"/>
    <w:rsid w:val="024504DC"/>
    <w:rsid w:val="02495331"/>
    <w:rsid w:val="024C58EB"/>
    <w:rsid w:val="02662932"/>
    <w:rsid w:val="026954E1"/>
    <w:rsid w:val="02697903"/>
    <w:rsid w:val="028F1F9B"/>
    <w:rsid w:val="02A66119"/>
    <w:rsid w:val="02A827E4"/>
    <w:rsid w:val="02C90E2C"/>
    <w:rsid w:val="02DF2F0D"/>
    <w:rsid w:val="02E133A0"/>
    <w:rsid w:val="02E13FA3"/>
    <w:rsid w:val="02F96569"/>
    <w:rsid w:val="03093B72"/>
    <w:rsid w:val="031225E8"/>
    <w:rsid w:val="03B45AF7"/>
    <w:rsid w:val="03C1058A"/>
    <w:rsid w:val="03C3052E"/>
    <w:rsid w:val="03D31F2C"/>
    <w:rsid w:val="03D659E0"/>
    <w:rsid w:val="03DE67E9"/>
    <w:rsid w:val="03EA7B21"/>
    <w:rsid w:val="04100812"/>
    <w:rsid w:val="042457FA"/>
    <w:rsid w:val="042B6695"/>
    <w:rsid w:val="043D4E77"/>
    <w:rsid w:val="0458524B"/>
    <w:rsid w:val="04645A2A"/>
    <w:rsid w:val="04684689"/>
    <w:rsid w:val="046B0E24"/>
    <w:rsid w:val="0471784D"/>
    <w:rsid w:val="048A42E4"/>
    <w:rsid w:val="04A566F5"/>
    <w:rsid w:val="04A616D1"/>
    <w:rsid w:val="04CE320D"/>
    <w:rsid w:val="04FF3EDA"/>
    <w:rsid w:val="051152CB"/>
    <w:rsid w:val="052D4876"/>
    <w:rsid w:val="053100FA"/>
    <w:rsid w:val="05346253"/>
    <w:rsid w:val="05381717"/>
    <w:rsid w:val="05832D5D"/>
    <w:rsid w:val="05A21C1D"/>
    <w:rsid w:val="05AB446F"/>
    <w:rsid w:val="05BC1F51"/>
    <w:rsid w:val="05F83EAE"/>
    <w:rsid w:val="0626774E"/>
    <w:rsid w:val="06290260"/>
    <w:rsid w:val="063D6CE4"/>
    <w:rsid w:val="063E747F"/>
    <w:rsid w:val="063E7D85"/>
    <w:rsid w:val="064E336B"/>
    <w:rsid w:val="069D706F"/>
    <w:rsid w:val="06A25139"/>
    <w:rsid w:val="06B13B75"/>
    <w:rsid w:val="06B815B4"/>
    <w:rsid w:val="06FE1CD1"/>
    <w:rsid w:val="07030262"/>
    <w:rsid w:val="07246C5B"/>
    <w:rsid w:val="07255449"/>
    <w:rsid w:val="07287718"/>
    <w:rsid w:val="07293586"/>
    <w:rsid w:val="07295285"/>
    <w:rsid w:val="073B6226"/>
    <w:rsid w:val="074C5CD1"/>
    <w:rsid w:val="075A24D5"/>
    <w:rsid w:val="076052AE"/>
    <w:rsid w:val="07636392"/>
    <w:rsid w:val="07770C56"/>
    <w:rsid w:val="077A03A9"/>
    <w:rsid w:val="07CE3EF1"/>
    <w:rsid w:val="07E26EB5"/>
    <w:rsid w:val="08286217"/>
    <w:rsid w:val="08406CE4"/>
    <w:rsid w:val="088975F8"/>
    <w:rsid w:val="08952A3E"/>
    <w:rsid w:val="08BF668D"/>
    <w:rsid w:val="08C53B8B"/>
    <w:rsid w:val="08DF02AB"/>
    <w:rsid w:val="08EF455C"/>
    <w:rsid w:val="08FC5245"/>
    <w:rsid w:val="092217DD"/>
    <w:rsid w:val="093A7294"/>
    <w:rsid w:val="093B46D7"/>
    <w:rsid w:val="097E3F67"/>
    <w:rsid w:val="0999523A"/>
    <w:rsid w:val="099B7362"/>
    <w:rsid w:val="09A62AE3"/>
    <w:rsid w:val="09AE4E7D"/>
    <w:rsid w:val="09D7718C"/>
    <w:rsid w:val="09E41D8F"/>
    <w:rsid w:val="0A032F95"/>
    <w:rsid w:val="0A0452A0"/>
    <w:rsid w:val="0A263993"/>
    <w:rsid w:val="0A2D3AC2"/>
    <w:rsid w:val="0A4B4B56"/>
    <w:rsid w:val="0A4E5F88"/>
    <w:rsid w:val="0A766000"/>
    <w:rsid w:val="0A7C54CF"/>
    <w:rsid w:val="0AA755DF"/>
    <w:rsid w:val="0AB063A2"/>
    <w:rsid w:val="0AB1211B"/>
    <w:rsid w:val="0AB33B33"/>
    <w:rsid w:val="0AB71F6C"/>
    <w:rsid w:val="0AFF2E86"/>
    <w:rsid w:val="0B016F76"/>
    <w:rsid w:val="0B120D44"/>
    <w:rsid w:val="0B373B8A"/>
    <w:rsid w:val="0B485107"/>
    <w:rsid w:val="0B6E4263"/>
    <w:rsid w:val="0B807305"/>
    <w:rsid w:val="0BCD6AE0"/>
    <w:rsid w:val="0BD27BF6"/>
    <w:rsid w:val="0BD33036"/>
    <w:rsid w:val="0BDC4C37"/>
    <w:rsid w:val="0C0F534B"/>
    <w:rsid w:val="0C1C64A4"/>
    <w:rsid w:val="0C28767C"/>
    <w:rsid w:val="0C321AAD"/>
    <w:rsid w:val="0C3A68B7"/>
    <w:rsid w:val="0C3B3C7D"/>
    <w:rsid w:val="0C403416"/>
    <w:rsid w:val="0C611030"/>
    <w:rsid w:val="0C6805B7"/>
    <w:rsid w:val="0C7E5C63"/>
    <w:rsid w:val="0C995D04"/>
    <w:rsid w:val="0CAB2EAE"/>
    <w:rsid w:val="0CEE4692"/>
    <w:rsid w:val="0CEF57A1"/>
    <w:rsid w:val="0D615A36"/>
    <w:rsid w:val="0D621C7D"/>
    <w:rsid w:val="0D87739C"/>
    <w:rsid w:val="0DE2585D"/>
    <w:rsid w:val="0E1409F6"/>
    <w:rsid w:val="0E292F33"/>
    <w:rsid w:val="0E437AF6"/>
    <w:rsid w:val="0E4A60A8"/>
    <w:rsid w:val="0E66770C"/>
    <w:rsid w:val="0E73034D"/>
    <w:rsid w:val="0E865617"/>
    <w:rsid w:val="0EBC6B76"/>
    <w:rsid w:val="0ED711EA"/>
    <w:rsid w:val="0EDC33A7"/>
    <w:rsid w:val="0EF03DA3"/>
    <w:rsid w:val="0EF35047"/>
    <w:rsid w:val="0EF845D3"/>
    <w:rsid w:val="0F01750C"/>
    <w:rsid w:val="0F13775A"/>
    <w:rsid w:val="0F406C7B"/>
    <w:rsid w:val="0F5F45FE"/>
    <w:rsid w:val="0F6962EB"/>
    <w:rsid w:val="0F77518B"/>
    <w:rsid w:val="0F985B8A"/>
    <w:rsid w:val="0F9A112B"/>
    <w:rsid w:val="0FA658B5"/>
    <w:rsid w:val="0FC37863"/>
    <w:rsid w:val="0FDA631B"/>
    <w:rsid w:val="0FE30A88"/>
    <w:rsid w:val="0FF02D9D"/>
    <w:rsid w:val="100D0C7D"/>
    <w:rsid w:val="100F55B2"/>
    <w:rsid w:val="10125409"/>
    <w:rsid w:val="101F47CC"/>
    <w:rsid w:val="102D2656"/>
    <w:rsid w:val="10342716"/>
    <w:rsid w:val="103F65FA"/>
    <w:rsid w:val="104135F9"/>
    <w:rsid w:val="105F7620"/>
    <w:rsid w:val="106D2F64"/>
    <w:rsid w:val="107A48B4"/>
    <w:rsid w:val="108C1EAE"/>
    <w:rsid w:val="10A3136B"/>
    <w:rsid w:val="10B63710"/>
    <w:rsid w:val="10B668B4"/>
    <w:rsid w:val="10BC5350"/>
    <w:rsid w:val="10D51DC8"/>
    <w:rsid w:val="10F10820"/>
    <w:rsid w:val="111C2F7A"/>
    <w:rsid w:val="115454EC"/>
    <w:rsid w:val="11665CA1"/>
    <w:rsid w:val="119106B1"/>
    <w:rsid w:val="11B52F6D"/>
    <w:rsid w:val="11D37059"/>
    <w:rsid w:val="12145BB7"/>
    <w:rsid w:val="125218AC"/>
    <w:rsid w:val="12582B82"/>
    <w:rsid w:val="12690C99"/>
    <w:rsid w:val="126A686B"/>
    <w:rsid w:val="128B38F7"/>
    <w:rsid w:val="12941337"/>
    <w:rsid w:val="12AA5411"/>
    <w:rsid w:val="12E54299"/>
    <w:rsid w:val="12FF4134"/>
    <w:rsid w:val="13044ACE"/>
    <w:rsid w:val="13723DD9"/>
    <w:rsid w:val="13942FBD"/>
    <w:rsid w:val="13951726"/>
    <w:rsid w:val="139E2E9A"/>
    <w:rsid w:val="13B22958"/>
    <w:rsid w:val="13B44BE1"/>
    <w:rsid w:val="13B917ED"/>
    <w:rsid w:val="13BF7B47"/>
    <w:rsid w:val="13C61FA0"/>
    <w:rsid w:val="13F675E8"/>
    <w:rsid w:val="14396509"/>
    <w:rsid w:val="145E6C55"/>
    <w:rsid w:val="14654EC6"/>
    <w:rsid w:val="148E3F39"/>
    <w:rsid w:val="14B13EB5"/>
    <w:rsid w:val="14CD3440"/>
    <w:rsid w:val="14DD2C3C"/>
    <w:rsid w:val="14E344DD"/>
    <w:rsid w:val="14EA0703"/>
    <w:rsid w:val="14EB54BF"/>
    <w:rsid w:val="14F03B81"/>
    <w:rsid w:val="14F14BB4"/>
    <w:rsid w:val="14F52E34"/>
    <w:rsid w:val="15194C04"/>
    <w:rsid w:val="151D2886"/>
    <w:rsid w:val="152301B3"/>
    <w:rsid w:val="152F47A0"/>
    <w:rsid w:val="1530127D"/>
    <w:rsid w:val="153A08D8"/>
    <w:rsid w:val="1544030E"/>
    <w:rsid w:val="15556386"/>
    <w:rsid w:val="156224F4"/>
    <w:rsid w:val="15733171"/>
    <w:rsid w:val="158F4AE5"/>
    <w:rsid w:val="15931E94"/>
    <w:rsid w:val="16087E1D"/>
    <w:rsid w:val="16106088"/>
    <w:rsid w:val="1618554D"/>
    <w:rsid w:val="161F2542"/>
    <w:rsid w:val="162F484F"/>
    <w:rsid w:val="16442095"/>
    <w:rsid w:val="167209B0"/>
    <w:rsid w:val="16780594"/>
    <w:rsid w:val="16782FC5"/>
    <w:rsid w:val="16795EA2"/>
    <w:rsid w:val="16C53B97"/>
    <w:rsid w:val="16EA752C"/>
    <w:rsid w:val="172F3BED"/>
    <w:rsid w:val="1730153F"/>
    <w:rsid w:val="17373D95"/>
    <w:rsid w:val="17626F2A"/>
    <w:rsid w:val="176B7B12"/>
    <w:rsid w:val="17701D14"/>
    <w:rsid w:val="17735226"/>
    <w:rsid w:val="17A53503"/>
    <w:rsid w:val="17B60666"/>
    <w:rsid w:val="17D57A03"/>
    <w:rsid w:val="185536F8"/>
    <w:rsid w:val="18585984"/>
    <w:rsid w:val="18621B8D"/>
    <w:rsid w:val="188E7321"/>
    <w:rsid w:val="189F624C"/>
    <w:rsid w:val="18BB060B"/>
    <w:rsid w:val="18D86AC4"/>
    <w:rsid w:val="18E17362"/>
    <w:rsid w:val="18F644D4"/>
    <w:rsid w:val="19080183"/>
    <w:rsid w:val="19184990"/>
    <w:rsid w:val="193E05E4"/>
    <w:rsid w:val="19401A14"/>
    <w:rsid w:val="19427951"/>
    <w:rsid w:val="194556FE"/>
    <w:rsid w:val="19875E05"/>
    <w:rsid w:val="198B4A9E"/>
    <w:rsid w:val="199B523C"/>
    <w:rsid w:val="19C06BAC"/>
    <w:rsid w:val="19DE69E9"/>
    <w:rsid w:val="19E94311"/>
    <w:rsid w:val="19E94C67"/>
    <w:rsid w:val="1A1C66C0"/>
    <w:rsid w:val="1A2202E0"/>
    <w:rsid w:val="1A330877"/>
    <w:rsid w:val="1A42393B"/>
    <w:rsid w:val="1A4A5904"/>
    <w:rsid w:val="1A5F042B"/>
    <w:rsid w:val="1A624F25"/>
    <w:rsid w:val="1A656377"/>
    <w:rsid w:val="1A7E034D"/>
    <w:rsid w:val="1A986D4C"/>
    <w:rsid w:val="1AAD45DE"/>
    <w:rsid w:val="1AE43424"/>
    <w:rsid w:val="1AEF6A73"/>
    <w:rsid w:val="1AF53B83"/>
    <w:rsid w:val="1B046F80"/>
    <w:rsid w:val="1B0857DC"/>
    <w:rsid w:val="1B2B3C23"/>
    <w:rsid w:val="1B2C3FF7"/>
    <w:rsid w:val="1B3267B5"/>
    <w:rsid w:val="1B40161D"/>
    <w:rsid w:val="1B441859"/>
    <w:rsid w:val="1B6606B1"/>
    <w:rsid w:val="1B690D73"/>
    <w:rsid w:val="1B7B1C3C"/>
    <w:rsid w:val="1BBE3D12"/>
    <w:rsid w:val="1BC47CCB"/>
    <w:rsid w:val="1BDA75F9"/>
    <w:rsid w:val="1BE72E68"/>
    <w:rsid w:val="1BEC0880"/>
    <w:rsid w:val="1BEF5F30"/>
    <w:rsid w:val="1C027920"/>
    <w:rsid w:val="1C4632E2"/>
    <w:rsid w:val="1C566DC7"/>
    <w:rsid w:val="1C5E7925"/>
    <w:rsid w:val="1C8D6979"/>
    <w:rsid w:val="1C9A0BEA"/>
    <w:rsid w:val="1CA375F1"/>
    <w:rsid w:val="1CD82B58"/>
    <w:rsid w:val="1CD946A4"/>
    <w:rsid w:val="1CFD070F"/>
    <w:rsid w:val="1D037397"/>
    <w:rsid w:val="1D0B1216"/>
    <w:rsid w:val="1D0D78B0"/>
    <w:rsid w:val="1D21334F"/>
    <w:rsid w:val="1D4046FD"/>
    <w:rsid w:val="1D457206"/>
    <w:rsid w:val="1D545355"/>
    <w:rsid w:val="1D5F6196"/>
    <w:rsid w:val="1D6132A5"/>
    <w:rsid w:val="1D8E56D5"/>
    <w:rsid w:val="1D9820F3"/>
    <w:rsid w:val="1DC641CC"/>
    <w:rsid w:val="1DCD7D29"/>
    <w:rsid w:val="1DE06A54"/>
    <w:rsid w:val="1DEC729A"/>
    <w:rsid w:val="1DF123C2"/>
    <w:rsid w:val="1E05035C"/>
    <w:rsid w:val="1E06692E"/>
    <w:rsid w:val="1E1D4DC9"/>
    <w:rsid w:val="1E396257"/>
    <w:rsid w:val="1E42327C"/>
    <w:rsid w:val="1E7A43DA"/>
    <w:rsid w:val="1E867ABE"/>
    <w:rsid w:val="1E905D9E"/>
    <w:rsid w:val="1EBF33C3"/>
    <w:rsid w:val="1EEC32CA"/>
    <w:rsid w:val="1EF22E97"/>
    <w:rsid w:val="1EFA47BB"/>
    <w:rsid w:val="1F2D1B19"/>
    <w:rsid w:val="1F2F76D0"/>
    <w:rsid w:val="1F631D71"/>
    <w:rsid w:val="1FA701E0"/>
    <w:rsid w:val="1FA73C89"/>
    <w:rsid w:val="1FAB4566"/>
    <w:rsid w:val="1FE710E3"/>
    <w:rsid w:val="1FE7539E"/>
    <w:rsid w:val="200E6B42"/>
    <w:rsid w:val="201C1BF4"/>
    <w:rsid w:val="2020101D"/>
    <w:rsid w:val="20307CD4"/>
    <w:rsid w:val="204646AF"/>
    <w:rsid w:val="205E4ED2"/>
    <w:rsid w:val="20671BE0"/>
    <w:rsid w:val="207329B3"/>
    <w:rsid w:val="20963CB8"/>
    <w:rsid w:val="20A81A1B"/>
    <w:rsid w:val="20AE4CDA"/>
    <w:rsid w:val="20B07FB6"/>
    <w:rsid w:val="20B646FB"/>
    <w:rsid w:val="20B85A1A"/>
    <w:rsid w:val="20D10A26"/>
    <w:rsid w:val="20DC5586"/>
    <w:rsid w:val="211C6494"/>
    <w:rsid w:val="213B74B1"/>
    <w:rsid w:val="215869F4"/>
    <w:rsid w:val="215A2310"/>
    <w:rsid w:val="21696E53"/>
    <w:rsid w:val="21861F5B"/>
    <w:rsid w:val="21B7196D"/>
    <w:rsid w:val="21C262FE"/>
    <w:rsid w:val="21DA4292"/>
    <w:rsid w:val="21DC1CB5"/>
    <w:rsid w:val="21DC7625"/>
    <w:rsid w:val="21DE318A"/>
    <w:rsid w:val="21DE5ADD"/>
    <w:rsid w:val="21EF5B80"/>
    <w:rsid w:val="22034BB2"/>
    <w:rsid w:val="220A16FA"/>
    <w:rsid w:val="222334A6"/>
    <w:rsid w:val="222A1CBE"/>
    <w:rsid w:val="22576990"/>
    <w:rsid w:val="229073E5"/>
    <w:rsid w:val="22A10E8E"/>
    <w:rsid w:val="22AB486C"/>
    <w:rsid w:val="22F47480"/>
    <w:rsid w:val="2333430B"/>
    <w:rsid w:val="23445482"/>
    <w:rsid w:val="234E547A"/>
    <w:rsid w:val="23555288"/>
    <w:rsid w:val="235B15AA"/>
    <w:rsid w:val="23871539"/>
    <w:rsid w:val="23900224"/>
    <w:rsid w:val="239C21D7"/>
    <w:rsid w:val="23D81256"/>
    <w:rsid w:val="23DE1C48"/>
    <w:rsid w:val="240210CD"/>
    <w:rsid w:val="240C31EB"/>
    <w:rsid w:val="240D1D18"/>
    <w:rsid w:val="244912F3"/>
    <w:rsid w:val="24863878"/>
    <w:rsid w:val="248640D3"/>
    <w:rsid w:val="249A6912"/>
    <w:rsid w:val="249B49DE"/>
    <w:rsid w:val="24AD4D8B"/>
    <w:rsid w:val="24B53382"/>
    <w:rsid w:val="24BF09F7"/>
    <w:rsid w:val="24C06D8A"/>
    <w:rsid w:val="24C97D64"/>
    <w:rsid w:val="24F15196"/>
    <w:rsid w:val="25091C0A"/>
    <w:rsid w:val="252D53FE"/>
    <w:rsid w:val="255D7D6E"/>
    <w:rsid w:val="25764EA1"/>
    <w:rsid w:val="25C862AE"/>
    <w:rsid w:val="25C96113"/>
    <w:rsid w:val="25EC2D81"/>
    <w:rsid w:val="25F05208"/>
    <w:rsid w:val="25F34F3E"/>
    <w:rsid w:val="25F54EBE"/>
    <w:rsid w:val="260A5749"/>
    <w:rsid w:val="261E645E"/>
    <w:rsid w:val="26283CA1"/>
    <w:rsid w:val="262E4C80"/>
    <w:rsid w:val="26316819"/>
    <w:rsid w:val="263904EC"/>
    <w:rsid w:val="26597B80"/>
    <w:rsid w:val="266B754C"/>
    <w:rsid w:val="26735D96"/>
    <w:rsid w:val="26740622"/>
    <w:rsid w:val="268C220F"/>
    <w:rsid w:val="26DB285D"/>
    <w:rsid w:val="26F01DA0"/>
    <w:rsid w:val="27093701"/>
    <w:rsid w:val="27155308"/>
    <w:rsid w:val="27215588"/>
    <w:rsid w:val="272430AC"/>
    <w:rsid w:val="27297642"/>
    <w:rsid w:val="274F5597"/>
    <w:rsid w:val="277057A2"/>
    <w:rsid w:val="27795441"/>
    <w:rsid w:val="27806CA5"/>
    <w:rsid w:val="278C5610"/>
    <w:rsid w:val="279D1605"/>
    <w:rsid w:val="27BB1BE5"/>
    <w:rsid w:val="27E632BF"/>
    <w:rsid w:val="27EE7149"/>
    <w:rsid w:val="28037DA1"/>
    <w:rsid w:val="28190C8C"/>
    <w:rsid w:val="2829367C"/>
    <w:rsid w:val="2839170E"/>
    <w:rsid w:val="285C61FE"/>
    <w:rsid w:val="28662E60"/>
    <w:rsid w:val="28707358"/>
    <w:rsid w:val="28710FAC"/>
    <w:rsid w:val="287B3A41"/>
    <w:rsid w:val="2889601E"/>
    <w:rsid w:val="288E2C75"/>
    <w:rsid w:val="28907169"/>
    <w:rsid w:val="28A10C81"/>
    <w:rsid w:val="28C1610D"/>
    <w:rsid w:val="28C60EBC"/>
    <w:rsid w:val="28CA68F7"/>
    <w:rsid w:val="29086990"/>
    <w:rsid w:val="29155DEA"/>
    <w:rsid w:val="291C502D"/>
    <w:rsid w:val="29206EB8"/>
    <w:rsid w:val="29261FB1"/>
    <w:rsid w:val="29295B76"/>
    <w:rsid w:val="292F2A2A"/>
    <w:rsid w:val="29595666"/>
    <w:rsid w:val="29874881"/>
    <w:rsid w:val="29D97874"/>
    <w:rsid w:val="29E325E0"/>
    <w:rsid w:val="2A02578E"/>
    <w:rsid w:val="2A213202"/>
    <w:rsid w:val="2A372E29"/>
    <w:rsid w:val="2A430D59"/>
    <w:rsid w:val="2A452503"/>
    <w:rsid w:val="2A493F43"/>
    <w:rsid w:val="2A635327"/>
    <w:rsid w:val="2A681057"/>
    <w:rsid w:val="2A687324"/>
    <w:rsid w:val="2A77260A"/>
    <w:rsid w:val="2AE8528D"/>
    <w:rsid w:val="2AF06EB1"/>
    <w:rsid w:val="2AFF05FC"/>
    <w:rsid w:val="2B150678"/>
    <w:rsid w:val="2B2B1652"/>
    <w:rsid w:val="2B2F45C1"/>
    <w:rsid w:val="2B3F7830"/>
    <w:rsid w:val="2B6C62CF"/>
    <w:rsid w:val="2B87489E"/>
    <w:rsid w:val="2B8E1990"/>
    <w:rsid w:val="2B965634"/>
    <w:rsid w:val="2BA10E59"/>
    <w:rsid w:val="2BA936A8"/>
    <w:rsid w:val="2BB708B3"/>
    <w:rsid w:val="2BCB38C2"/>
    <w:rsid w:val="2BCC7020"/>
    <w:rsid w:val="2BD011B6"/>
    <w:rsid w:val="2C0901E2"/>
    <w:rsid w:val="2C0C573C"/>
    <w:rsid w:val="2C167BD8"/>
    <w:rsid w:val="2C2B6231"/>
    <w:rsid w:val="2C315A5A"/>
    <w:rsid w:val="2C4B1C25"/>
    <w:rsid w:val="2C541DCF"/>
    <w:rsid w:val="2CBA4E13"/>
    <w:rsid w:val="2CEB67AE"/>
    <w:rsid w:val="2D071354"/>
    <w:rsid w:val="2D0E5D03"/>
    <w:rsid w:val="2D3704F4"/>
    <w:rsid w:val="2D3B18D9"/>
    <w:rsid w:val="2D3C366E"/>
    <w:rsid w:val="2D8931CE"/>
    <w:rsid w:val="2D8A262B"/>
    <w:rsid w:val="2D8A60D8"/>
    <w:rsid w:val="2D9E56F5"/>
    <w:rsid w:val="2DA059AB"/>
    <w:rsid w:val="2DA63097"/>
    <w:rsid w:val="2DB938BE"/>
    <w:rsid w:val="2DC80482"/>
    <w:rsid w:val="2DD00106"/>
    <w:rsid w:val="2DD15BC8"/>
    <w:rsid w:val="2DDA68AA"/>
    <w:rsid w:val="2DE177E6"/>
    <w:rsid w:val="2DF06446"/>
    <w:rsid w:val="2E1D6191"/>
    <w:rsid w:val="2E5E4BD8"/>
    <w:rsid w:val="2E641E62"/>
    <w:rsid w:val="2E667F96"/>
    <w:rsid w:val="2E8226AB"/>
    <w:rsid w:val="2EB55486"/>
    <w:rsid w:val="2EBF35AB"/>
    <w:rsid w:val="2EC1468C"/>
    <w:rsid w:val="2EED20CC"/>
    <w:rsid w:val="2EF94A17"/>
    <w:rsid w:val="2F183ED1"/>
    <w:rsid w:val="2F4A686A"/>
    <w:rsid w:val="2F536021"/>
    <w:rsid w:val="2F5F6511"/>
    <w:rsid w:val="2F764C2A"/>
    <w:rsid w:val="2FB3260B"/>
    <w:rsid w:val="2FC43093"/>
    <w:rsid w:val="2FD065E6"/>
    <w:rsid w:val="2FD96870"/>
    <w:rsid w:val="2FE622EC"/>
    <w:rsid w:val="300041BD"/>
    <w:rsid w:val="30127E00"/>
    <w:rsid w:val="304F08EC"/>
    <w:rsid w:val="30580BC9"/>
    <w:rsid w:val="306D0356"/>
    <w:rsid w:val="308E41E1"/>
    <w:rsid w:val="30933F96"/>
    <w:rsid w:val="309B15B7"/>
    <w:rsid w:val="30A218C1"/>
    <w:rsid w:val="30A80D53"/>
    <w:rsid w:val="30AB09B1"/>
    <w:rsid w:val="30B237C6"/>
    <w:rsid w:val="30CB5C83"/>
    <w:rsid w:val="30D4399B"/>
    <w:rsid w:val="30E02529"/>
    <w:rsid w:val="30E62F81"/>
    <w:rsid w:val="30E82383"/>
    <w:rsid w:val="30FE0918"/>
    <w:rsid w:val="311E2ED7"/>
    <w:rsid w:val="314B586F"/>
    <w:rsid w:val="31531589"/>
    <w:rsid w:val="315317D6"/>
    <w:rsid w:val="315619EE"/>
    <w:rsid w:val="315C449C"/>
    <w:rsid w:val="315F59BF"/>
    <w:rsid w:val="31853836"/>
    <w:rsid w:val="31AF2660"/>
    <w:rsid w:val="31B82709"/>
    <w:rsid w:val="31D05482"/>
    <w:rsid w:val="31E20394"/>
    <w:rsid w:val="31E82B0E"/>
    <w:rsid w:val="32400B34"/>
    <w:rsid w:val="32555118"/>
    <w:rsid w:val="326666E5"/>
    <w:rsid w:val="326F3155"/>
    <w:rsid w:val="32792E2E"/>
    <w:rsid w:val="329E6876"/>
    <w:rsid w:val="32BE671E"/>
    <w:rsid w:val="32EE2D23"/>
    <w:rsid w:val="32F47928"/>
    <w:rsid w:val="330B1B18"/>
    <w:rsid w:val="333015F2"/>
    <w:rsid w:val="334B6320"/>
    <w:rsid w:val="336C10B9"/>
    <w:rsid w:val="3370723E"/>
    <w:rsid w:val="33811DDB"/>
    <w:rsid w:val="338B4409"/>
    <w:rsid w:val="339B395D"/>
    <w:rsid w:val="33A50001"/>
    <w:rsid w:val="33CC7B26"/>
    <w:rsid w:val="33D934D4"/>
    <w:rsid w:val="33DA5CD0"/>
    <w:rsid w:val="33F141E5"/>
    <w:rsid w:val="33FE2F6A"/>
    <w:rsid w:val="340B583D"/>
    <w:rsid w:val="340E07E5"/>
    <w:rsid w:val="34235BF7"/>
    <w:rsid w:val="34272982"/>
    <w:rsid w:val="34380DF7"/>
    <w:rsid w:val="343D344F"/>
    <w:rsid w:val="345274FE"/>
    <w:rsid w:val="3455091B"/>
    <w:rsid w:val="346076D9"/>
    <w:rsid w:val="34627E5E"/>
    <w:rsid w:val="346317D1"/>
    <w:rsid w:val="34926A67"/>
    <w:rsid w:val="34BD0FDC"/>
    <w:rsid w:val="34BD1BF4"/>
    <w:rsid w:val="34C23C48"/>
    <w:rsid w:val="34FA6E97"/>
    <w:rsid w:val="34FB51FE"/>
    <w:rsid w:val="35021C1E"/>
    <w:rsid w:val="35260E8C"/>
    <w:rsid w:val="35453974"/>
    <w:rsid w:val="35826304"/>
    <w:rsid w:val="358C5FA8"/>
    <w:rsid w:val="35B13B56"/>
    <w:rsid w:val="35C15DF1"/>
    <w:rsid w:val="35D72186"/>
    <w:rsid w:val="35E535BB"/>
    <w:rsid w:val="35FE448A"/>
    <w:rsid w:val="360427B6"/>
    <w:rsid w:val="36074A7F"/>
    <w:rsid w:val="36097229"/>
    <w:rsid w:val="36122D62"/>
    <w:rsid w:val="362E2680"/>
    <w:rsid w:val="364C3093"/>
    <w:rsid w:val="36596225"/>
    <w:rsid w:val="366704A6"/>
    <w:rsid w:val="366A591B"/>
    <w:rsid w:val="36716265"/>
    <w:rsid w:val="3680640D"/>
    <w:rsid w:val="36923549"/>
    <w:rsid w:val="369F2B94"/>
    <w:rsid w:val="36A706D6"/>
    <w:rsid w:val="36B75FBF"/>
    <w:rsid w:val="36B97010"/>
    <w:rsid w:val="36BB6F25"/>
    <w:rsid w:val="36BD0C45"/>
    <w:rsid w:val="36C1275C"/>
    <w:rsid w:val="36C452CD"/>
    <w:rsid w:val="36C54789"/>
    <w:rsid w:val="36DC1A44"/>
    <w:rsid w:val="36E8505C"/>
    <w:rsid w:val="36E8532A"/>
    <w:rsid w:val="371B7C79"/>
    <w:rsid w:val="372C070C"/>
    <w:rsid w:val="373C61B6"/>
    <w:rsid w:val="377A42FB"/>
    <w:rsid w:val="378C394C"/>
    <w:rsid w:val="37901985"/>
    <w:rsid w:val="37A77C1E"/>
    <w:rsid w:val="37B75022"/>
    <w:rsid w:val="37E00298"/>
    <w:rsid w:val="37E40DEE"/>
    <w:rsid w:val="37FE013A"/>
    <w:rsid w:val="38026503"/>
    <w:rsid w:val="382332A5"/>
    <w:rsid w:val="38456A2B"/>
    <w:rsid w:val="385059E9"/>
    <w:rsid w:val="38641FE2"/>
    <w:rsid w:val="386B3C9C"/>
    <w:rsid w:val="38A42BB4"/>
    <w:rsid w:val="38AA5AD3"/>
    <w:rsid w:val="38B302F9"/>
    <w:rsid w:val="38C84008"/>
    <w:rsid w:val="38E6351F"/>
    <w:rsid w:val="38F12CD3"/>
    <w:rsid w:val="38F94775"/>
    <w:rsid w:val="38FA3F39"/>
    <w:rsid w:val="39070FD4"/>
    <w:rsid w:val="39231B0D"/>
    <w:rsid w:val="392971ED"/>
    <w:rsid w:val="392C13B8"/>
    <w:rsid w:val="39325651"/>
    <w:rsid w:val="39372F3B"/>
    <w:rsid w:val="397A26B8"/>
    <w:rsid w:val="3980612A"/>
    <w:rsid w:val="398F4CC8"/>
    <w:rsid w:val="39AF0542"/>
    <w:rsid w:val="39BE27E9"/>
    <w:rsid w:val="39CA781C"/>
    <w:rsid w:val="39D20A3E"/>
    <w:rsid w:val="39D27CE5"/>
    <w:rsid w:val="39D752A9"/>
    <w:rsid w:val="39E50268"/>
    <w:rsid w:val="39F43B3F"/>
    <w:rsid w:val="39F448CD"/>
    <w:rsid w:val="39F57062"/>
    <w:rsid w:val="3A102E61"/>
    <w:rsid w:val="3A144E00"/>
    <w:rsid w:val="3A2403C2"/>
    <w:rsid w:val="3A275677"/>
    <w:rsid w:val="3A355612"/>
    <w:rsid w:val="3A455684"/>
    <w:rsid w:val="3A471605"/>
    <w:rsid w:val="3A562BEE"/>
    <w:rsid w:val="3A85457C"/>
    <w:rsid w:val="3A872856"/>
    <w:rsid w:val="3AFB6916"/>
    <w:rsid w:val="3AFD268F"/>
    <w:rsid w:val="3B0D106E"/>
    <w:rsid w:val="3B125945"/>
    <w:rsid w:val="3B2763BC"/>
    <w:rsid w:val="3B375B06"/>
    <w:rsid w:val="3B3763D1"/>
    <w:rsid w:val="3B6A4832"/>
    <w:rsid w:val="3B6B52D5"/>
    <w:rsid w:val="3B973A96"/>
    <w:rsid w:val="3BAE4FCF"/>
    <w:rsid w:val="3BDE0CCA"/>
    <w:rsid w:val="3BE92B6C"/>
    <w:rsid w:val="3BF84742"/>
    <w:rsid w:val="3BFE62B3"/>
    <w:rsid w:val="3C0C149A"/>
    <w:rsid w:val="3C240D8C"/>
    <w:rsid w:val="3C2F6E1E"/>
    <w:rsid w:val="3C465AC2"/>
    <w:rsid w:val="3C4B267E"/>
    <w:rsid w:val="3C4F64BA"/>
    <w:rsid w:val="3C500CC0"/>
    <w:rsid w:val="3C6D114E"/>
    <w:rsid w:val="3CDA245A"/>
    <w:rsid w:val="3D09665B"/>
    <w:rsid w:val="3D1E06B7"/>
    <w:rsid w:val="3D2D16A6"/>
    <w:rsid w:val="3D4C60A0"/>
    <w:rsid w:val="3D503063"/>
    <w:rsid w:val="3D6267D9"/>
    <w:rsid w:val="3D81198E"/>
    <w:rsid w:val="3D8336E7"/>
    <w:rsid w:val="3DA8376A"/>
    <w:rsid w:val="3DCF15FB"/>
    <w:rsid w:val="3E021D6A"/>
    <w:rsid w:val="3E4C209B"/>
    <w:rsid w:val="3E68075C"/>
    <w:rsid w:val="3E772DDF"/>
    <w:rsid w:val="3E835B15"/>
    <w:rsid w:val="3E9712E1"/>
    <w:rsid w:val="3E973828"/>
    <w:rsid w:val="3EAB22D1"/>
    <w:rsid w:val="3EB900AE"/>
    <w:rsid w:val="3EBD6CF4"/>
    <w:rsid w:val="3EDA0523"/>
    <w:rsid w:val="3EE43BF5"/>
    <w:rsid w:val="3EFB4009"/>
    <w:rsid w:val="3F0457FF"/>
    <w:rsid w:val="3F270E18"/>
    <w:rsid w:val="3F320513"/>
    <w:rsid w:val="3F3E7867"/>
    <w:rsid w:val="3F4D19CF"/>
    <w:rsid w:val="3F52287D"/>
    <w:rsid w:val="3F553CA7"/>
    <w:rsid w:val="3F8D5BDC"/>
    <w:rsid w:val="3FB36639"/>
    <w:rsid w:val="3FBB30AB"/>
    <w:rsid w:val="3FC63AA8"/>
    <w:rsid w:val="3FF76118"/>
    <w:rsid w:val="3FF8217C"/>
    <w:rsid w:val="3FFF5C73"/>
    <w:rsid w:val="40314F04"/>
    <w:rsid w:val="40364A27"/>
    <w:rsid w:val="407A6407"/>
    <w:rsid w:val="40A67324"/>
    <w:rsid w:val="40F1696F"/>
    <w:rsid w:val="40F86189"/>
    <w:rsid w:val="411F4F79"/>
    <w:rsid w:val="412B49C8"/>
    <w:rsid w:val="41393870"/>
    <w:rsid w:val="415B1EBD"/>
    <w:rsid w:val="417062E3"/>
    <w:rsid w:val="41845925"/>
    <w:rsid w:val="41920B01"/>
    <w:rsid w:val="41945B00"/>
    <w:rsid w:val="419C4BD2"/>
    <w:rsid w:val="41B84F3B"/>
    <w:rsid w:val="41BC4A42"/>
    <w:rsid w:val="41BF366A"/>
    <w:rsid w:val="41BF5A58"/>
    <w:rsid w:val="41CC6917"/>
    <w:rsid w:val="41D06876"/>
    <w:rsid w:val="4200449D"/>
    <w:rsid w:val="423A3BCC"/>
    <w:rsid w:val="424131CE"/>
    <w:rsid w:val="424E57D2"/>
    <w:rsid w:val="42542D56"/>
    <w:rsid w:val="42783849"/>
    <w:rsid w:val="427E684D"/>
    <w:rsid w:val="428537C5"/>
    <w:rsid w:val="428A1FC5"/>
    <w:rsid w:val="42A65E2D"/>
    <w:rsid w:val="42B26C49"/>
    <w:rsid w:val="42BF300E"/>
    <w:rsid w:val="42D64ACA"/>
    <w:rsid w:val="42E00CC7"/>
    <w:rsid w:val="42EF1F98"/>
    <w:rsid w:val="43246AFC"/>
    <w:rsid w:val="4336204F"/>
    <w:rsid w:val="433A6FE6"/>
    <w:rsid w:val="43480868"/>
    <w:rsid w:val="4350713C"/>
    <w:rsid w:val="4359067E"/>
    <w:rsid w:val="435E747C"/>
    <w:rsid w:val="436653E0"/>
    <w:rsid w:val="438869AD"/>
    <w:rsid w:val="43C403B8"/>
    <w:rsid w:val="43C4431A"/>
    <w:rsid w:val="43CE722C"/>
    <w:rsid w:val="43D0018B"/>
    <w:rsid w:val="43D37ED0"/>
    <w:rsid w:val="43D677E2"/>
    <w:rsid w:val="43E21DE1"/>
    <w:rsid w:val="440365E2"/>
    <w:rsid w:val="441A7E0D"/>
    <w:rsid w:val="44224D6E"/>
    <w:rsid w:val="44564BBE"/>
    <w:rsid w:val="44615FCE"/>
    <w:rsid w:val="44815866"/>
    <w:rsid w:val="44887F89"/>
    <w:rsid w:val="4492209A"/>
    <w:rsid w:val="44A818BD"/>
    <w:rsid w:val="44A84EAE"/>
    <w:rsid w:val="44B81FBC"/>
    <w:rsid w:val="44B951CC"/>
    <w:rsid w:val="44BA6822"/>
    <w:rsid w:val="44CD14E0"/>
    <w:rsid w:val="44F20B0B"/>
    <w:rsid w:val="45060BEE"/>
    <w:rsid w:val="4512194F"/>
    <w:rsid w:val="452E5F4C"/>
    <w:rsid w:val="45612018"/>
    <w:rsid w:val="458946E9"/>
    <w:rsid w:val="45A47C0E"/>
    <w:rsid w:val="45B55BBC"/>
    <w:rsid w:val="45DB5E74"/>
    <w:rsid w:val="460A7715"/>
    <w:rsid w:val="461A1F7C"/>
    <w:rsid w:val="46457516"/>
    <w:rsid w:val="46577FD6"/>
    <w:rsid w:val="465D52CB"/>
    <w:rsid w:val="465F0AEE"/>
    <w:rsid w:val="46BC74B1"/>
    <w:rsid w:val="46BE126E"/>
    <w:rsid w:val="46C121E9"/>
    <w:rsid w:val="46D52711"/>
    <w:rsid w:val="46D955A7"/>
    <w:rsid w:val="46E93E6B"/>
    <w:rsid w:val="47133957"/>
    <w:rsid w:val="47260F08"/>
    <w:rsid w:val="472F61A5"/>
    <w:rsid w:val="4730487F"/>
    <w:rsid w:val="473946B4"/>
    <w:rsid w:val="475300E9"/>
    <w:rsid w:val="475E5CD0"/>
    <w:rsid w:val="476A4435"/>
    <w:rsid w:val="477B76C2"/>
    <w:rsid w:val="47A07E0C"/>
    <w:rsid w:val="47AE2EAA"/>
    <w:rsid w:val="47C30B49"/>
    <w:rsid w:val="47D227AD"/>
    <w:rsid w:val="47D71C0C"/>
    <w:rsid w:val="47DA5C76"/>
    <w:rsid w:val="47FB44C2"/>
    <w:rsid w:val="480D4DF5"/>
    <w:rsid w:val="4824672E"/>
    <w:rsid w:val="483E6A94"/>
    <w:rsid w:val="4870272E"/>
    <w:rsid w:val="48990D33"/>
    <w:rsid w:val="48BF3AE0"/>
    <w:rsid w:val="48D44F3A"/>
    <w:rsid w:val="48EB206E"/>
    <w:rsid w:val="491A73CB"/>
    <w:rsid w:val="49352E94"/>
    <w:rsid w:val="495B0E0B"/>
    <w:rsid w:val="49677FDF"/>
    <w:rsid w:val="49914BB6"/>
    <w:rsid w:val="49DC7715"/>
    <w:rsid w:val="49E60786"/>
    <w:rsid w:val="4A023139"/>
    <w:rsid w:val="4A5C7DC7"/>
    <w:rsid w:val="4A5E429C"/>
    <w:rsid w:val="4A7A4BEA"/>
    <w:rsid w:val="4A7B576F"/>
    <w:rsid w:val="4A9459A1"/>
    <w:rsid w:val="4A9C310A"/>
    <w:rsid w:val="4AC61C84"/>
    <w:rsid w:val="4AF561A9"/>
    <w:rsid w:val="4B241572"/>
    <w:rsid w:val="4B2C0426"/>
    <w:rsid w:val="4B2F0591"/>
    <w:rsid w:val="4B634177"/>
    <w:rsid w:val="4B657B82"/>
    <w:rsid w:val="4B88737F"/>
    <w:rsid w:val="4B8D0681"/>
    <w:rsid w:val="4B8E5522"/>
    <w:rsid w:val="4BD42B45"/>
    <w:rsid w:val="4BE303F3"/>
    <w:rsid w:val="4C2B4294"/>
    <w:rsid w:val="4C4013E9"/>
    <w:rsid w:val="4C44161F"/>
    <w:rsid w:val="4C4A0649"/>
    <w:rsid w:val="4C564BEA"/>
    <w:rsid w:val="4C7D7F42"/>
    <w:rsid w:val="4C7E5ECA"/>
    <w:rsid w:val="4C7F114E"/>
    <w:rsid w:val="4C876AA5"/>
    <w:rsid w:val="4CC34D87"/>
    <w:rsid w:val="4CC43DC7"/>
    <w:rsid w:val="4CD86AB8"/>
    <w:rsid w:val="4CF300E1"/>
    <w:rsid w:val="4CF90092"/>
    <w:rsid w:val="4D0045BB"/>
    <w:rsid w:val="4D0E00FB"/>
    <w:rsid w:val="4D176606"/>
    <w:rsid w:val="4D2A360C"/>
    <w:rsid w:val="4D3E4198"/>
    <w:rsid w:val="4D532CB5"/>
    <w:rsid w:val="4D563DCD"/>
    <w:rsid w:val="4D575257"/>
    <w:rsid w:val="4D8C324F"/>
    <w:rsid w:val="4D90451E"/>
    <w:rsid w:val="4D9B2D39"/>
    <w:rsid w:val="4DA77C23"/>
    <w:rsid w:val="4DAE7818"/>
    <w:rsid w:val="4DC16DD5"/>
    <w:rsid w:val="4DDA6459"/>
    <w:rsid w:val="4DEC4FB0"/>
    <w:rsid w:val="4DF20138"/>
    <w:rsid w:val="4DF82FB8"/>
    <w:rsid w:val="4E075D8A"/>
    <w:rsid w:val="4E147857"/>
    <w:rsid w:val="4E21623C"/>
    <w:rsid w:val="4E412773"/>
    <w:rsid w:val="4E441669"/>
    <w:rsid w:val="4E5E2186"/>
    <w:rsid w:val="4E9A256A"/>
    <w:rsid w:val="4EA35E13"/>
    <w:rsid w:val="4EA876EC"/>
    <w:rsid w:val="4EB233C7"/>
    <w:rsid w:val="4EB60628"/>
    <w:rsid w:val="4EC00FAD"/>
    <w:rsid w:val="4EE01078"/>
    <w:rsid w:val="4EED61D2"/>
    <w:rsid w:val="4EF02E36"/>
    <w:rsid w:val="4F1D6170"/>
    <w:rsid w:val="4F2907A0"/>
    <w:rsid w:val="4F2E0C11"/>
    <w:rsid w:val="4F2E6B2E"/>
    <w:rsid w:val="4F42734B"/>
    <w:rsid w:val="4F442128"/>
    <w:rsid w:val="4F455F5A"/>
    <w:rsid w:val="4F4C3DA3"/>
    <w:rsid w:val="4F6A2397"/>
    <w:rsid w:val="4F705936"/>
    <w:rsid w:val="4F8613D9"/>
    <w:rsid w:val="4F94689B"/>
    <w:rsid w:val="4F9843DC"/>
    <w:rsid w:val="4FAE4C69"/>
    <w:rsid w:val="4FB73FB1"/>
    <w:rsid w:val="4FC62A8C"/>
    <w:rsid w:val="4FE20F0D"/>
    <w:rsid w:val="4FE51552"/>
    <w:rsid w:val="4FF17664"/>
    <w:rsid w:val="4FF30104"/>
    <w:rsid w:val="500B2D00"/>
    <w:rsid w:val="50153B7F"/>
    <w:rsid w:val="502868C2"/>
    <w:rsid w:val="50412BB1"/>
    <w:rsid w:val="50412BC6"/>
    <w:rsid w:val="50504C4B"/>
    <w:rsid w:val="507527DB"/>
    <w:rsid w:val="5082740D"/>
    <w:rsid w:val="50971DAD"/>
    <w:rsid w:val="509811E7"/>
    <w:rsid w:val="509C6E7C"/>
    <w:rsid w:val="509E01CB"/>
    <w:rsid w:val="50C07E5C"/>
    <w:rsid w:val="50D04F98"/>
    <w:rsid w:val="51155126"/>
    <w:rsid w:val="51165E00"/>
    <w:rsid w:val="511D5859"/>
    <w:rsid w:val="51366C1E"/>
    <w:rsid w:val="5162104E"/>
    <w:rsid w:val="51B30251"/>
    <w:rsid w:val="51BB0710"/>
    <w:rsid w:val="51D0746C"/>
    <w:rsid w:val="51D71203"/>
    <w:rsid w:val="51E83273"/>
    <w:rsid w:val="52397FF8"/>
    <w:rsid w:val="523C7263"/>
    <w:rsid w:val="52B306CA"/>
    <w:rsid w:val="52BC2BE1"/>
    <w:rsid w:val="52C00A54"/>
    <w:rsid w:val="53421668"/>
    <w:rsid w:val="53825C56"/>
    <w:rsid w:val="53A039CC"/>
    <w:rsid w:val="53A1505A"/>
    <w:rsid w:val="53C93484"/>
    <w:rsid w:val="53E32FD2"/>
    <w:rsid w:val="53E63289"/>
    <w:rsid w:val="54063E08"/>
    <w:rsid w:val="540B1521"/>
    <w:rsid w:val="542E3A7E"/>
    <w:rsid w:val="543437E8"/>
    <w:rsid w:val="54377E22"/>
    <w:rsid w:val="54466602"/>
    <w:rsid w:val="54543E77"/>
    <w:rsid w:val="545C6489"/>
    <w:rsid w:val="545D3EB5"/>
    <w:rsid w:val="54626A2A"/>
    <w:rsid w:val="5484240C"/>
    <w:rsid w:val="54AB6CD1"/>
    <w:rsid w:val="54AC754C"/>
    <w:rsid w:val="54B211D4"/>
    <w:rsid w:val="54E57D83"/>
    <w:rsid w:val="54EB365E"/>
    <w:rsid w:val="54F73313"/>
    <w:rsid w:val="54F80955"/>
    <w:rsid w:val="55294C21"/>
    <w:rsid w:val="555170A7"/>
    <w:rsid w:val="5587536D"/>
    <w:rsid w:val="55895AFA"/>
    <w:rsid w:val="559B174B"/>
    <w:rsid w:val="55AE4859"/>
    <w:rsid w:val="55CE0CF4"/>
    <w:rsid w:val="55E62390"/>
    <w:rsid w:val="55E62C22"/>
    <w:rsid w:val="55F55DC5"/>
    <w:rsid w:val="564B551F"/>
    <w:rsid w:val="5670520B"/>
    <w:rsid w:val="567E07E7"/>
    <w:rsid w:val="56A906E9"/>
    <w:rsid w:val="56B03E41"/>
    <w:rsid w:val="56B22A9C"/>
    <w:rsid w:val="56B45E9F"/>
    <w:rsid w:val="56CA61AA"/>
    <w:rsid w:val="56D17C3F"/>
    <w:rsid w:val="56EA488F"/>
    <w:rsid w:val="56FD401A"/>
    <w:rsid w:val="57076BB7"/>
    <w:rsid w:val="571C5DB6"/>
    <w:rsid w:val="578760B9"/>
    <w:rsid w:val="57A727A9"/>
    <w:rsid w:val="57B72A76"/>
    <w:rsid w:val="57C100D8"/>
    <w:rsid w:val="57C3426C"/>
    <w:rsid w:val="57C52EA9"/>
    <w:rsid w:val="57CB5604"/>
    <w:rsid w:val="57CE1F93"/>
    <w:rsid w:val="57DB7C26"/>
    <w:rsid w:val="57E435FD"/>
    <w:rsid w:val="580801E8"/>
    <w:rsid w:val="580C4523"/>
    <w:rsid w:val="580D49C9"/>
    <w:rsid w:val="58160210"/>
    <w:rsid w:val="581D5CC6"/>
    <w:rsid w:val="58294A5B"/>
    <w:rsid w:val="5830113C"/>
    <w:rsid w:val="58507E4A"/>
    <w:rsid w:val="58607961"/>
    <w:rsid w:val="586B6F75"/>
    <w:rsid w:val="58755A9D"/>
    <w:rsid w:val="587B372D"/>
    <w:rsid w:val="5886503A"/>
    <w:rsid w:val="588743D1"/>
    <w:rsid w:val="5887701A"/>
    <w:rsid w:val="58953AAF"/>
    <w:rsid w:val="589601AE"/>
    <w:rsid w:val="589A10C5"/>
    <w:rsid w:val="58CE2290"/>
    <w:rsid w:val="58E63645"/>
    <w:rsid w:val="592943F0"/>
    <w:rsid w:val="594D1BFB"/>
    <w:rsid w:val="59842069"/>
    <w:rsid w:val="59C0439F"/>
    <w:rsid w:val="59C268CB"/>
    <w:rsid w:val="59D76CB1"/>
    <w:rsid w:val="5A2A4EE1"/>
    <w:rsid w:val="5A301B84"/>
    <w:rsid w:val="5A377465"/>
    <w:rsid w:val="5A5F1760"/>
    <w:rsid w:val="5A7C1425"/>
    <w:rsid w:val="5AA77DB5"/>
    <w:rsid w:val="5ABE2233"/>
    <w:rsid w:val="5AC222A7"/>
    <w:rsid w:val="5ACA1478"/>
    <w:rsid w:val="5ADD01B9"/>
    <w:rsid w:val="5B6756B6"/>
    <w:rsid w:val="5B6A2FD1"/>
    <w:rsid w:val="5B8A3673"/>
    <w:rsid w:val="5B920779"/>
    <w:rsid w:val="5BA50AAE"/>
    <w:rsid w:val="5BAC3BCB"/>
    <w:rsid w:val="5BB32AD9"/>
    <w:rsid w:val="5BDF5D95"/>
    <w:rsid w:val="5BFE7528"/>
    <w:rsid w:val="5C1014A6"/>
    <w:rsid w:val="5C124D16"/>
    <w:rsid w:val="5C142AC5"/>
    <w:rsid w:val="5C2B016C"/>
    <w:rsid w:val="5C3575C0"/>
    <w:rsid w:val="5C7D05CF"/>
    <w:rsid w:val="5C803453"/>
    <w:rsid w:val="5C8452BA"/>
    <w:rsid w:val="5C8512CA"/>
    <w:rsid w:val="5CCE3E69"/>
    <w:rsid w:val="5D0905C7"/>
    <w:rsid w:val="5D0B2EB8"/>
    <w:rsid w:val="5D621E8A"/>
    <w:rsid w:val="5D6D7CC9"/>
    <w:rsid w:val="5D6E05E3"/>
    <w:rsid w:val="5D864AA3"/>
    <w:rsid w:val="5D897632"/>
    <w:rsid w:val="5DB35A81"/>
    <w:rsid w:val="5DC21862"/>
    <w:rsid w:val="5DE427DD"/>
    <w:rsid w:val="5DE96366"/>
    <w:rsid w:val="5E2467F1"/>
    <w:rsid w:val="5E316028"/>
    <w:rsid w:val="5E33609A"/>
    <w:rsid w:val="5E507F5B"/>
    <w:rsid w:val="5E820631"/>
    <w:rsid w:val="5ED76DD9"/>
    <w:rsid w:val="5ED879CC"/>
    <w:rsid w:val="5F1A2B43"/>
    <w:rsid w:val="5F2B57AF"/>
    <w:rsid w:val="5F316193"/>
    <w:rsid w:val="5F337B7D"/>
    <w:rsid w:val="5F375835"/>
    <w:rsid w:val="5F6E3FE3"/>
    <w:rsid w:val="5F781A31"/>
    <w:rsid w:val="5F8D192A"/>
    <w:rsid w:val="5F964CD8"/>
    <w:rsid w:val="5FA06BF6"/>
    <w:rsid w:val="5FA41E86"/>
    <w:rsid w:val="5FAE4A4C"/>
    <w:rsid w:val="5FB641C3"/>
    <w:rsid w:val="5FB837BB"/>
    <w:rsid w:val="5FFD54A0"/>
    <w:rsid w:val="60235F31"/>
    <w:rsid w:val="605C4497"/>
    <w:rsid w:val="605D4239"/>
    <w:rsid w:val="606840E1"/>
    <w:rsid w:val="60792959"/>
    <w:rsid w:val="60B04706"/>
    <w:rsid w:val="60B151FE"/>
    <w:rsid w:val="60B5589E"/>
    <w:rsid w:val="60B75C23"/>
    <w:rsid w:val="60C57631"/>
    <w:rsid w:val="60CB269E"/>
    <w:rsid w:val="60CC3E17"/>
    <w:rsid w:val="60CC405A"/>
    <w:rsid w:val="60DE11C6"/>
    <w:rsid w:val="611867DD"/>
    <w:rsid w:val="612968DD"/>
    <w:rsid w:val="617E2811"/>
    <w:rsid w:val="61925778"/>
    <w:rsid w:val="61B159B5"/>
    <w:rsid w:val="61D334AE"/>
    <w:rsid w:val="61E215D8"/>
    <w:rsid w:val="61F96E5C"/>
    <w:rsid w:val="620D303A"/>
    <w:rsid w:val="62156105"/>
    <w:rsid w:val="621B3775"/>
    <w:rsid w:val="62364782"/>
    <w:rsid w:val="623A6591"/>
    <w:rsid w:val="62400DDA"/>
    <w:rsid w:val="6260147F"/>
    <w:rsid w:val="628F77C1"/>
    <w:rsid w:val="629D540E"/>
    <w:rsid w:val="62BE492C"/>
    <w:rsid w:val="62CA68B3"/>
    <w:rsid w:val="62D27B3D"/>
    <w:rsid w:val="62F505B2"/>
    <w:rsid w:val="62FF2E1F"/>
    <w:rsid w:val="63082288"/>
    <w:rsid w:val="634D2AAE"/>
    <w:rsid w:val="637063C8"/>
    <w:rsid w:val="638C2694"/>
    <w:rsid w:val="6394356A"/>
    <w:rsid w:val="63B41B25"/>
    <w:rsid w:val="63C61B2C"/>
    <w:rsid w:val="63D40BE9"/>
    <w:rsid w:val="63D728C3"/>
    <w:rsid w:val="63FC7C28"/>
    <w:rsid w:val="640332EE"/>
    <w:rsid w:val="64102431"/>
    <w:rsid w:val="64187CF4"/>
    <w:rsid w:val="641F0320"/>
    <w:rsid w:val="643B2AF7"/>
    <w:rsid w:val="64412924"/>
    <w:rsid w:val="64634A61"/>
    <w:rsid w:val="6480574B"/>
    <w:rsid w:val="64A5243A"/>
    <w:rsid w:val="64D2511C"/>
    <w:rsid w:val="64F531DE"/>
    <w:rsid w:val="64F65633"/>
    <w:rsid w:val="65013B1E"/>
    <w:rsid w:val="650709E0"/>
    <w:rsid w:val="650F3710"/>
    <w:rsid w:val="65145749"/>
    <w:rsid w:val="652B155E"/>
    <w:rsid w:val="652C25BD"/>
    <w:rsid w:val="65373578"/>
    <w:rsid w:val="6555058E"/>
    <w:rsid w:val="655D522B"/>
    <w:rsid w:val="657C62EB"/>
    <w:rsid w:val="65813DF1"/>
    <w:rsid w:val="65BB267B"/>
    <w:rsid w:val="65CA272C"/>
    <w:rsid w:val="66045387"/>
    <w:rsid w:val="66117F24"/>
    <w:rsid w:val="662B15AE"/>
    <w:rsid w:val="665A7ACD"/>
    <w:rsid w:val="665F6047"/>
    <w:rsid w:val="66612841"/>
    <w:rsid w:val="666A561B"/>
    <w:rsid w:val="66871921"/>
    <w:rsid w:val="66A54B73"/>
    <w:rsid w:val="66A870A3"/>
    <w:rsid w:val="66B250A2"/>
    <w:rsid w:val="66CA0E9F"/>
    <w:rsid w:val="66E726F1"/>
    <w:rsid w:val="66E73C10"/>
    <w:rsid w:val="66ED0F5A"/>
    <w:rsid w:val="6707201B"/>
    <w:rsid w:val="671F124A"/>
    <w:rsid w:val="67252AD0"/>
    <w:rsid w:val="6736371C"/>
    <w:rsid w:val="673A0E55"/>
    <w:rsid w:val="674D0360"/>
    <w:rsid w:val="67594808"/>
    <w:rsid w:val="676A0013"/>
    <w:rsid w:val="677A33C6"/>
    <w:rsid w:val="677C4A40"/>
    <w:rsid w:val="67841173"/>
    <w:rsid w:val="679505E8"/>
    <w:rsid w:val="67984046"/>
    <w:rsid w:val="679E00CC"/>
    <w:rsid w:val="67BC1EBE"/>
    <w:rsid w:val="67FD6F7B"/>
    <w:rsid w:val="681F6961"/>
    <w:rsid w:val="68610A2F"/>
    <w:rsid w:val="686A5161"/>
    <w:rsid w:val="68805514"/>
    <w:rsid w:val="689B6EBF"/>
    <w:rsid w:val="68C12989"/>
    <w:rsid w:val="68F71C1C"/>
    <w:rsid w:val="69316E2F"/>
    <w:rsid w:val="694E2071"/>
    <w:rsid w:val="69513A22"/>
    <w:rsid w:val="69766163"/>
    <w:rsid w:val="697A3B33"/>
    <w:rsid w:val="699C24C2"/>
    <w:rsid w:val="699E77CC"/>
    <w:rsid w:val="69A61A53"/>
    <w:rsid w:val="69AA611C"/>
    <w:rsid w:val="69D21F22"/>
    <w:rsid w:val="69D44760"/>
    <w:rsid w:val="69D831B4"/>
    <w:rsid w:val="69EF46E2"/>
    <w:rsid w:val="6A000431"/>
    <w:rsid w:val="6A09071E"/>
    <w:rsid w:val="6A106E27"/>
    <w:rsid w:val="6A334ED5"/>
    <w:rsid w:val="6A340C62"/>
    <w:rsid w:val="6A507835"/>
    <w:rsid w:val="6A520EC7"/>
    <w:rsid w:val="6A716433"/>
    <w:rsid w:val="6A7318D2"/>
    <w:rsid w:val="6A830498"/>
    <w:rsid w:val="6A885221"/>
    <w:rsid w:val="6AAC2D80"/>
    <w:rsid w:val="6AD831E2"/>
    <w:rsid w:val="6AF87E20"/>
    <w:rsid w:val="6B1349A9"/>
    <w:rsid w:val="6B190CCB"/>
    <w:rsid w:val="6B19231D"/>
    <w:rsid w:val="6B1940CB"/>
    <w:rsid w:val="6B1B172D"/>
    <w:rsid w:val="6B1B36F7"/>
    <w:rsid w:val="6B211664"/>
    <w:rsid w:val="6B2C5D10"/>
    <w:rsid w:val="6B322639"/>
    <w:rsid w:val="6B3A2E3E"/>
    <w:rsid w:val="6B3D3568"/>
    <w:rsid w:val="6B447911"/>
    <w:rsid w:val="6B575D35"/>
    <w:rsid w:val="6B9A18AC"/>
    <w:rsid w:val="6B9E2823"/>
    <w:rsid w:val="6BB73744"/>
    <w:rsid w:val="6BCF16EA"/>
    <w:rsid w:val="6BD910A1"/>
    <w:rsid w:val="6BF1198A"/>
    <w:rsid w:val="6C636C38"/>
    <w:rsid w:val="6C873EED"/>
    <w:rsid w:val="6CA42DA0"/>
    <w:rsid w:val="6CA80264"/>
    <w:rsid w:val="6CCF6157"/>
    <w:rsid w:val="6CD92752"/>
    <w:rsid w:val="6CF03552"/>
    <w:rsid w:val="6CF76B7D"/>
    <w:rsid w:val="6D5A13CF"/>
    <w:rsid w:val="6D714693"/>
    <w:rsid w:val="6D7236C4"/>
    <w:rsid w:val="6D75048C"/>
    <w:rsid w:val="6D7C0345"/>
    <w:rsid w:val="6D8360D1"/>
    <w:rsid w:val="6DB34098"/>
    <w:rsid w:val="6DB545B6"/>
    <w:rsid w:val="6DE02FB4"/>
    <w:rsid w:val="6DE44514"/>
    <w:rsid w:val="6E015DF0"/>
    <w:rsid w:val="6E0635A2"/>
    <w:rsid w:val="6E514CED"/>
    <w:rsid w:val="6E54004E"/>
    <w:rsid w:val="6E722F24"/>
    <w:rsid w:val="6E9A5725"/>
    <w:rsid w:val="6EB563D5"/>
    <w:rsid w:val="6EC8149F"/>
    <w:rsid w:val="6ED143E7"/>
    <w:rsid w:val="6ED92677"/>
    <w:rsid w:val="6EDF10D9"/>
    <w:rsid w:val="6EDF2742"/>
    <w:rsid w:val="6EE4391A"/>
    <w:rsid w:val="6EF51E6A"/>
    <w:rsid w:val="6F031302"/>
    <w:rsid w:val="6F04276C"/>
    <w:rsid w:val="6F0D7199"/>
    <w:rsid w:val="6F225983"/>
    <w:rsid w:val="6F2679E3"/>
    <w:rsid w:val="6F38357B"/>
    <w:rsid w:val="6F3F1919"/>
    <w:rsid w:val="6F5161E8"/>
    <w:rsid w:val="6F5C7537"/>
    <w:rsid w:val="6F6667CD"/>
    <w:rsid w:val="6F8C40D5"/>
    <w:rsid w:val="6F8D0FE5"/>
    <w:rsid w:val="6F8D27D4"/>
    <w:rsid w:val="6FCF203B"/>
    <w:rsid w:val="6FF8543C"/>
    <w:rsid w:val="6FFC5590"/>
    <w:rsid w:val="701A2DBF"/>
    <w:rsid w:val="70453F88"/>
    <w:rsid w:val="706D1DD0"/>
    <w:rsid w:val="707856AE"/>
    <w:rsid w:val="70852267"/>
    <w:rsid w:val="70856B87"/>
    <w:rsid w:val="709C1A26"/>
    <w:rsid w:val="70D527EE"/>
    <w:rsid w:val="70E47042"/>
    <w:rsid w:val="71120B9E"/>
    <w:rsid w:val="713E1BB9"/>
    <w:rsid w:val="714A4E96"/>
    <w:rsid w:val="714D0DEE"/>
    <w:rsid w:val="7152603A"/>
    <w:rsid w:val="715B5300"/>
    <w:rsid w:val="7160674B"/>
    <w:rsid w:val="71803F15"/>
    <w:rsid w:val="718B7FBD"/>
    <w:rsid w:val="71943523"/>
    <w:rsid w:val="719F0E68"/>
    <w:rsid w:val="71A62431"/>
    <w:rsid w:val="71B22FDE"/>
    <w:rsid w:val="71B87EA3"/>
    <w:rsid w:val="71D27F8A"/>
    <w:rsid w:val="7204578E"/>
    <w:rsid w:val="721F0D4B"/>
    <w:rsid w:val="722C2936"/>
    <w:rsid w:val="723E4B15"/>
    <w:rsid w:val="72553024"/>
    <w:rsid w:val="72566E3A"/>
    <w:rsid w:val="725979C6"/>
    <w:rsid w:val="72752CA5"/>
    <w:rsid w:val="72770396"/>
    <w:rsid w:val="7289422C"/>
    <w:rsid w:val="72B908CC"/>
    <w:rsid w:val="72D5519C"/>
    <w:rsid w:val="72DD1B11"/>
    <w:rsid w:val="72E97241"/>
    <w:rsid w:val="72F60B77"/>
    <w:rsid w:val="72FB40C6"/>
    <w:rsid w:val="72FB5901"/>
    <w:rsid w:val="73104DF7"/>
    <w:rsid w:val="73122968"/>
    <w:rsid w:val="7313195C"/>
    <w:rsid w:val="731F5D5E"/>
    <w:rsid w:val="73261A7B"/>
    <w:rsid w:val="732E6B82"/>
    <w:rsid w:val="735C42E6"/>
    <w:rsid w:val="737F3653"/>
    <w:rsid w:val="73820D97"/>
    <w:rsid w:val="738465C1"/>
    <w:rsid w:val="738B1AF9"/>
    <w:rsid w:val="73BA23D1"/>
    <w:rsid w:val="73BB4017"/>
    <w:rsid w:val="73C35982"/>
    <w:rsid w:val="73C51AD5"/>
    <w:rsid w:val="73C663EF"/>
    <w:rsid w:val="741E793C"/>
    <w:rsid w:val="741F12A9"/>
    <w:rsid w:val="74303A4D"/>
    <w:rsid w:val="74341F76"/>
    <w:rsid w:val="74451EBE"/>
    <w:rsid w:val="745E3944"/>
    <w:rsid w:val="747542CE"/>
    <w:rsid w:val="7483371C"/>
    <w:rsid w:val="749A45ED"/>
    <w:rsid w:val="74B4004C"/>
    <w:rsid w:val="74DD25FB"/>
    <w:rsid w:val="74F236DC"/>
    <w:rsid w:val="751C09C1"/>
    <w:rsid w:val="756D1FC7"/>
    <w:rsid w:val="759766F5"/>
    <w:rsid w:val="759E179B"/>
    <w:rsid w:val="759F5E8E"/>
    <w:rsid w:val="75B346EE"/>
    <w:rsid w:val="75BD0C4E"/>
    <w:rsid w:val="75C71B98"/>
    <w:rsid w:val="75DC122C"/>
    <w:rsid w:val="75E66245"/>
    <w:rsid w:val="75FA0301"/>
    <w:rsid w:val="76165FD1"/>
    <w:rsid w:val="76247D85"/>
    <w:rsid w:val="7635099D"/>
    <w:rsid w:val="764B6C68"/>
    <w:rsid w:val="76691C04"/>
    <w:rsid w:val="766920FE"/>
    <w:rsid w:val="76926017"/>
    <w:rsid w:val="76927F98"/>
    <w:rsid w:val="76961EA4"/>
    <w:rsid w:val="76B92F53"/>
    <w:rsid w:val="76D87ACB"/>
    <w:rsid w:val="76E7615D"/>
    <w:rsid w:val="76F64AD2"/>
    <w:rsid w:val="76FB22D3"/>
    <w:rsid w:val="76FB480B"/>
    <w:rsid w:val="76FE21DD"/>
    <w:rsid w:val="77156C7D"/>
    <w:rsid w:val="77345A6B"/>
    <w:rsid w:val="773C46EE"/>
    <w:rsid w:val="77474423"/>
    <w:rsid w:val="77494E2F"/>
    <w:rsid w:val="77690189"/>
    <w:rsid w:val="776B2153"/>
    <w:rsid w:val="77751056"/>
    <w:rsid w:val="77762421"/>
    <w:rsid w:val="777E040B"/>
    <w:rsid w:val="77845225"/>
    <w:rsid w:val="77B56B1F"/>
    <w:rsid w:val="77C76A64"/>
    <w:rsid w:val="77EB0C48"/>
    <w:rsid w:val="77EB3F5A"/>
    <w:rsid w:val="780810FA"/>
    <w:rsid w:val="780F09F4"/>
    <w:rsid w:val="781F24FD"/>
    <w:rsid w:val="7832573E"/>
    <w:rsid w:val="78474280"/>
    <w:rsid w:val="78A6654F"/>
    <w:rsid w:val="78A90480"/>
    <w:rsid w:val="78AB0948"/>
    <w:rsid w:val="78B03770"/>
    <w:rsid w:val="78B11DE7"/>
    <w:rsid w:val="78B95D6F"/>
    <w:rsid w:val="78BE250F"/>
    <w:rsid w:val="78E30DAD"/>
    <w:rsid w:val="78EC72C3"/>
    <w:rsid w:val="78F95897"/>
    <w:rsid w:val="79126A19"/>
    <w:rsid w:val="79156E10"/>
    <w:rsid w:val="793A1290"/>
    <w:rsid w:val="795433BC"/>
    <w:rsid w:val="796511D6"/>
    <w:rsid w:val="796F56DA"/>
    <w:rsid w:val="799E5A35"/>
    <w:rsid w:val="79B853F7"/>
    <w:rsid w:val="79DE4E5E"/>
    <w:rsid w:val="79FE1126"/>
    <w:rsid w:val="7A0C34FA"/>
    <w:rsid w:val="7A2138EE"/>
    <w:rsid w:val="7A2B7977"/>
    <w:rsid w:val="7A2E7DEF"/>
    <w:rsid w:val="7A364017"/>
    <w:rsid w:val="7A472D47"/>
    <w:rsid w:val="7A4B46FF"/>
    <w:rsid w:val="7A5C3FD5"/>
    <w:rsid w:val="7A707052"/>
    <w:rsid w:val="7A8265E1"/>
    <w:rsid w:val="7A8907D4"/>
    <w:rsid w:val="7A894231"/>
    <w:rsid w:val="7A9A5138"/>
    <w:rsid w:val="7ABC4A73"/>
    <w:rsid w:val="7AC24292"/>
    <w:rsid w:val="7B092401"/>
    <w:rsid w:val="7B324FCD"/>
    <w:rsid w:val="7B686D42"/>
    <w:rsid w:val="7B841746"/>
    <w:rsid w:val="7BDB58D9"/>
    <w:rsid w:val="7BE06FC1"/>
    <w:rsid w:val="7BE77E33"/>
    <w:rsid w:val="7BF16E84"/>
    <w:rsid w:val="7C1D1EC1"/>
    <w:rsid w:val="7C365DE1"/>
    <w:rsid w:val="7C3B673E"/>
    <w:rsid w:val="7C401BE6"/>
    <w:rsid w:val="7C5B0896"/>
    <w:rsid w:val="7C6C5AC7"/>
    <w:rsid w:val="7CB974BC"/>
    <w:rsid w:val="7CC6544B"/>
    <w:rsid w:val="7D0239FF"/>
    <w:rsid w:val="7D11554A"/>
    <w:rsid w:val="7D147C5F"/>
    <w:rsid w:val="7D17018C"/>
    <w:rsid w:val="7D201658"/>
    <w:rsid w:val="7D291BFA"/>
    <w:rsid w:val="7D2B31E4"/>
    <w:rsid w:val="7D4C67BA"/>
    <w:rsid w:val="7D5E40CD"/>
    <w:rsid w:val="7D670168"/>
    <w:rsid w:val="7D770A28"/>
    <w:rsid w:val="7D7D673C"/>
    <w:rsid w:val="7D853842"/>
    <w:rsid w:val="7D9D6FA5"/>
    <w:rsid w:val="7DAE16D1"/>
    <w:rsid w:val="7DCD56F2"/>
    <w:rsid w:val="7DEC183C"/>
    <w:rsid w:val="7DF26EEA"/>
    <w:rsid w:val="7DF91B29"/>
    <w:rsid w:val="7E0C0193"/>
    <w:rsid w:val="7E252FA5"/>
    <w:rsid w:val="7E2E3EDA"/>
    <w:rsid w:val="7E611BB9"/>
    <w:rsid w:val="7E9F4DA1"/>
    <w:rsid w:val="7EA244C7"/>
    <w:rsid w:val="7EC521A7"/>
    <w:rsid w:val="7ED3474D"/>
    <w:rsid w:val="7EF17FBE"/>
    <w:rsid w:val="7F001CE7"/>
    <w:rsid w:val="7F221E2E"/>
    <w:rsid w:val="7F3C1CC8"/>
    <w:rsid w:val="7F693200"/>
    <w:rsid w:val="7F6E016D"/>
    <w:rsid w:val="7F8076EA"/>
    <w:rsid w:val="7F9452D1"/>
    <w:rsid w:val="7F9F0B14"/>
    <w:rsid w:val="7FB41E9D"/>
    <w:rsid w:val="7FE47E50"/>
    <w:rsid w:val="7FE5531B"/>
    <w:rsid w:val="7FE945D4"/>
    <w:rsid w:val="7FEB20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iPriority="0" w:semiHidden="0" w:name="heading 5" w:locked="1"/>
    <w:lsdException w:qFormat="1" w:uiPriority="0" w:semiHidden="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qFormat="1" w:unhideWhenUsed="0" w:uiPriority="39"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iPriority="99" w:semiHidden="0" w:name="Body Text First Indent" w:locked="1"/>
    <w:lsdException w:unhideWhenUsed="0" w:uiPriority="0" w:semiHidden="0" w:name="Body Text First Indent 2" w:locked="1"/>
    <w:lsdException w:unhideWhenUsed="0" w:uiPriority="0" w:semiHidden="0" w:name="Note Heading" w:locked="1"/>
    <w:lsdException w:qFormat="1"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99"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20" w:semiHidden="0" w:name="Emphasis" w:locked="1"/>
    <w:lsdException w:unhideWhenUsed="0" w:uiPriority="0" w:semiHidden="0" w:name="Document Map" w:locked="1"/>
    <w:lsdException w:qFormat="1" w:unhideWhenUsed="0" w:uiPriority="0" w:semiHidden="0" w:name="Plain Text" w:locked="1"/>
    <w:lsdException w:qFormat="1" w:uiPriority="99"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8">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19">
    <w:name w:val="heading 2"/>
    <w:basedOn w:val="1"/>
    <w:next w:val="1"/>
    <w:link w:val="62"/>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10">
    <w:name w:val="heading 3"/>
    <w:basedOn w:val="1"/>
    <w:next w:val="1"/>
    <w:qFormat/>
    <w:locked/>
    <w:uiPriority w:val="0"/>
    <w:pPr>
      <w:keepNext/>
      <w:keepLines/>
      <w:spacing w:before="260" w:after="260" w:line="416" w:lineRule="auto"/>
      <w:outlineLvl w:val="2"/>
    </w:pPr>
    <w:rPr>
      <w:b/>
      <w:bCs/>
      <w:sz w:val="32"/>
      <w:szCs w:val="32"/>
    </w:rPr>
  </w:style>
  <w:style w:type="paragraph" w:styleId="20">
    <w:name w:val="heading 4"/>
    <w:basedOn w:val="1"/>
    <w:next w:val="1"/>
    <w:qFormat/>
    <w:locked/>
    <w:uiPriority w:val="1"/>
    <w:pPr>
      <w:outlineLvl w:val="3"/>
    </w:pPr>
    <w:rPr>
      <w:rFonts w:ascii="宋体" w:hAnsi="宋体" w:eastAsia="宋体" w:cs="宋体"/>
      <w:b/>
      <w:bCs/>
      <w:sz w:val="24"/>
      <w:szCs w:val="24"/>
      <w:lang w:val="zh-CN" w:eastAsia="zh-CN" w:bidi="zh-CN"/>
    </w:rPr>
  </w:style>
  <w:style w:type="paragraph" w:styleId="21">
    <w:name w:val="heading 5"/>
    <w:next w:val="1"/>
    <w:unhideWhenUsed/>
    <w:qFormat/>
    <w:locked/>
    <w:uiPriority w:val="0"/>
    <w:pPr>
      <w:keepNext/>
      <w:keepLines/>
      <w:numPr>
        <w:ilvl w:val="4"/>
        <w:numId w:val="1"/>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22">
    <w:name w:val="heading 6"/>
    <w:basedOn w:val="1"/>
    <w:next w:val="1"/>
    <w:unhideWhenUsed/>
    <w:qFormat/>
    <w:locked/>
    <w:uiPriority w:val="0"/>
    <w:pPr>
      <w:keepNext/>
      <w:keepLines/>
      <w:numPr>
        <w:ilvl w:val="5"/>
        <w:numId w:val="1"/>
      </w:numPr>
      <w:ind w:firstLine="1440" w:firstLineChars="200"/>
      <w:outlineLvl w:val="5"/>
    </w:pPr>
    <w:rPr>
      <w:szCs w:val="21"/>
    </w:rPr>
  </w:style>
  <w:style w:type="character" w:default="1" w:styleId="50">
    <w:name w:val="Default Paragraph Font"/>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next w:val="1"/>
    <w:qFormat/>
    <w:uiPriority w:val="0"/>
    <w:pPr>
      <w:adjustRightInd w:val="0"/>
    </w:pPr>
    <w:rPr>
      <w:rFonts w:ascii="宋体" w:hAnsi="Courier New"/>
      <w:szCs w:val="20"/>
    </w:rPr>
  </w:style>
  <w:style w:type="paragraph" w:customStyle="1" w:styleId="4">
    <w:name w:val="样式35"/>
    <w:basedOn w:val="5"/>
    <w:next w:val="11"/>
    <w:qFormat/>
    <w:uiPriority w:val="0"/>
    <w:pPr>
      <w:tabs>
        <w:tab w:val="left" w:pos="0"/>
        <w:tab w:val="left" w:pos="360"/>
        <w:tab w:val="left" w:pos="480"/>
        <w:tab w:val="left" w:pos="540"/>
        <w:tab w:val="left" w:pos="567"/>
        <w:tab w:val="left" w:pos="720"/>
        <w:tab w:val="left" w:pos="992"/>
      </w:tabs>
      <w:ind w:hanging="567"/>
    </w:pPr>
  </w:style>
  <w:style w:type="paragraph" w:customStyle="1" w:styleId="5">
    <w:name w:val="样式26"/>
    <w:basedOn w:val="6"/>
    <w:qFormat/>
    <w:uiPriority w:val="0"/>
    <w:pPr>
      <w:tabs>
        <w:tab w:val="left" w:pos="0"/>
        <w:tab w:val="left" w:pos="360"/>
        <w:tab w:val="left" w:pos="480"/>
        <w:tab w:val="left" w:pos="540"/>
        <w:tab w:val="left" w:pos="567"/>
        <w:tab w:val="left" w:pos="720"/>
      </w:tabs>
    </w:pPr>
  </w:style>
  <w:style w:type="paragraph" w:customStyle="1" w:styleId="6">
    <w:name w:val="样式21"/>
    <w:basedOn w:val="7"/>
    <w:qFormat/>
    <w:uiPriority w:val="0"/>
    <w:pPr>
      <w:numPr>
        <w:ilvl w:val="1"/>
        <w:numId w:val="2"/>
      </w:numPr>
    </w:pPr>
    <w:rPr>
      <w:bCs/>
    </w:rPr>
  </w:style>
  <w:style w:type="paragraph" w:customStyle="1" w:styleId="7">
    <w:name w:val="样式5"/>
    <w:basedOn w:val="8"/>
    <w:qFormat/>
    <w:uiPriority w:val="0"/>
    <w:pPr>
      <w:keepNext w:val="0"/>
      <w:keepLines w:val="0"/>
      <w:widowControl/>
      <w:spacing w:beforeLines="50" w:afterLines="50" w:line="360" w:lineRule="auto"/>
      <w:ind w:left="780" w:hanging="360"/>
      <w:jc w:val="left"/>
    </w:pPr>
    <w:rPr>
      <w:rFonts w:ascii="Times New Roman" w:hAnsi="Times New Roman"/>
      <w:bCs w:val="0"/>
      <w:kern w:val="0"/>
      <w:sz w:val="30"/>
      <w:szCs w:val="30"/>
    </w:rPr>
  </w:style>
  <w:style w:type="paragraph" w:customStyle="1" w:styleId="8">
    <w:name w:val="样式12"/>
    <w:basedOn w:val="9"/>
    <w:qFormat/>
    <w:uiPriority w:val="0"/>
    <w:pPr>
      <w:spacing w:before="180" w:after="120" w:line="500" w:lineRule="exact"/>
      <w:ind w:firstLine="200" w:firstLineChars="200"/>
      <w:jc w:val="center"/>
    </w:pPr>
    <w:rPr>
      <w:rFonts w:ascii="Arial" w:hAnsi="Arial"/>
      <w:sz w:val="36"/>
    </w:rPr>
  </w:style>
  <w:style w:type="paragraph" w:customStyle="1" w:styleId="9">
    <w:name w:val="样式 标题 3标题 3 Char标题3H3h33rd level第二层条三级标题ReHead 3 WSA头..."/>
    <w:basedOn w:val="10"/>
    <w:qFormat/>
    <w:uiPriority w:val="0"/>
    <w:pPr>
      <w:ind w:left="4140" w:hanging="720"/>
    </w:pPr>
    <w:rPr>
      <w:rFonts w:eastAsia="黑体"/>
      <w:color w:val="FF0000"/>
    </w:rPr>
  </w:style>
  <w:style w:type="paragraph" w:customStyle="1" w:styleId="11">
    <w:name w:val="font6"/>
    <w:basedOn w:val="1"/>
    <w:next w:val="12"/>
    <w:qFormat/>
    <w:uiPriority w:val="0"/>
    <w:pPr>
      <w:widowControl/>
      <w:spacing w:before="100" w:beforeAutospacing="1" w:after="100" w:afterAutospacing="1"/>
      <w:jc w:val="left"/>
    </w:pPr>
    <w:rPr>
      <w:rFonts w:eastAsia="Arial Unicode MS"/>
      <w:kern w:val="0"/>
      <w:sz w:val="28"/>
      <w:szCs w:val="28"/>
    </w:rPr>
  </w:style>
  <w:style w:type="paragraph" w:styleId="12">
    <w:name w:val="toc 2"/>
    <w:basedOn w:val="1"/>
    <w:next w:val="13"/>
    <w:qFormat/>
    <w:locked/>
    <w:uiPriority w:val="39"/>
    <w:pPr>
      <w:tabs>
        <w:tab w:val="left" w:pos="840"/>
        <w:tab w:val="right" w:leader="dot" w:pos="9060"/>
      </w:tabs>
      <w:spacing w:line="400" w:lineRule="exact"/>
      <w:ind w:left="210"/>
      <w:jc w:val="left"/>
    </w:pPr>
    <w:rPr>
      <w:smallCaps/>
      <w:sz w:val="20"/>
      <w:szCs w:val="20"/>
    </w:rPr>
  </w:style>
  <w:style w:type="paragraph" w:styleId="13">
    <w:name w:val="E-mail Signature"/>
    <w:basedOn w:val="1"/>
    <w:next w:val="14"/>
    <w:unhideWhenUsed/>
    <w:qFormat/>
    <w:locked/>
    <w:uiPriority w:val="99"/>
    <w:pPr>
      <w:spacing w:line="460" w:lineRule="exact"/>
      <w:ind w:firstLine="200"/>
    </w:pPr>
  </w:style>
  <w:style w:type="paragraph" w:customStyle="1" w:styleId="14">
    <w:name w:val="文章"/>
    <w:basedOn w:val="15"/>
    <w:next w:val="17"/>
    <w:qFormat/>
    <w:uiPriority w:val="0"/>
    <w:pPr>
      <w:widowControl/>
      <w:spacing w:line="240" w:lineRule="auto"/>
      <w:jc w:val="center"/>
    </w:pPr>
    <w:rPr>
      <w:sz w:val="26"/>
    </w:rPr>
  </w:style>
  <w:style w:type="paragraph" w:styleId="15">
    <w:name w:val="Body Text Indent"/>
    <w:basedOn w:val="1"/>
    <w:next w:val="16"/>
    <w:link w:val="63"/>
    <w:qFormat/>
    <w:uiPriority w:val="0"/>
    <w:pPr>
      <w:spacing w:after="120"/>
      <w:ind w:left="420" w:leftChars="200"/>
    </w:pPr>
    <w:rPr>
      <w:kern w:val="0"/>
      <w:sz w:val="24"/>
      <w:szCs w:val="20"/>
    </w:rPr>
  </w:style>
  <w:style w:type="paragraph" w:styleId="16">
    <w:name w:val="caption"/>
    <w:basedOn w:val="1"/>
    <w:next w:val="1"/>
    <w:qFormat/>
    <w:locked/>
    <w:uiPriority w:val="35"/>
    <w:pPr>
      <w:tabs>
        <w:tab w:val="left" w:pos="3240"/>
        <w:tab w:val="left" w:pos="6120"/>
      </w:tabs>
    </w:pPr>
    <w:rPr>
      <w:rFonts w:ascii="Cambria" w:hAnsi="Cambria" w:eastAsia="黑体" w:cs="Times New Roman"/>
      <w:sz w:val="20"/>
      <w:szCs w:val="20"/>
    </w:rPr>
  </w:style>
  <w:style w:type="paragraph" w:styleId="17">
    <w:name w:val="List"/>
    <w:basedOn w:val="1"/>
    <w:next w:val="1"/>
    <w:qFormat/>
    <w:locked/>
    <w:uiPriority w:val="0"/>
    <w:pPr>
      <w:ind w:left="200" w:hanging="200" w:hangingChars="200"/>
    </w:pPr>
  </w:style>
  <w:style w:type="paragraph" w:styleId="23">
    <w:name w:val="List 3"/>
    <w:basedOn w:val="1"/>
    <w:next w:val="1"/>
    <w:qFormat/>
    <w:locked/>
    <w:uiPriority w:val="0"/>
    <w:pPr>
      <w:ind w:left="100" w:leftChars="400" w:hanging="200" w:hangingChars="200"/>
    </w:pPr>
    <w:rPr>
      <w:szCs w:val="20"/>
    </w:rPr>
  </w:style>
  <w:style w:type="paragraph" w:styleId="24">
    <w:name w:val="Normal Indent"/>
    <w:basedOn w:val="1"/>
    <w:next w:val="20"/>
    <w:qFormat/>
    <w:locked/>
    <w:uiPriority w:val="0"/>
    <w:pPr>
      <w:spacing w:line="360" w:lineRule="auto"/>
      <w:ind w:firstLine="420" w:firstLineChars="200"/>
    </w:pPr>
    <w:rPr>
      <w:sz w:val="24"/>
    </w:rPr>
  </w:style>
  <w:style w:type="paragraph" w:styleId="25">
    <w:name w:val="annotation text"/>
    <w:basedOn w:val="1"/>
    <w:link w:val="65"/>
    <w:semiHidden/>
    <w:qFormat/>
    <w:uiPriority w:val="0"/>
    <w:pPr>
      <w:jc w:val="left"/>
    </w:pPr>
    <w:rPr>
      <w:kern w:val="0"/>
      <w:sz w:val="24"/>
      <w:szCs w:val="20"/>
    </w:rPr>
  </w:style>
  <w:style w:type="paragraph" w:styleId="26">
    <w:name w:val="Salutation"/>
    <w:basedOn w:val="1"/>
    <w:next w:val="1"/>
    <w:qFormat/>
    <w:locked/>
    <w:uiPriority w:val="0"/>
  </w:style>
  <w:style w:type="paragraph" w:styleId="27">
    <w:name w:val="Body Text"/>
    <w:basedOn w:val="1"/>
    <w:next w:val="28"/>
    <w:link w:val="64"/>
    <w:qFormat/>
    <w:uiPriority w:val="0"/>
    <w:pPr>
      <w:widowControl/>
      <w:snapToGrid w:val="0"/>
      <w:spacing w:before="60" w:after="160" w:line="259" w:lineRule="auto"/>
      <w:ind w:right="113"/>
    </w:pPr>
    <w:rPr>
      <w:kern w:val="0"/>
      <w:sz w:val="18"/>
      <w:szCs w:val="20"/>
    </w:rPr>
  </w:style>
  <w:style w:type="paragraph" w:styleId="28">
    <w:name w:val="List Bullet 5"/>
    <w:basedOn w:val="1"/>
    <w:qFormat/>
    <w:locked/>
    <w:uiPriority w:val="0"/>
    <w:pPr>
      <w:numPr>
        <w:ilvl w:val="0"/>
        <w:numId w:val="3"/>
      </w:numPr>
    </w:pPr>
  </w:style>
  <w:style w:type="paragraph" w:styleId="29">
    <w:name w:val="Block Text"/>
    <w:basedOn w:val="1"/>
    <w:qFormat/>
    <w:locked/>
    <w:uiPriority w:val="0"/>
    <w:pPr>
      <w:spacing w:after="120"/>
      <w:ind w:left="1440" w:leftChars="700" w:right="1440" w:rightChars="700"/>
    </w:pPr>
  </w:style>
  <w:style w:type="paragraph" w:styleId="30">
    <w:name w:val="List Bullet 2"/>
    <w:basedOn w:val="1"/>
    <w:next w:val="31"/>
    <w:qFormat/>
    <w:locked/>
    <w:uiPriority w:val="0"/>
    <w:pPr>
      <w:numPr>
        <w:ilvl w:val="0"/>
        <w:numId w:val="4"/>
      </w:numPr>
    </w:pPr>
  </w:style>
  <w:style w:type="paragraph" w:customStyle="1" w:styleId="31">
    <w:name w:val="xl70"/>
    <w:basedOn w:val="1"/>
    <w:next w:val="32"/>
    <w:qFormat/>
    <w:uiPriority w:val="0"/>
    <w:pPr>
      <w:widowControl/>
      <w:spacing w:before="100" w:beforeAutospacing="1" w:after="100" w:afterAutospacing="1" w:line="240" w:lineRule="auto"/>
      <w:ind w:firstLine="0" w:firstLineChars="0"/>
    </w:pPr>
    <w:rPr>
      <w:rFonts w:ascii="Arial" w:hAnsi="Arial" w:cs="Arial"/>
    </w:rPr>
  </w:style>
  <w:style w:type="paragraph" w:customStyle="1" w:styleId="32">
    <w:name w:val="正文缩进1"/>
    <w:basedOn w:val="1"/>
    <w:next w:val="33"/>
    <w:qFormat/>
    <w:uiPriority w:val="0"/>
    <w:pPr>
      <w:spacing w:line="240" w:lineRule="auto"/>
      <w:ind w:firstLine="420" w:firstLineChars="0"/>
    </w:pPr>
  </w:style>
  <w:style w:type="paragraph" w:customStyle="1" w:styleId="33">
    <w:name w:val="td1"/>
    <w:basedOn w:val="1"/>
    <w:next w:val="1"/>
    <w:qFormat/>
    <w:uiPriority w:val="0"/>
    <w:pPr>
      <w:widowControl/>
      <w:spacing w:before="280" w:after="280" w:line="300" w:lineRule="atLeast"/>
    </w:pPr>
    <w:rPr>
      <w:sz w:val="18"/>
    </w:rPr>
  </w:style>
  <w:style w:type="paragraph" w:styleId="34">
    <w:name w:val="Plain Text"/>
    <w:basedOn w:val="1"/>
    <w:qFormat/>
    <w:locked/>
    <w:uiPriority w:val="0"/>
    <w:rPr>
      <w:rFonts w:ascii="宋体" w:hAnsi="Courier New"/>
      <w:szCs w:val="20"/>
    </w:rPr>
  </w:style>
  <w:style w:type="paragraph" w:styleId="35">
    <w:name w:val="Date"/>
    <w:basedOn w:val="1"/>
    <w:next w:val="1"/>
    <w:link w:val="66"/>
    <w:qFormat/>
    <w:uiPriority w:val="0"/>
    <w:pPr>
      <w:ind w:left="100" w:leftChars="2500"/>
    </w:pPr>
    <w:rPr>
      <w:kern w:val="0"/>
      <w:sz w:val="24"/>
      <w:szCs w:val="20"/>
    </w:rPr>
  </w:style>
  <w:style w:type="paragraph" w:styleId="36">
    <w:name w:val="Body Text Indent 2"/>
    <w:basedOn w:val="1"/>
    <w:qFormat/>
    <w:locked/>
    <w:uiPriority w:val="0"/>
    <w:pPr>
      <w:spacing w:line="300" w:lineRule="auto"/>
      <w:ind w:firstLine="570"/>
    </w:pPr>
    <w:rPr>
      <w:sz w:val="28"/>
      <w:szCs w:val="20"/>
    </w:rPr>
  </w:style>
  <w:style w:type="paragraph" w:styleId="37">
    <w:name w:val="Balloon Text"/>
    <w:basedOn w:val="1"/>
    <w:link w:val="67"/>
    <w:semiHidden/>
    <w:qFormat/>
    <w:uiPriority w:val="0"/>
    <w:rPr>
      <w:kern w:val="0"/>
      <w:sz w:val="18"/>
      <w:szCs w:val="20"/>
    </w:rPr>
  </w:style>
  <w:style w:type="paragraph" w:styleId="38">
    <w:name w:val="footer"/>
    <w:basedOn w:val="1"/>
    <w:link w:val="68"/>
    <w:qFormat/>
    <w:uiPriority w:val="99"/>
    <w:pPr>
      <w:tabs>
        <w:tab w:val="center" w:pos="4153"/>
        <w:tab w:val="right" w:pos="8306"/>
      </w:tabs>
      <w:snapToGrid w:val="0"/>
      <w:jc w:val="left"/>
    </w:pPr>
    <w:rPr>
      <w:kern w:val="0"/>
      <w:sz w:val="18"/>
      <w:szCs w:val="20"/>
    </w:rPr>
  </w:style>
  <w:style w:type="paragraph" w:styleId="39">
    <w:name w:val="header"/>
    <w:basedOn w:val="1"/>
    <w:link w:val="69"/>
    <w:qFormat/>
    <w:uiPriority w:val="0"/>
    <w:pPr>
      <w:pBdr>
        <w:bottom w:val="single" w:color="auto" w:sz="6" w:space="1"/>
      </w:pBdr>
      <w:tabs>
        <w:tab w:val="center" w:pos="4153"/>
        <w:tab w:val="right" w:pos="8306"/>
      </w:tabs>
      <w:snapToGrid w:val="0"/>
      <w:jc w:val="center"/>
    </w:pPr>
    <w:rPr>
      <w:kern w:val="0"/>
      <w:sz w:val="18"/>
      <w:szCs w:val="20"/>
    </w:rPr>
  </w:style>
  <w:style w:type="paragraph" w:styleId="40">
    <w:name w:val="toc 1"/>
    <w:basedOn w:val="1"/>
    <w:next w:val="1"/>
    <w:unhideWhenUsed/>
    <w:qFormat/>
    <w:locked/>
    <w:uiPriority w:val="0"/>
  </w:style>
  <w:style w:type="paragraph" w:styleId="41">
    <w:name w:val="Body Text Indent 3"/>
    <w:basedOn w:val="1"/>
    <w:qFormat/>
    <w:locked/>
    <w:uiPriority w:val="99"/>
    <w:pPr>
      <w:snapToGrid w:val="0"/>
      <w:spacing w:line="480" w:lineRule="exact"/>
      <w:ind w:firstLine="535" w:firstLineChars="191"/>
    </w:pPr>
    <w:rPr>
      <w:sz w:val="28"/>
    </w:rPr>
  </w:style>
  <w:style w:type="paragraph" w:styleId="42">
    <w:name w:val="toc 9"/>
    <w:basedOn w:val="1"/>
    <w:next w:val="1"/>
    <w:qFormat/>
    <w:locked/>
    <w:uiPriority w:val="39"/>
    <w:pPr>
      <w:ind w:left="1680"/>
      <w:jc w:val="left"/>
    </w:pPr>
    <w:rPr>
      <w:sz w:val="20"/>
      <w:szCs w:val="20"/>
    </w:rPr>
  </w:style>
  <w:style w:type="paragraph" w:styleId="43">
    <w:name w:val="Body Text 2"/>
    <w:basedOn w:val="1"/>
    <w:unhideWhenUsed/>
    <w:qFormat/>
    <w:locked/>
    <w:uiPriority w:val="0"/>
    <w:pPr>
      <w:spacing w:after="120" w:line="480" w:lineRule="auto"/>
    </w:pPr>
  </w:style>
  <w:style w:type="paragraph" w:styleId="44">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5">
    <w:name w:val="Normal (Web)"/>
    <w:basedOn w:val="1"/>
    <w:link w:val="70"/>
    <w:qFormat/>
    <w:uiPriority w:val="0"/>
    <w:pPr>
      <w:widowControl/>
      <w:spacing w:before="100" w:beforeAutospacing="1" w:after="100" w:afterAutospacing="1"/>
      <w:jc w:val="left"/>
    </w:pPr>
    <w:rPr>
      <w:rFonts w:ascii="宋体" w:hAnsi="宋体"/>
      <w:kern w:val="0"/>
      <w:sz w:val="24"/>
      <w:szCs w:val="20"/>
    </w:rPr>
  </w:style>
  <w:style w:type="paragraph" w:styleId="46">
    <w:name w:val="annotation subject"/>
    <w:basedOn w:val="25"/>
    <w:next w:val="25"/>
    <w:link w:val="71"/>
    <w:semiHidden/>
    <w:qFormat/>
    <w:uiPriority w:val="0"/>
    <w:rPr>
      <w:b/>
      <w:sz w:val="24"/>
      <w:szCs w:val="20"/>
    </w:rPr>
  </w:style>
  <w:style w:type="paragraph" w:styleId="47">
    <w:name w:val="Body Text First Indent"/>
    <w:basedOn w:val="27"/>
    <w:unhideWhenUsed/>
    <w:qFormat/>
    <w:locked/>
    <w:uiPriority w:val="99"/>
    <w:pPr>
      <w:ind w:firstLine="420" w:firstLineChars="100"/>
    </w:pPr>
  </w:style>
  <w:style w:type="table" w:styleId="49">
    <w:name w:val="Table Grid"/>
    <w:basedOn w:val="4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basedOn w:val="50"/>
    <w:qFormat/>
    <w:locked/>
    <w:uiPriority w:val="0"/>
    <w:rPr>
      <w:b/>
    </w:rPr>
  </w:style>
  <w:style w:type="character" w:styleId="52">
    <w:name w:val="page number"/>
    <w:qFormat/>
    <w:locked/>
    <w:uiPriority w:val="0"/>
  </w:style>
  <w:style w:type="character" w:styleId="53">
    <w:name w:val="Emphasis"/>
    <w:qFormat/>
    <w:locked/>
    <w:uiPriority w:val="20"/>
    <w:rPr>
      <w:i/>
    </w:rPr>
  </w:style>
  <w:style w:type="character" w:styleId="54">
    <w:name w:val="Hyperlink"/>
    <w:qFormat/>
    <w:locked/>
    <w:uiPriority w:val="0"/>
    <w:rPr>
      <w:color w:val="0000FF"/>
      <w:u w:val="single"/>
    </w:rPr>
  </w:style>
  <w:style w:type="character" w:styleId="55">
    <w:name w:val="annotation reference"/>
    <w:semiHidden/>
    <w:qFormat/>
    <w:uiPriority w:val="0"/>
    <w:rPr>
      <w:sz w:val="21"/>
    </w:rPr>
  </w:style>
  <w:style w:type="paragraph" w:customStyle="1" w:styleId="56">
    <w:name w:val="正文文字 6"/>
    <w:basedOn w:val="57"/>
    <w:next w:val="1"/>
    <w:qFormat/>
    <w:uiPriority w:val="0"/>
    <w:pPr>
      <w:widowControl w:val="0"/>
      <w:ind w:left="240"/>
      <w:jc w:val="both"/>
    </w:pPr>
    <w:rPr>
      <w:rFonts w:ascii="宋体"/>
      <w:b/>
      <w:bCs/>
      <w:kern w:val="2"/>
      <w:sz w:val="32"/>
      <w:szCs w:val="32"/>
      <w:lang w:val="en-US" w:eastAsia="zh-CN" w:bidi="ar-SA"/>
    </w:rPr>
  </w:style>
  <w:style w:type="paragraph" w:customStyle="1" w:styleId="57">
    <w:name w:val="图位置"/>
    <w:next w:val="58"/>
    <w:qFormat/>
    <w:uiPriority w:val="0"/>
    <w:pPr>
      <w:jc w:val="center"/>
    </w:pPr>
    <w:rPr>
      <w:rFonts w:ascii="Times New Roman" w:hAnsi="Times New Roman" w:eastAsia="宋体" w:cs="Times New Roman"/>
      <w:kern w:val="2"/>
      <w:sz w:val="24"/>
      <w:szCs w:val="21"/>
      <w:lang w:val="en-US" w:eastAsia="zh-CN" w:bidi="ar-SA"/>
    </w:rPr>
  </w:style>
  <w:style w:type="paragraph" w:customStyle="1" w:styleId="58">
    <w:name w:val="图题"/>
    <w:basedOn w:val="1"/>
    <w:next w:val="1"/>
    <w:qFormat/>
    <w:uiPriority w:val="0"/>
    <w:pPr>
      <w:jc w:val="center"/>
    </w:pPr>
    <w:rPr>
      <w:rFonts w:ascii="宋体" w:hAnsi="宋体" w:eastAsia="黑体"/>
      <w:b/>
    </w:rPr>
  </w:style>
  <w:style w:type="paragraph" w:customStyle="1" w:styleId="59">
    <w:name w:val="图表名称"/>
    <w:basedOn w:val="47"/>
    <w:next w:val="60"/>
    <w:qFormat/>
    <w:uiPriority w:val="0"/>
    <w:pPr>
      <w:tabs>
        <w:tab w:val="left" w:pos="3240"/>
        <w:tab w:val="left" w:pos="6120"/>
      </w:tabs>
      <w:adjustRightInd w:val="0"/>
      <w:snapToGrid w:val="0"/>
      <w:ind w:left="0" w:firstLine="0" w:firstLineChars="0"/>
      <w:jc w:val="center"/>
    </w:pPr>
    <w:rPr>
      <w:rFonts w:ascii="Times New Roman" w:hAnsi="Times New Roman"/>
      <w:b/>
      <w:bCs/>
      <w:kern w:val="2"/>
      <w:sz w:val="24"/>
      <w:szCs w:val="28"/>
      <w:lang w:eastAsia="zh-CN"/>
    </w:rPr>
  </w:style>
  <w:style w:type="paragraph" w:customStyle="1" w:styleId="60">
    <w:name w:val="报告正文"/>
    <w:basedOn w:val="61"/>
    <w:qFormat/>
    <w:uiPriority w:val="1"/>
    <w:pPr>
      <w:ind w:firstLine="200"/>
      <w:jc w:val="both"/>
    </w:pPr>
    <w:rPr>
      <w:kern w:val="2"/>
      <w:szCs w:val="22"/>
    </w:rPr>
  </w:style>
  <w:style w:type="paragraph" w:styleId="61">
    <w:name w:val="List Paragraph"/>
    <w:basedOn w:val="1"/>
    <w:qFormat/>
    <w:uiPriority w:val="1"/>
    <w:pPr>
      <w:ind w:left="1057" w:firstLine="480"/>
    </w:pPr>
    <w:rPr>
      <w:rFonts w:ascii="宋体" w:hAnsi="宋体" w:eastAsia="宋体" w:cs="宋体"/>
      <w:lang w:val="en-US" w:eastAsia="zh-CN" w:bidi="ar-SA"/>
    </w:rPr>
  </w:style>
  <w:style w:type="character" w:customStyle="1" w:styleId="62">
    <w:name w:val="标题 2 字符"/>
    <w:link w:val="19"/>
    <w:semiHidden/>
    <w:qFormat/>
    <w:uiPriority w:val="0"/>
    <w:rPr>
      <w:rFonts w:ascii="等线 Light" w:hAnsi="等线 Light" w:eastAsia="等线 Light" w:cs="Times New Roman"/>
      <w:b/>
      <w:bCs/>
      <w:kern w:val="2"/>
      <w:sz w:val="32"/>
      <w:szCs w:val="32"/>
    </w:rPr>
  </w:style>
  <w:style w:type="character" w:customStyle="1" w:styleId="63">
    <w:name w:val="正文文本缩进 字符"/>
    <w:link w:val="15"/>
    <w:semiHidden/>
    <w:qFormat/>
    <w:locked/>
    <w:uiPriority w:val="0"/>
    <w:rPr>
      <w:rFonts w:ascii="Times New Roman" w:hAnsi="Times New Roman" w:eastAsia="宋体"/>
      <w:sz w:val="24"/>
    </w:rPr>
  </w:style>
  <w:style w:type="character" w:customStyle="1" w:styleId="64">
    <w:name w:val="正文文本 字符"/>
    <w:link w:val="27"/>
    <w:qFormat/>
    <w:locked/>
    <w:uiPriority w:val="0"/>
    <w:rPr>
      <w:sz w:val="18"/>
    </w:rPr>
  </w:style>
  <w:style w:type="character" w:customStyle="1" w:styleId="65">
    <w:name w:val="批注文字 字符"/>
    <w:link w:val="25"/>
    <w:qFormat/>
    <w:locked/>
    <w:uiPriority w:val="0"/>
    <w:rPr>
      <w:rFonts w:ascii="Times New Roman" w:hAnsi="Times New Roman" w:eastAsia="宋体"/>
      <w:sz w:val="24"/>
    </w:rPr>
  </w:style>
  <w:style w:type="character" w:customStyle="1" w:styleId="66">
    <w:name w:val="日期 字符1"/>
    <w:link w:val="35"/>
    <w:qFormat/>
    <w:locked/>
    <w:uiPriority w:val="0"/>
    <w:rPr>
      <w:rFonts w:ascii="Times New Roman" w:hAnsi="Times New Roman" w:eastAsia="宋体"/>
      <w:sz w:val="24"/>
    </w:rPr>
  </w:style>
  <w:style w:type="character" w:customStyle="1" w:styleId="67">
    <w:name w:val="批注框文本 字符"/>
    <w:link w:val="37"/>
    <w:semiHidden/>
    <w:qFormat/>
    <w:locked/>
    <w:uiPriority w:val="0"/>
    <w:rPr>
      <w:rFonts w:ascii="Times New Roman" w:hAnsi="Times New Roman" w:eastAsia="宋体"/>
      <w:sz w:val="18"/>
    </w:rPr>
  </w:style>
  <w:style w:type="character" w:customStyle="1" w:styleId="68">
    <w:name w:val="页脚 字符1"/>
    <w:link w:val="38"/>
    <w:qFormat/>
    <w:locked/>
    <w:uiPriority w:val="99"/>
    <w:rPr>
      <w:sz w:val="18"/>
    </w:rPr>
  </w:style>
  <w:style w:type="character" w:customStyle="1" w:styleId="69">
    <w:name w:val="页眉 字符"/>
    <w:link w:val="39"/>
    <w:qFormat/>
    <w:locked/>
    <w:uiPriority w:val="0"/>
    <w:rPr>
      <w:sz w:val="18"/>
    </w:rPr>
  </w:style>
  <w:style w:type="character" w:customStyle="1" w:styleId="70">
    <w:name w:val="普通(网站) 字符"/>
    <w:link w:val="45"/>
    <w:qFormat/>
    <w:locked/>
    <w:uiPriority w:val="0"/>
    <w:rPr>
      <w:rFonts w:ascii="宋体" w:hAnsi="宋体" w:eastAsia="宋体"/>
      <w:sz w:val="24"/>
    </w:rPr>
  </w:style>
  <w:style w:type="character" w:customStyle="1" w:styleId="71">
    <w:name w:val="批注主题 字符"/>
    <w:link w:val="46"/>
    <w:semiHidden/>
    <w:qFormat/>
    <w:locked/>
    <w:uiPriority w:val="0"/>
    <w:rPr>
      <w:rFonts w:ascii="Times New Roman" w:hAnsi="Times New Roman" w:eastAsia="宋体"/>
      <w:b/>
      <w:kern w:val="2"/>
      <w:sz w:val="24"/>
    </w:rPr>
  </w:style>
  <w:style w:type="paragraph" w:customStyle="1" w:styleId="72">
    <w:name w:val="TT标题"/>
    <w:basedOn w:val="1"/>
    <w:qFormat/>
    <w:uiPriority w:val="0"/>
    <w:pPr>
      <w:widowControl/>
      <w:jc w:val="center"/>
    </w:pPr>
    <w:rPr>
      <w:b/>
      <w:kern w:val="0"/>
      <w:sz w:val="24"/>
      <w:szCs w:val="20"/>
    </w:rPr>
  </w:style>
  <w:style w:type="paragraph" w:customStyle="1" w:styleId="73">
    <w:name w:val="Default1"/>
    <w:next w:val="7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正文样式1"/>
    <w:basedOn w:val="1"/>
    <w:next w:val="1"/>
    <w:qFormat/>
    <w:uiPriority w:val="0"/>
    <w:pPr>
      <w:widowControl/>
      <w:ind w:firstLine="510"/>
    </w:pPr>
    <w:rPr>
      <w:rFonts w:ascii="Tahoma" w:hAnsi="Tahoma" w:eastAsia="Tahoma" w:cs="Tahoma"/>
      <w:kern w:val="24"/>
    </w:rPr>
  </w:style>
  <w:style w:type="paragraph" w:customStyle="1" w:styleId="75">
    <w:name w:val="标题2"/>
    <w:basedOn w:val="19"/>
    <w:next w:val="1"/>
    <w:qFormat/>
    <w:uiPriority w:val="0"/>
    <w:pPr>
      <w:numPr>
        <w:ilvl w:val="1"/>
        <w:numId w:val="5"/>
      </w:numPr>
      <w:spacing w:before="0" w:after="0" w:line="440" w:lineRule="exact"/>
    </w:pPr>
    <w:rPr>
      <w:kern w:val="0"/>
      <w:sz w:val="28"/>
    </w:rPr>
  </w:style>
  <w:style w:type="paragraph" w:customStyle="1" w:styleId="76">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77">
    <w:name w:val="xl27"/>
    <w:basedOn w:val="1"/>
    <w:qFormat/>
    <w:uiPriority w:val="0"/>
    <w:pPr>
      <w:widowControl/>
      <w:pBdr>
        <w:bottom w:val="single" w:color="auto" w:sz="4" w:space="0"/>
        <w:right w:val="single" w:color="auto" w:sz="4" w:space="0"/>
      </w:pBdr>
      <w:spacing w:beforeAutospacing="1" w:afterAutospacing="1"/>
      <w:jc w:val="center"/>
    </w:pPr>
    <w:rPr>
      <w:kern w:val="0"/>
      <w:szCs w:val="21"/>
    </w:rPr>
  </w:style>
  <w:style w:type="paragraph" w:customStyle="1" w:styleId="78">
    <w:name w:val="我的表格"/>
    <w:basedOn w:val="4"/>
    <w:next w:val="79"/>
    <w:qFormat/>
    <w:uiPriority w:val="0"/>
    <w:pPr>
      <w:adjustRightInd w:val="0"/>
      <w:snapToGrid w:val="0"/>
      <w:spacing w:before="280" w:after="290"/>
      <w:jc w:val="center"/>
    </w:pPr>
    <w:rPr>
      <w:rFonts w:ascii="宋体" w:hAnsi="宋体" w:cs="宋体"/>
      <w:szCs w:val="21"/>
    </w:rPr>
  </w:style>
  <w:style w:type="paragraph" w:customStyle="1" w:styleId="79">
    <w:name w:val="正文1"/>
    <w:basedOn w:val="1"/>
    <w:qFormat/>
    <w:uiPriority w:val="99"/>
    <w:pPr>
      <w:widowControl/>
      <w:tabs>
        <w:tab w:val="left" w:pos="432"/>
      </w:tabs>
      <w:adjustRightInd w:val="0"/>
      <w:spacing w:line="480" w:lineRule="exact"/>
      <w:jc w:val="center"/>
      <w:textAlignment w:val="baseline"/>
    </w:pPr>
    <w:rPr>
      <w:rFonts w:ascii="宋体" w:hAnsi="Times New Roman"/>
      <w:kern w:val="0"/>
      <w:sz w:val="28"/>
      <w:szCs w:val="20"/>
    </w:rPr>
  </w:style>
  <w:style w:type="paragraph" w:customStyle="1" w:styleId="80">
    <w:name w:val="样式8"/>
    <w:basedOn w:val="81"/>
    <w:qFormat/>
    <w:uiPriority w:val="0"/>
    <w:pPr>
      <w:tabs>
        <w:tab w:val="left" w:pos="567"/>
      </w:tabs>
    </w:pPr>
    <w:rPr>
      <w:snapToGrid w:val="0"/>
    </w:rPr>
  </w:style>
  <w:style w:type="paragraph" w:customStyle="1" w:styleId="81">
    <w:name w:val="样式 标题 1标题 11一、 + Times New Roman 行距: 固定值 23 磅"/>
    <w:basedOn w:val="18"/>
    <w:qFormat/>
    <w:uiPriority w:val="0"/>
    <w:pPr>
      <w:spacing w:before="0" w:after="0" w:line="460" w:lineRule="exact"/>
    </w:pPr>
    <w:rPr>
      <w:rFonts w:ascii="黑体" w:eastAsia="黑体" w:cs="宋体"/>
      <w:b w:val="0"/>
      <w:sz w:val="32"/>
      <w:szCs w:val="32"/>
    </w:rPr>
  </w:style>
  <w:style w:type="character" w:customStyle="1" w:styleId="82">
    <w:name w:val="font11"/>
    <w:basedOn w:val="50"/>
    <w:qFormat/>
    <w:uiPriority w:val="0"/>
    <w:rPr>
      <w:rFonts w:hint="eastAsia" w:ascii="宋体" w:hAnsi="宋体" w:eastAsia="宋体" w:cs="宋体"/>
      <w:b/>
      <w:color w:val="000000"/>
      <w:sz w:val="18"/>
      <w:szCs w:val="18"/>
      <w:u w:val="none"/>
    </w:rPr>
  </w:style>
  <w:style w:type="character" w:customStyle="1" w:styleId="83">
    <w:name w:val="页脚 字符"/>
    <w:qFormat/>
    <w:uiPriority w:val="99"/>
  </w:style>
  <w:style w:type="character" w:customStyle="1" w:styleId="84">
    <w:name w:val="日期 字符"/>
    <w:semiHidden/>
    <w:qFormat/>
    <w:uiPriority w:val="0"/>
    <w:rPr>
      <w:rFonts w:ascii="Times New Roman" w:hAnsi="Times New Roman" w:eastAsia="宋体"/>
      <w:sz w:val="24"/>
    </w:rPr>
  </w:style>
  <w:style w:type="character" w:customStyle="1" w:styleId="85">
    <w:name w:val="正文文本 字符1"/>
    <w:semiHidden/>
    <w:qFormat/>
    <w:uiPriority w:val="0"/>
    <w:rPr>
      <w:rFonts w:ascii="Times New Roman" w:hAnsi="Times New Roman" w:eastAsia="宋体"/>
      <w:sz w:val="24"/>
    </w:rPr>
  </w:style>
  <w:style w:type="character" w:customStyle="1" w:styleId="86">
    <w:name w:val="批注文字 字符1"/>
    <w:semiHidden/>
    <w:qFormat/>
    <w:uiPriority w:val="0"/>
    <w:rPr>
      <w:rFonts w:ascii="Times New Roman" w:hAnsi="Times New Roman" w:eastAsia="宋体"/>
      <w:sz w:val="24"/>
    </w:rPr>
  </w:style>
  <w:style w:type="character" w:customStyle="1" w:styleId="87">
    <w:name w:val="表格 Char"/>
    <w:link w:val="88"/>
    <w:qFormat/>
    <w:locked/>
    <w:uiPriority w:val="0"/>
    <w:rPr>
      <w:rFonts w:ascii="宋体"/>
      <w:sz w:val="21"/>
    </w:rPr>
  </w:style>
  <w:style w:type="paragraph" w:customStyle="1" w:styleId="88">
    <w:name w:val="表格"/>
    <w:basedOn w:val="24"/>
    <w:next w:val="1"/>
    <w:link w:val="87"/>
    <w:qFormat/>
    <w:uiPriority w:val="0"/>
    <w:pPr>
      <w:adjustRightInd w:val="0"/>
      <w:snapToGrid w:val="0"/>
      <w:spacing w:beforeLines="10" w:afterLines="10" w:line="259" w:lineRule="auto"/>
      <w:jc w:val="center"/>
    </w:pPr>
    <w:rPr>
      <w:rFonts w:ascii="宋体"/>
      <w:kern w:val="0"/>
      <w:szCs w:val="20"/>
    </w:rPr>
  </w:style>
  <w:style w:type="paragraph" w:customStyle="1" w:styleId="89">
    <w:name w:val="Lux 正文"/>
    <w:basedOn w:val="1"/>
    <w:qFormat/>
    <w:uiPriority w:val="0"/>
    <w:pPr>
      <w:spacing w:before="80" w:after="80" w:line="500" w:lineRule="exact"/>
      <w:ind w:firstLine="200" w:firstLineChars="200"/>
    </w:pPr>
    <w:rPr>
      <w:kern w:val="0"/>
      <w:sz w:val="24"/>
      <w:szCs w:val="20"/>
    </w:rPr>
  </w:style>
  <w:style w:type="paragraph" w:customStyle="1" w:styleId="90">
    <w:name w:val="0表格内容"/>
    <w:basedOn w:val="1"/>
    <w:qFormat/>
    <w:uiPriority w:val="0"/>
    <w:pPr>
      <w:jc w:val="center"/>
    </w:pPr>
    <w:rPr>
      <w:szCs w:val="24"/>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2">
    <w:name w:val="正文_7"/>
    <w:qFormat/>
    <w:uiPriority w:val="0"/>
    <w:pPr>
      <w:widowControl w:val="0"/>
      <w:jc w:val="both"/>
    </w:pPr>
    <w:rPr>
      <w:rFonts w:ascii="Calibri" w:hAnsi="Calibri" w:eastAsia="宋体" w:cs="Times New Roman"/>
      <w:kern w:val="2"/>
      <w:sz w:val="21"/>
      <w:lang w:val="en-US" w:eastAsia="zh-CN" w:bidi="ar-SA"/>
    </w:rPr>
  </w:style>
  <w:style w:type="paragraph" w:customStyle="1" w:styleId="93">
    <w:name w:val="TT表格文字"/>
    <w:basedOn w:val="1"/>
    <w:qFormat/>
    <w:uiPriority w:val="0"/>
    <w:pPr>
      <w:jc w:val="center"/>
    </w:pPr>
    <w:rPr>
      <w:rFonts w:ascii="Times New Roman" w:hAnsi="Times New Roman"/>
      <w:sz w:val="21"/>
      <w:szCs w:val="20"/>
    </w:rPr>
  </w:style>
  <w:style w:type="paragraph" w:customStyle="1" w:styleId="94">
    <w:name w:val="样式 小四 行距: 1.5 倍行距"/>
    <w:basedOn w:val="20"/>
    <w:qFormat/>
    <w:uiPriority w:val="0"/>
    <w:pPr>
      <w:spacing w:line="360" w:lineRule="auto"/>
    </w:pPr>
    <w:rPr>
      <w:rFonts w:eastAsia="宋体" w:cs="宋体"/>
      <w:sz w:val="24"/>
      <w:szCs w:val="20"/>
    </w:rPr>
  </w:style>
  <w:style w:type="paragraph" w:customStyle="1" w:styleId="95">
    <w:name w:val="Other|2"/>
    <w:basedOn w:val="1"/>
    <w:qFormat/>
    <w:uiPriority w:val="0"/>
    <w:pPr>
      <w:widowControl w:val="0"/>
      <w:shd w:val="clear" w:color="auto" w:fill="auto"/>
      <w:spacing w:before="80"/>
    </w:pPr>
    <w:rPr>
      <w:rFonts w:ascii="宋体" w:hAnsi="宋体" w:eastAsia="宋体" w:cs="宋体"/>
      <w:sz w:val="19"/>
      <w:szCs w:val="19"/>
      <w:u w:val="none"/>
      <w:shd w:val="clear" w:color="auto" w:fill="auto"/>
      <w:lang w:val="zh-TW" w:eastAsia="zh-TW" w:bidi="zh-TW"/>
    </w:rPr>
  </w:style>
  <w:style w:type="paragraph" w:customStyle="1" w:styleId="96">
    <w:name w:val="Body text|1"/>
    <w:basedOn w:val="1"/>
    <w:qFormat/>
    <w:uiPriority w:val="0"/>
    <w:pPr>
      <w:widowControl w:val="0"/>
      <w:shd w:val="clear" w:color="auto" w:fill="auto"/>
      <w:spacing w:line="408" w:lineRule="auto"/>
      <w:ind w:firstLine="400"/>
    </w:pPr>
    <w:rPr>
      <w:rFonts w:ascii="宋体" w:hAnsi="宋体" w:eastAsia="宋体" w:cs="宋体"/>
      <w:u w:val="none"/>
      <w:shd w:val="clear" w:color="auto" w:fill="auto"/>
      <w:lang w:val="zh-TW" w:eastAsia="zh-TW" w:bidi="zh-TW"/>
    </w:rPr>
  </w:style>
  <w:style w:type="paragraph" w:customStyle="1" w:styleId="97">
    <w:name w:val="标题 31"/>
    <w:basedOn w:val="1"/>
    <w:next w:val="1"/>
    <w:qFormat/>
    <w:uiPriority w:val="0"/>
    <w:pPr>
      <w:keepNext/>
      <w:keepLines/>
      <w:spacing w:before="260" w:after="260" w:line="416" w:lineRule="auto"/>
      <w:outlineLvl w:val="2"/>
    </w:pPr>
    <w:rPr>
      <w:b/>
      <w:bCs/>
      <w:sz w:val="32"/>
      <w:szCs w:val="32"/>
    </w:rPr>
  </w:style>
  <w:style w:type="paragraph" w:customStyle="1" w:styleId="98">
    <w:name w:val="Heading #1|1"/>
    <w:basedOn w:val="1"/>
    <w:qFormat/>
    <w:uiPriority w:val="0"/>
    <w:pPr>
      <w:widowControl w:val="0"/>
      <w:shd w:val="clear" w:color="auto" w:fill="auto"/>
      <w:spacing w:line="468" w:lineRule="exact"/>
      <w:ind w:left="1360"/>
      <w:outlineLvl w:val="0"/>
    </w:pPr>
    <w:rPr>
      <w:rFonts w:ascii="宋体" w:hAnsi="宋体" w:eastAsia="宋体" w:cs="宋体"/>
      <w:b/>
      <w:bCs/>
      <w:u w:val="none"/>
      <w:shd w:val="clear" w:color="auto" w:fill="auto"/>
      <w:lang w:val="zh-TW" w:eastAsia="zh-TW" w:bidi="zh-TW"/>
    </w:rPr>
  </w:style>
  <w:style w:type="paragraph" w:customStyle="1" w:styleId="99">
    <w:name w:val="Table caption|1"/>
    <w:basedOn w:val="1"/>
    <w:qFormat/>
    <w:uiPriority w:val="0"/>
    <w:pPr>
      <w:widowControl w:val="0"/>
      <w:shd w:val="clear" w:color="auto" w:fill="auto"/>
      <w:spacing w:line="468" w:lineRule="exact"/>
      <w:ind w:firstLine="480"/>
    </w:pPr>
    <w:rPr>
      <w:rFonts w:ascii="宋体" w:hAnsi="宋体" w:eastAsia="宋体" w:cs="宋体"/>
      <w:u w:val="none"/>
      <w:shd w:val="clear" w:color="auto" w:fill="auto"/>
      <w:lang w:val="zh-TW" w:eastAsia="zh-TW" w:bidi="zh-TW"/>
    </w:rPr>
  </w:style>
  <w:style w:type="paragraph" w:customStyle="1" w:styleId="100">
    <w:name w:val="Other|1"/>
    <w:basedOn w:val="1"/>
    <w:qFormat/>
    <w:uiPriority w:val="0"/>
    <w:pPr>
      <w:widowControl w:val="0"/>
      <w:shd w:val="clear" w:color="auto" w:fill="auto"/>
      <w:spacing w:after="70" w:line="410" w:lineRule="auto"/>
      <w:ind w:firstLine="400"/>
    </w:pPr>
    <w:rPr>
      <w:rFonts w:ascii="宋体" w:hAnsi="宋体" w:eastAsia="宋体" w:cs="宋体"/>
      <w:u w:val="none"/>
      <w:shd w:val="clear" w:color="auto" w:fill="auto"/>
      <w:lang w:val="zh-TW" w:eastAsia="zh-TW" w:bidi="zh-TW"/>
    </w:rPr>
  </w:style>
  <w:style w:type="paragraph" w:customStyle="1" w:styleId="101">
    <w:name w:val="表格字体"/>
    <w:basedOn w:val="1"/>
    <w:semiHidden/>
    <w:qFormat/>
    <w:uiPriority w:val="0"/>
    <w:pPr>
      <w:adjustRightInd w:val="0"/>
      <w:spacing w:beforeLines="20" w:afterLines="20"/>
      <w:jc w:val="center"/>
      <w:textAlignment w:val="center"/>
    </w:pPr>
    <w:rPr>
      <w:szCs w:val="21"/>
    </w:rPr>
  </w:style>
  <w:style w:type="paragraph" w:customStyle="1" w:styleId="102">
    <w:name w:val="mm标题3"/>
    <w:basedOn w:val="1"/>
    <w:qFormat/>
    <w:uiPriority w:val="0"/>
    <w:pPr>
      <w:widowControl/>
      <w:spacing w:line="480" w:lineRule="exact"/>
      <w:ind w:firstLine="200" w:firstLineChars="200"/>
      <w:jc w:val="left"/>
    </w:pPr>
    <w:rPr>
      <w:rFonts w:cs="宋体"/>
      <w:b/>
      <w:bCs/>
      <w:color w:val="000000"/>
      <w:sz w:val="24"/>
      <w:szCs w:val="20"/>
    </w:rPr>
  </w:style>
  <w:style w:type="paragraph" w:customStyle="1" w:styleId="103">
    <w:name w:val="表格文字01"/>
    <w:basedOn w:val="1"/>
    <w:qFormat/>
    <w:uiPriority w:val="0"/>
    <w:pPr>
      <w:tabs>
        <w:tab w:val="left" w:pos="480"/>
      </w:tabs>
      <w:wordWrap w:val="0"/>
      <w:overflowPunct w:val="0"/>
      <w:topLinePunct/>
      <w:spacing w:line="360" w:lineRule="auto"/>
      <w:jc w:val="center"/>
    </w:pPr>
    <w:rPr>
      <w:rFonts w:ascii="Calibri" w:hAnsi="Calibri"/>
      <w:color w:val="000000"/>
      <w:sz w:val="24"/>
    </w:rPr>
  </w:style>
  <w:style w:type="paragraph" w:customStyle="1" w:styleId="104">
    <w:name w:val="表格1"/>
    <w:basedOn w:val="1"/>
    <w:next w:val="1"/>
    <w:qFormat/>
    <w:uiPriority w:val="0"/>
    <w:pPr>
      <w:adjustRightInd w:val="0"/>
      <w:spacing w:line="20" w:lineRule="atLeast"/>
      <w:jc w:val="center"/>
      <w:textAlignment w:val="center"/>
    </w:pPr>
    <w:rPr>
      <w:rFonts w:ascii="宋体"/>
      <w:kern w:val="0"/>
      <w:szCs w:val="20"/>
    </w:rPr>
  </w:style>
  <w:style w:type="paragraph" w:customStyle="1" w:styleId="105">
    <w:name w:val="TT正文"/>
    <w:basedOn w:val="1"/>
    <w:qFormat/>
    <w:uiPriority w:val="0"/>
    <w:pPr>
      <w:spacing w:line="360" w:lineRule="auto"/>
      <w:ind w:firstLine="200" w:firstLineChars="200"/>
    </w:pPr>
    <w:rPr>
      <w:sz w:val="24"/>
    </w:rPr>
  </w:style>
  <w:style w:type="paragraph" w:customStyle="1" w:styleId="106">
    <w:name w:val="【表头】"/>
    <w:basedOn w:val="1"/>
    <w:qFormat/>
    <w:uiPriority w:val="0"/>
    <w:pPr>
      <w:spacing w:after="0" w:line="360" w:lineRule="auto"/>
      <w:jc w:val="center"/>
    </w:pPr>
    <w:rPr>
      <w:rFonts w:ascii="Times New Roman" w:hAnsi="Times New Roman" w:eastAsia="宋体" w:cs="Arial"/>
      <w:b/>
      <w:sz w:val="24"/>
      <w:szCs w:val="20"/>
      <w:lang w:eastAsia="zh-CN"/>
    </w:rPr>
  </w:style>
  <w:style w:type="paragraph" w:customStyle="1" w:styleId="107">
    <w:name w:val="正 文"/>
    <w:qFormat/>
    <w:uiPriority w:val="0"/>
    <w:pPr>
      <w:widowControl w:val="0"/>
      <w:spacing w:line="480" w:lineRule="exact"/>
      <w:ind w:firstLine="471"/>
      <w:jc w:val="both"/>
    </w:pPr>
    <w:rPr>
      <w:rFonts w:ascii="Times New Roman" w:hAnsi="Times New Roman" w:eastAsia="Times New Roman" w:cs="Times New Roman"/>
      <w:kern w:val="2"/>
      <w:sz w:val="24"/>
      <w:szCs w:val="24"/>
      <w:lang w:val="en-US" w:eastAsia="zh-CN" w:bidi="ar-SA"/>
    </w:rPr>
  </w:style>
  <w:style w:type="paragraph" w:customStyle="1" w:styleId="108">
    <w:name w:val="表格内容jophy"/>
    <w:basedOn w:val="1"/>
    <w:qFormat/>
    <w:uiPriority w:val="0"/>
    <w:pPr>
      <w:adjustRightInd w:val="0"/>
      <w:snapToGrid w:val="0"/>
      <w:jc w:val="center"/>
    </w:pPr>
    <w:rPr>
      <w:szCs w:val="18"/>
    </w:rPr>
  </w:style>
  <w:style w:type="paragraph" w:customStyle="1" w:styleId="109">
    <w:name w:val="表格文字"/>
    <w:basedOn w:val="34"/>
    <w:qFormat/>
    <w:uiPriority w:val="0"/>
    <w:pPr>
      <w:adjustRightInd w:val="0"/>
      <w:snapToGrid w:val="0"/>
      <w:jc w:val="center"/>
    </w:pPr>
    <w:rPr>
      <w:sz w:val="21"/>
      <w:lang w:val="en-US" w:eastAsia="zh-CN" w:bidi="ar-SA"/>
    </w:rPr>
  </w:style>
  <w:style w:type="paragraph" w:customStyle="1" w:styleId="110">
    <w:name w:val="表格 32"/>
    <w:basedOn w:val="1"/>
    <w:qFormat/>
    <w:uiPriority w:val="0"/>
    <w:pPr>
      <w:autoSpaceDE w:val="0"/>
      <w:autoSpaceDN w:val="0"/>
      <w:adjustRightInd w:val="0"/>
      <w:jc w:val="center"/>
      <w:textAlignment w:val="baseline"/>
    </w:pPr>
    <w:rPr>
      <w:rFonts w:eastAsia="楷体_GB2312"/>
      <w:kern w:val="0"/>
      <w:sz w:val="24"/>
      <w:szCs w:val="20"/>
    </w:rPr>
  </w:style>
  <w:style w:type="paragraph" w:customStyle="1" w:styleId="111">
    <w:name w:val="Body text|2"/>
    <w:basedOn w:val="1"/>
    <w:qFormat/>
    <w:uiPriority w:val="0"/>
    <w:pPr>
      <w:widowControl w:val="0"/>
      <w:shd w:val="clear" w:color="auto" w:fill="auto"/>
      <w:jc w:val="center"/>
    </w:pPr>
    <w:rPr>
      <w:rFonts w:ascii="宋体" w:hAnsi="宋体" w:eastAsia="宋体" w:cs="宋体"/>
      <w:b/>
      <w:bCs/>
      <w:sz w:val="20"/>
      <w:szCs w:val="20"/>
      <w:u w:val="none"/>
      <w:shd w:val="clear" w:color="auto" w:fill="auto"/>
      <w:lang w:val="zh-TW" w:eastAsia="zh-TW" w:bidi="zh-TW"/>
    </w:rPr>
  </w:style>
  <w:style w:type="paragraph" w:customStyle="1" w:styleId="112">
    <w:name w:val="Table Paragraph"/>
    <w:basedOn w:val="1"/>
    <w:qFormat/>
    <w:uiPriority w:val="1"/>
    <w:pPr>
      <w:jc w:val="left"/>
    </w:pPr>
    <w:rPr>
      <w:rFonts w:ascii="Calibri" w:hAnsi="Calibri"/>
      <w:kern w:val="0"/>
      <w:sz w:val="22"/>
      <w:szCs w:val="22"/>
      <w:lang w:eastAsia="en-US"/>
    </w:rPr>
  </w:style>
  <w:style w:type="paragraph" w:customStyle="1" w:styleId="11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4">
    <w:name w:val="表 内容"/>
    <w:basedOn w:val="1"/>
    <w:qFormat/>
    <w:uiPriority w:val="0"/>
    <w:pPr>
      <w:spacing w:line="240" w:lineRule="atLeast"/>
      <w:jc w:val="center"/>
    </w:pPr>
    <w:rPr>
      <w:szCs w:val="21"/>
    </w:rPr>
  </w:style>
  <w:style w:type="paragraph" w:customStyle="1" w:styleId="115">
    <w:name w:val="文本正文"/>
    <w:basedOn w:val="1"/>
    <w:qFormat/>
    <w:uiPriority w:val="0"/>
    <w:pPr>
      <w:spacing w:line="360" w:lineRule="auto"/>
      <w:ind w:firstLine="480" w:firstLineChars="200"/>
    </w:pPr>
    <w:rPr>
      <w:sz w:val="24"/>
      <w:szCs w:val="24"/>
    </w:rPr>
  </w:style>
  <w:style w:type="paragraph" w:customStyle="1" w:styleId="116">
    <w:name w:val="表头，图名"/>
    <w:basedOn w:val="1"/>
    <w:qFormat/>
    <w:uiPriority w:val="0"/>
    <w:pPr>
      <w:jc w:val="center"/>
    </w:pPr>
    <w:rPr>
      <w:b/>
    </w:rPr>
  </w:style>
  <w:style w:type="paragraph" w:customStyle="1" w:styleId="117">
    <w:name w:val="!正文"/>
    <w:basedOn w:val="1"/>
    <w:qFormat/>
    <w:uiPriority w:val="0"/>
    <w:pPr>
      <w:spacing w:line="480" w:lineRule="exact"/>
      <w:ind w:firstLine="480"/>
    </w:pPr>
    <w:rPr>
      <w:rFonts w:hAnsi="宋体" w:cs="宋体"/>
    </w:rPr>
  </w:style>
  <w:style w:type="paragraph" w:customStyle="1" w:styleId="118">
    <w:name w:val="样式 表格 32 + 首行缩进:  2 字符"/>
    <w:basedOn w:val="110"/>
    <w:qFormat/>
    <w:uiPriority w:val="0"/>
    <w:pPr>
      <w:autoSpaceDE w:val="0"/>
      <w:autoSpaceDN w:val="0"/>
      <w:adjustRightInd w:val="0"/>
      <w:spacing w:line="0" w:lineRule="atLeast"/>
      <w:jc w:val="center"/>
      <w:textAlignment w:val="baseline"/>
    </w:pPr>
    <w:rPr>
      <w:kern w:val="0"/>
      <w:szCs w:val="21"/>
    </w:rPr>
  </w:style>
  <w:style w:type="paragraph" w:customStyle="1" w:styleId="119">
    <w:name w:val="报告表  段"/>
    <w:basedOn w:val="1"/>
    <w:qFormat/>
    <w:uiPriority w:val="0"/>
    <w:pPr>
      <w:snapToGrid/>
      <w:ind w:firstLine="505"/>
      <w:textAlignment w:val="baseline"/>
    </w:pPr>
    <w:rPr>
      <w:rFonts w:ascii="宋体" w:eastAsia="宋体"/>
      <w:sz w:val="24"/>
      <w:lang w:val="en-US" w:eastAsia="zh-CN" w:bidi="ar-SA"/>
    </w:rPr>
  </w:style>
  <w:style w:type="paragraph" w:customStyle="1" w:styleId="120">
    <w:name w:val="0正文"/>
    <w:basedOn w:val="1"/>
    <w:qFormat/>
    <w:uiPriority w:val="0"/>
    <w:pPr>
      <w:adjustRightInd w:val="0"/>
      <w:spacing w:line="360" w:lineRule="auto"/>
      <w:ind w:firstLine="480" w:firstLineChars="200"/>
    </w:pPr>
    <w:rPr>
      <w:sz w:val="24"/>
      <w:szCs w:val="24"/>
    </w:rPr>
  </w:style>
  <w:style w:type="paragraph" w:customStyle="1" w:styleId="121">
    <w:name w:val="表格标题1111"/>
    <w:basedOn w:val="1"/>
    <w:semiHidden/>
    <w:qFormat/>
    <w:uiPriority w:val="0"/>
    <w:pPr>
      <w:jc w:val="center"/>
    </w:pPr>
    <w:rPr>
      <w:rFonts w:cs="宋体"/>
      <w:b/>
      <w:bCs/>
      <w:color w:val="000000"/>
      <w:sz w:val="24"/>
      <w:szCs w:val="20"/>
    </w:rPr>
  </w:style>
  <w:style w:type="paragraph" w:customStyle="1" w:styleId="122">
    <w:name w:val="TTT"/>
    <w:basedOn w:val="1"/>
    <w:qFormat/>
    <w:uiPriority w:val="0"/>
    <w:pPr>
      <w:tabs>
        <w:tab w:val="left" w:pos="480"/>
      </w:tabs>
      <w:spacing w:line="360" w:lineRule="auto"/>
      <w:ind w:firstLine="200" w:firstLineChars="200"/>
      <w:jc w:val="both"/>
    </w:pPr>
    <w:rPr>
      <w:rFonts w:ascii="Times New Roman" w:hAnsi="Times New Roman" w:cs="Times New Roman"/>
      <w:b/>
    </w:rPr>
  </w:style>
  <w:style w:type="paragraph" w:customStyle="1" w:styleId="123">
    <w:name w:val="Heading 3"/>
    <w:basedOn w:val="1"/>
    <w:qFormat/>
    <w:uiPriority w:val="1"/>
    <w:pPr>
      <w:ind w:left="700"/>
      <w:outlineLvl w:val="3"/>
    </w:pPr>
    <w:rPr>
      <w:rFonts w:ascii="宋体" w:hAnsi="宋体" w:eastAsia="宋体" w:cs="宋体"/>
      <w:b/>
      <w:bCs/>
      <w:sz w:val="24"/>
      <w:szCs w:val="24"/>
      <w:lang w:val="en-US" w:eastAsia="zh-CN" w:bidi="ar-SA"/>
    </w:rPr>
  </w:style>
  <w:style w:type="paragraph" w:customStyle="1" w:styleId="124">
    <w:name w:val="【正文】"/>
    <w:basedOn w:val="1"/>
    <w:link w:val="125"/>
    <w:qFormat/>
    <w:uiPriority w:val="0"/>
    <w:pPr>
      <w:adjustRightInd w:val="0"/>
      <w:snapToGrid w:val="0"/>
      <w:spacing w:line="360" w:lineRule="auto"/>
      <w:ind w:firstLine="200" w:firstLineChars="200"/>
      <w:jc w:val="left"/>
    </w:pPr>
    <w:rPr>
      <w:color w:val="000000"/>
      <w:sz w:val="24"/>
    </w:rPr>
  </w:style>
  <w:style w:type="character" w:customStyle="1" w:styleId="125">
    <w:name w:val="【正文】 Char"/>
    <w:link w:val="124"/>
    <w:qFormat/>
    <w:uiPriority w:val="0"/>
    <w:rPr>
      <w:color w:val="000000"/>
      <w:sz w:val="24"/>
    </w:rPr>
  </w:style>
  <w:style w:type="paragraph" w:customStyle="1" w:styleId="126">
    <w:name w:val="缩进"/>
    <w:basedOn w:val="1"/>
    <w:qFormat/>
    <w:uiPriority w:val="0"/>
    <w:pPr>
      <w:tabs>
        <w:tab w:val="left" w:pos="-52"/>
      </w:tabs>
      <w:spacing w:line="400" w:lineRule="atLeast"/>
      <w:ind w:right="-4" w:firstLine="425"/>
    </w:pPr>
    <w:rPr>
      <w:rFonts w:ascii="宋体" w:hAnsi="宋体"/>
      <w:sz w:val="24"/>
    </w:rPr>
  </w:style>
  <w:style w:type="paragraph" w:customStyle="1" w:styleId="127">
    <w:name w:val="表1表2"/>
    <w:basedOn w:val="1"/>
    <w:qFormat/>
    <w:uiPriority w:val="0"/>
    <w:pPr>
      <w:autoSpaceDE w:val="0"/>
      <w:autoSpaceDN w:val="0"/>
      <w:snapToGrid/>
      <w:spacing w:line="240" w:lineRule="auto"/>
      <w:jc w:val="center"/>
      <w:textAlignment w:val="center"/>
    </w:pPr>
    <w:rPr>
      <w:rFonts w:eastAsia="仿宋体"/>
      <w:kern w:val="0"/>
      <w:sz w:val="24"/>
      <w:szCs w:val="20"/>
    </w:rPr>
  </w:style>
  <w:style w:type="paragraph" w:customStyle="1" w:styleId="128">
    <w:name w:val="样式 正文缩进正文（首行缩进两字） Char Char Char Char Char Char正文（首行缩进两字） Char..."/>
    <w:basedOn w:val="24"/>
    <w:qFormat/>
    <w:uiPriority w:val="0"/>
    <w:pPr>
      <w:ind w:firstLine="480"/>
    </w:pPr>
    <w:rPr>
      <w:rFonts w:ascii="宋体" w:hAnsi="宋体" w:eastAsia="宋体"/>
      <w:color w:val="000000"/>
      <w:szCs w:val="20"/>
    </w:rPr>
  </w:style>
  <w:style w:type="paragraph" w:customStyle="1" w:styleId="129">
    <w:name w:val="mm正文"/>
    <w:basedOn w:val="1"/>
    <w:qFormat/>
    <w:uiPriority w:val="0"/>
    <w:pPr>
      <w:spacing w:line="480" w:lineRule="exact"/>
      <w:ind w:firstLine="200" w:firstLineChars="200"/>
    </w:pPr>
    <w:rPr>
      <w:rFonts w:cs="宋体"/>
      <w:color w:val="000000"/>
    </w:rPr>
  </w:style>
  <w:style w:type="paragraph" w:customStyle="1" w:styleId="130">
    <w:name w:val="WPSOffice手动目录 1"/>
    <w:qFormat/>
    <w:uiPriority w:val="0"/>
    <w:rPr>
      <w:rFonts w:ascii="Times New Roman" w:hAnsi="Times New Roman" w:eastAsia="宋体" w:cs="Times New Roman"/>
      <w:lang w:val="en-US" w:eastAsia="zh-CN" w:bidi="ar-SA"/>
    </w:rPr>
  </w:style>
  <w:style w:type="table" w:customStyle="1" w:styleId="131">
    <w:name w:val="网格型1"/>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2">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33">
    <w:name w:val="0表格标题"/>
    <w:basedOn w:val="1"/>
    <w:qFormat/>
    <w:uiPriority w:val="0"/>
    <w:pPr>
      <w:spacing w:before="156" w:beforeLines="50"/>
      <w:jc w:val="center"/>
    </w:pPr>
    <w:rPr>
      <w:b/>
      <w:sz w:val="24"/>
    </w:rPr>
  </w:style>
  <w:style w:type="paragraph" w:customStyle="1" w:styleId="134">
    <w:name w:val="B表内"/>
    <w:basedOn w:val="1"/>
    <w:qFormat/>
    <w:uiPriority w:val="0"/>
    <w:pPr>
      <w:spacing w:line="0" w:lineRule="atLeast"/>
      <w:jc w:val="center"/>
    </w:pPr>
    <w:rPr>
      <w:rFonts w:cs="宋体"/>
    </w:rPr>
  </w:style>
  <w:style w:type="character" w:customStyle="1" w:styleId="135">
    <w:name w:val="NormalCharacter"/>
    <w:qFormat/>
    <w:uiPriority w:val="0"/>
  </w:style>
  <w:style w:type="paragraph" w:customStyle="1" w:styleId="136">
    <w:name w:val="Table Text"/>
    <w:basedOn w:val="1"/>
    <w:semiHidden/>
    <w:qFormat/>
    <w:uiPriority w:val="0"/>
    <w:rPr>
      <w:rFonts w:ascii="宋体" w:hAnsi="宋体" w:eastAsia="宋体" w:cs="宋体"/>
      <w:sz w:val="20"/>
      <w:szCs w:val="20"/>
      <w:lang w:val="en-US" w:eastAsia="en-US" w:bidi="ar-SA"/>
    </w:rPr>
  </w:style>
  <w:style w:type="paragraph" w:customStyle="1" w:styleId="137">
    <w:name w:val="样式 正文首行缩进:  2 字符 + 首行缩进:  2 字符"/>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138">
    <w:name w:val="J表格"/>
    <w:basedOn w:val="139"/>
    <w:qFormat/>
    <w:uiPriority w:val="0"/>
    <w:pPr>
      <w:spacing w:line="240" w:lineRule="auto"/>
      <w:ind w:firstLine="0" w:firstLineChars="0"/>
      <w:jc w:val="center"/>
    </w:pPr>
    <w:rPr>
      <w:sz w:val="21"/>
    </w:rPr>
  </w:style>
  <w:style w:type="paragraph" w:customStyle="1" w:styleId="139">
    <w:name w:val="J"/>
    <w:basedOn w:val="29"/>
    <w:qFormat/>
    <w:uiPriority w:val="0"/>
    <w:pPr>
      <w:autoSpaceDE w:val="0"/>
      <w:autoSpaceDN w:val="0"/>
      <w:adjustRightInd w:val="0"/>
      <w:snapToGrid w:val="0"/>
      <w:spacing w:after="0"/>
      <w:ind w:left="0" w:leftChars="0" w:right="0" w:rightChars="0" w:firstLine="200" w:firstLineChars="200"/>
    </w:pPr>
  </w:style>
  <w:style w:type="character" w:customStyle="1" w:styleId="140">
    <w:name w:val="font21"/>
    <w:basedOn w:val="50"/>
    <w:qFormat/>
    <w:uiPriority w:val="0"/>
    <w:rPr>
      <w:rFonts w:hint="eastAsia" w:ascii="宋体" w:hAnsi="宋体" w:eastAsia="宋体" w:cs="宋体"/>
      <w:color w:val="000000"/>
      <w:sz w:val="21"/>
      <w:szCs w:val="21"/>
      <w:u w:val="none"/>
    </w:rPr>
  </w:style>
  <w:style w:type="paragraph" w:customStyle="1" w:styleId="141">
    <w:name w:val="表格内容居中"/>
    <w:qFormat/>
    <w:uiPriority w:val="0"/>
    <w:pPr>
      <w:adjustRightInd w:val="0"/>
      <w:snapToGrid w:val="0"/>
      <w:spacing w:line="360" w:lineRule="auto"/>
      <w:jc w:val="center"/>
    </w:pPr>
    <w:rPr>
      <w:rFonts w:ascii="Times New Roman" w:hAnsi="Times New Roman" w:eastAsia="宋体" w:cs="Times New Roman"/>
      <w:snapToGrid w:val="0"/>
      <w:kern w:val="0"/>
      <w:sz w:val="21"/>
      <w:szCs w:val="21"/>
      <w:lang w:val="en-US" w:eastAsia="zh-CN" w:bidi="ar-SA"/>
    </w:rPr>
  </w:style>
  <w:style w:type="paragraph" w:customStyle="1" w:styleId="142">
    <w:name w:val="表头"/>
    <w:basedOn w:val="143"/>
    <w:next w:val="1"/>
    <w:qFormat/>
    <w:uiPriority w:val="0"/>
    <w:pPr>
      <w:spacing w:line="360" w:lineRule="auto"/>
      <w:jc w:val="center"/>
    </w:pPr>
    <w:rPr>
      <w:sz w:val="21"/>
      <w:szCs w:val="22"/>
      <w:lang w:val="en-US" w:eastAsia="zh-CN" w:bidi="ar-SA"/>
    </w:rPr>
  </w:style>
  <w:style w:type="paragraph" w:customStyle="1" w:styleId="143">
    <w:name w:val="表标题"/>
    <w:basedOn w:val="27"/>
    <w:next w:val="27"/>
    <w:qFormat/>
    <w:uiPriority w:val="0"/>
    <w:pPr>
      <w:widowControl/>
      <w:ind w:firstLine="510"/>
      <w:jc w:val="center"/>
    </w:pPr>
    <w:rPr>
      <w:rFonts w:ascii="宋体" w:hAnsi="宋体"/>
      <w:b/>
    </w:rPr>
  </w:style>
  <w:style w:type="paragraph" w:customStyle="1" w:styleId="144">
    <w:name w:val="文本"/>
    <w:basedOn w:val="15"/>
    <w:next w:val="1"/>
    <w:qFormat/>
    <w:uiPriority w:val="0"/>
    <w:pPr>
      <w:autoSpaceDE w:val="0"/>
      <w:autoSpaceDN w:val="0"/>
      <w:ind w:firstLine="480"/>
    </w:pPr>
    <w:rPr>
      <w:rFonts w:cs="Times New Roman"/>
      <w:szCs w:val="24"/>
      <w:lang w:val="zh-CN"/>
    </w:rPr>
  </w:style>
  <w:style w:type="character" w:customStyle="1" w:styleId="145">
    <w:name w:val="font01"/>
    <w:qFormat/>
    <w:uiPriority w:val="0"/>
    <w:rPr>
      <w:rFonts w:hint="eastAsia" w:ascii="宋体" w:hAnsi="宋体" w:eastAsia="宋体" w:cs="宋体"/>
      <w:color w:val="000000"/>
      <w:sz w:val="22"/>
      <w:szCs w:val="22"/>
      <w:u w:val="none"/>
      <w:vertAlign w:val="superscript"/>
    </w:rPr>
  </w:style>
  <w:style w:type="paragraph" w:customStyle="1" w:styleId="146">
    <w:name w:val="yjjh正文"/>
    <w:basedOn w:val="1"/>
    <w:qFormat/>
    <w:uiPriority w:val="0"/>
    <w:pPr>
      <w:ind w:firstLine="0" w:firstLineChars="0"/>
      <w:jc w:val="center"/>
    </w:pPr>
    <w:rPr>
      <w:rFonts w:ascii="宋体" w:hAnsi="宋体"/>
      <w:iCs/>
      <w:snapToGrid w:val="0"/>
      <w:sz w:val="28"/>
      <w:szCs w:val="28"/>
      <w:lang w:val="zh-CN"/>
    </w:rPr>
  </w:style>
  <w:style w:type="paragraph" w:customStyle="1" w:styleId="147">
    <w:name w:val="正文（首行缩进） Char"/>
    <w:basedOn w:val="1"/>
    <w:qFormat/>
    <w:uiPriority w:val="0"/>
    <w:pPr>
      <w:widowControl/>
      <w:overflowPunct w:val="0"/>
      <w:topLinePunct/>
      <w:autoSpaceDE w:val="0"/>
      <w:autoSpaceDN w:val="0"/>
      <w:adjustRightInd w:val="0"/>
      <w:snapToGrid w:val="0"/>
      <w:spacing w:line="360" w:lineRule="auto"/>
      <w:ind w:firstLine="480" w:firstLineChars="200"/>
      <w:textAlignment w:val="baseline"/>
    </w:pPr>
    <w:rPr>
      <w:kern w:val="0"/>
      <w:sz w:val="24"/>
      <w:szCs w:val="24"/>
    </w:rPr>
  </w:style>
  <w:style w:type="paragraph" w:customStyle="1" w:styleId="148">
    <w:name w:val="表格标题8"/>
    <w:basedOn w:val="16"/>
    <w:next w:val="1"/>
    <w:qFormat/>
    <w:uiPriority w:val="0"/>
    <w:pPr>
      <w:keepNext/>
      <w:spacing w:line="360" w:lineRule="auto"/>
      <w:ind w:firstLine="0" w:firstLineChars="0"/>
      <w:jc w:val="center"/>
    </w:pPr>
    <w:rPr>
      <w:rFonts w:ascii="Times New Roman" w:hAnsi="Times New Roman" w:eastAsia="宋体" w:cs="Times New Roman"/>
      <w:sz w:val="21"/>
    </w:rPr>
  </w:style>
  <w:style w:type="paragraph" w:customStyle="1" w:styleId="149">
    <w:name w:val="样式 加粗 居中"/>
    <w:basedOn w:val="1"/>
    <w:qFormat/>
    <w:uiPriority w:val="0"/>
    <w:pPr>
      <w:spacing w:line="400" w:lineRule="exact"/>
      <w:jc w:val="center"/>
    </w:pPr>
    <w:rPr>
      <w:rFonts w:cs="宋体"/>
      <w:b/>
      <w:bCs/>
      <w:color w:val="auto"/>
      <w:kern w:val="2"/>
      <w:sz w:val="24"/>
      <w:szCs w:val="20"/>
    </w:rPr>
  </w:style>
  <w:style w:type="table" w:customStyle="1" w:styleId="150">
    <w:name w:val="常规"/>
    <w:basedOn w:val="48"/>
    <w:qFormat/>
    <w:uiPriority w:val="0"/>
    <w:pPr>
      <w:keepNext w:val="0"/>
      <w:keepLines w:val="0"/>
      <w:widowControl/>
      <w:suppressLineNumbers w:val="0"/>
      <w:spacing w:before="0" w:beforeAutospacing="0" w:after="0" w:afterAutospacing="0" w:line="276" w:lineRule="auto"/>
      <w:ind w:left="0" w:right="0"/>
      <w:jc w:val="center"/>
    </w:pPr>
    <w:rPr>
      <w:rFonts w:hint="default" w:ascii="Times New Roman" w:hAnsi="Times New Roman" w:eastAsia="宋体" w:cs="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rPr>
        <w:rFonts w:hint="default" w:ascii="Times New Roman" w:hAnsi="Times New Roman" w:eastAsia="宋体" w:cs="Times New Roman"/>
        <w:b w:val="0"/>
        <w:sz w:val="21"/>
        <w:szCs w:val="21"/>
      </w:rPr>
    </w:tblStylePr>
  </w:style>
  <w:style w:type="paragraph" w:customStyle="1" w:styleId="151">
    <w:name w:val="表2"/>
    <w:basedOn w:val="1"/>
    <w:next w:val="88"/>
    <w:qFormat/>
    <w:uiPriority w:val="0"/>
    <w:pPr>
      <w:numPr>
        <w:ilvl w:val="0"/>
        <w:numId w:val="6"/>
      </w:numPr>
    </w:pPr>
  </w:style>
  <w:style w:type="character" w:customStyle="1" w:styleId="152">
    <w:name w:val="font71"/>
    <w:basedOn w:val="50"/>
    <w:qFormat/>
    <w:uiPriority w:val="0"/>
    <w:rPr>
      <w:rFonts w:hint="eastAsia" w:ascii="宋体" w:hAnsi="宋体" w:eastAsia="宋体" w:cs="宋体"/>
      <w:color w:val="000000"/>
      <w:sz w:val="20"/>
      <w:szCs w:val="20"/>
      <w:u w:val="none"/>
    </w:rPr>
  </w:style>
  <w:style w:type="paragraph" w:customStyle="1" w:styleId="153">
    <w:name w:val="小节标题"/>
    <w:basedOn w:val="1"/>
    <w:next w:val="154"/>
    <w:qFormat/>
    <w:uiPriority w:val="0"/>
    <w:pPr>
      <w:widowControl/>
      <w:numPr>
        <w:ilvl w:val="0"/>
        <w:numId w:val="7"/>
      </w:numPr>
      <w:tabs>
        <w:tab w:val="clear" w:pos="0"/>
      </w:tabs>
      <w:spacing w:line="360" w:lineRule="auto"/>
      <w:ind w:firstLine="560" w:firstLineChars="200"/>
      <w:jc w:val="left"/>
    </w:pPr>
    <w:rPr>
      <w:rFonts w:hint="eastAsia" w:cs="宋体"/>
      <w:b/>
      <w:bCs/>
      <w:sz w:val="24"/>
      <w:szCs w:val="21"/>
      <w:lang w:bidi="ar"/>
    </w:rPr>
  </w:style>
  <w:style w:type="paragraph" w:customStyle="1" w:styleId="154">
    <w:name w:val="正文小四"/>
    <w:basedOn w:val="1"/>
    <w:qFormat/>
    <w:uiPriority w:val="0"/>
    <w:pPr>
      <w:spacing w:line="360" w:lineRule="auto"/>
      <w:ind w:firstLine="420" w:firstLineChars="200"/>
    </w:pPr>
    <w:rPr>
      <w:rFonts w:ascii="Times New Roman" w:hAnsi="Times New Roman"/>
      <w:sz w:val="24"/>
    </w:rPr>
  </w:style>
  <w:style w:type="paragraph" w:customStyle="1" w:styleId="155">
    <w:name w:val="表1"/>
    <w:basedOn w:val="1"/>
    <w:next w:val="88"/>
    <w:qFormat/>
    <w:uiPriority w:val="0"/>
    <w:pPr>
      <w:numPr>
        <w:ilvl w:val="0"/>
        <w:numId w:val="8"/>
      </w:numPr>
      <w:spacing w:line="360" w:lineRule="auto"/>
      <w:ind w:firstLine="0" w:firstLineChars="0"/>
      <w:jc w:val="center"/>
    </w:pPr>
    <w:rPr>
      <w:b/>
      <w:sz w:val="24"/>
    </w:rPr>
  </w:style>
  <w:style w:type="character" w:customStyle="1" w:styleId="156">
    <w:name w:val="font31"/>
    <w:basedOn w:val="50"/>
    <w:qFormat/>
    <w:uiPriority w:val="0"/>
    <w:rPr>
      <w:rFonts w:hint="eastAsia" w:ascii="宋体" w:hAnsi="宋体" w:eastAsia="宋体" w:cs="宋体"/>
      <w:color w:val="000000"/>
      <w:sz w:val="24"/>
      <w:szCs w:val="24"/>
      <w:u w:val="none"/>
    </w:rPr>
  </w:style>
  <w:style w:type="character" w:customStyle="1" w:styleId="157">
    <w:name w:val="font41"/>
    <w:basedOn w:val="50"/>
    <w:qFormat/>
    <w:uiPriority w:val="0"/>
    <w:rPr>
      <w:rFonts w:hint="eastAsia" w:ascii="宋体" w:hAnsi="宋体" w:eastAsia="宋体" w:cs="宋体"/>
      <w:color w:val="000000"/>
      <w:sz w:val="24"/>
      <w:szCs w:val="24"/>
      <w:u w:val="none"/>
    </w:rPr>
  </w:style>
  <w:style w:type="paragraph" w:customStyle="1" w:styleId="158">
    <w:name w:val="国寰正文"/>
    <w:basedOn w:val="1"/>
    <w:qFormat/>
    <w:uiPriority w:val="0"/>
    <w:pPr>
      <w:adjustRightInd w:val="0"/>
      <w:snapToGrid w:val="0"/>
      <w:spacing w:line="360" w:lineRule="auto"/>
      <w:ind w:firstLine="200" w:firstLineChars="200"/>
    </w:pPr>
    <w:rPr>
      <w:spacing w:val="0"/>
      <w:kern w:val="2"/>
      <w:sz w:val="24"/>
      <w:szCs w:val="24"/>
    </w:rPr>
  </w:style>
  <w:style w:type="character" w:customStyle="1" w:styleId="159">
    <w:name w:val="fontstyle01"/>
    <w:basedOn w:val="50"/>
    <w:qFormat/>
    <w:uiPriority w:val="0"/>
    <w:rPr>
      <w:rFonts w:hint="eastAsia" w:ascii="宋体" w:hAnsi="宋体" w:eastAsia="宋体"/>
      <w:color w:val="000000"/>
      <w:sz w:val="24"/>
      <w:szCs w:val="24"/>
    </w:rPr>
  </w:style>
  <w:style w:type="character" w:customStyle="1" w:styleId="160">
    <w:name w:val="fontstyle11"/>
    <w:basedOn w:val="50"/>
    <w:qFormat/>
    <w:uiPriority w:val="0"/>
    <w:rPr>
      <w:rFonts w:hint="default" w:ascii="Times New Roman" w:hAnsi="Times New Roman" w:cs="Times New Roman"/>
      <w:color w:val="000000"/>
      <w:sz w:val="24"/>
      <w:szCs w:val="24"/>
    </w:rPr>
  </w:style>
  <w:style w:type="paragraph" w:customStyle="1" w:styleId="161">
    <w:name w:val="附图附件"/>
    <w:basedOn w:val="1"/>
    <w:qFormat/>
    <w:uiPriority w:val="0"/>
    <w:pPr>
      <w:spacing w:line="240" w:lineRule="auto"/>
      <w:jc w:val="center"/>
      <w:outlineLvl w:val="0"/>
    </w:pPr>
  </w:style>
  <w:style w:type="character" w:customStyle="1" w:styleId="162">
    <w:name w:val="fontstyle21"/>
    <w:qFormat/>
    <w:uiPriority w:val="0"/>
    <w:rPr>
      <w:rFonts w:hint="default" w:ascii="Times New Roman" w:hAnsi="Times New Roman" w:cs="Times New Roman"/>
      <w:color w:val="000000"/>
      <w:sz w:val="24"/>
      <w:szCs w:val="24"/>
    </w:rPr>
  </w:style>
  <w:style w:type="paragraph" w:customStyle="1" w:styleId="163">
    <w:name w:val="6-正文"/>
    <w:basedOn w:val="1"/>
    <w:qFormat/>
    <w:uiPriority w:val="0"/>
    <w:rPr>
      <w:szCs w:val="28"/>
    </w:rPr>
  </w:style>
  <w:style w:type="character" w:customStyle="1" w:styleId="164">
    <w:name w:val="font112"/>
    <w:basedOn w:val="50"/>
    <w:qFormat/>
    <w:uiPriority w:val="0"/>
    <w:rPr>
      <w:rFonts w:hint="eastAsia" w:ascii="宋体" w:hAnsi="宋体" w:eastAsia="宋体" w:cs="宋体"/>
      <w:color w:val="000000"/>
      <w:sz w:val="20"/>
      <w:szCs w:val="20"/>
      <w:u w:val="none"/>
    </w:rPr>
  </w:style>
  <w:style w:type="character" w:customStyle="1" w:styleId="165">
    <w:name w:val="font81"/>
    <w:basedOn w:val="50"/>
    <w:qFormat/>
    <w:uiPriority w:val="0"/>
    <w:rPr>
      <w:rFonts w:hint="default" w:ascii="Times New Roman" w:hAnsi="Times New Roman" w:cs="Times New Roman"/>
      <w:b/>
      <w:bCs/>
      <w:color w:val="FF0000"/>
      <w:sz w:val="21"/>
      <w:szCs w:val="21"/>
      <w:u w:val="none"/>
      <w:vertAlign w:val="superscript"/>
    </w:rPr>
  </w:style>
  <w:style w:type="character" w:customStyle="1" w:styleId="166">
    <w:name w:val="font91"/>
    <w:basedOn w:val="50"/>
    <w:qFormat/>
    <w:uiPriority w:val="0"/>
    <w:rPr>
      <w:rFonts w:hint="eastAsia" w:ascii="宋体" w:hAnsi="宋体" w:eastAsia="宋体" w:cs="宋体"/>
      <w:b/>
      <w:bCs/>
      <w:color w:val="000000"/>
      <w:sz w:val="21"/>
      <w:szCs w:val="21"/>
      <w:u w:val="none"/>
    </w:rPr>
  </w:style>
  <w:style w:type="character" w:customStyle="1" w:styleId="167">
    <w:name w:val="font101"/>
    <w:basedOn w:val="50"/>
    <w:qFormat/>
    <w:uiPriority w:val="0"/>
    <w:rPr>
      <w:rFonts w:hint="eastAsia" w:ascii="宋体" w:hAnsi="宋体" w:eastAsia="宋体" w:cs="宋体"/>
      <w:color w:val="FF0000"/>
      <w:sz w:val="21"/>
      <w:szCs w:val="21"/>
      <w:u w:val="none"/>
    </w:rPr>
  </w:style>
  <w:style w:type="character" w:customStyle="1" w:styleId="168">
    <w:name w:val="font51"/>
    <w:basedOn w:val="50"/>
    <w:qFormat/>
    <w:uiPriority w:val="0"/>
    <w:rPr>
      <w:rFonts w:hint="eastAsia" w:ascii="宋体" w:hAnsi="宋体" w:eastAsia="宋体" w:cs="宋体"/>
      <w:b/>
      <w:bCs/>
      <w:color w:val="000000"/>
      <w:sz w:val="21"/>
      <w:szCs w:val="21"/>
      <w:u w:val="none"/>
    </w:rPr>
  </w:style>
  <w:style w:type="character" w:customStyle="1" w:styleId="169">
    <w:name w:val="font61"/>
    <w:basedOn w:val="50"/>
    <w:qFormat/>
    <w:uiPriority w:val="0"/>
    <w:rPr>
      <w:rFonts w:hint="default" w:ascii="Times New Roman" w:hAnsi="Times New Roman" w:cs="Times New Roman"/>
      <w:b/>
      <w:bCs/>
      <w:color w:val="000000"/>
      <w:sz w:val="21"/>
      <w:szCs w:val="21"/>
      <w:u w:val="none"/>
      <w:vertAlign w:val="superscript"/>
    </w:rPr>
  </w:style>
  <w:style w:type="character" w:customStyle="1" w:styleId="170">
    <w:name w:val="font111"/>
    <w:basedOn w:val="50"/>
    <w:qFormat/>
    <w:uiPriority w:val="0"/>
    <w:rPr>
      <w:rFonts w:hint="eastAsia" w:ascii="宋体" w:hAnsi="宋体" w:eastAsia="宋体" w:cs="宋体"/>
      <w:color w:val="FF0000"/>
      <w:sz w:val="21"/>
      <w:szCs w:val="21"/>
      <w:u w:val="none"/>
    </w:rPr>
  </w:style>
  <w:style w:type="character" w:customStyle="1" w:styleId="171">
    <w:name w:val="font122"/>
    <w:basedOn w:val="50"/>
    <w:qFormat/>
    <w:uiPriority w:val="0"/>
    <w:rPr>
      <w:rFonts w:hint="default" w:ascii="Times New Roman" w:hAnsi="Times New Roman" w:cs="Times New Roman"/>
      <w:color w:val="000000"/>
      <w:sz w:val="21"/>
      <w:szCs w:val="21"/>
      <w:u w:val="none"/>
    </w:rPr>
  </w:style>
  <w:style w:type="character" w:customStyle="1" w:styleId="172">
    <w:name w:val="font131"/>
    <w:basedOn w:val="50"/>
    <w:qFormat/>
    <w:uiPriority w:val="0"/>
    <w:rPr>
      <w:rFonts w:hint="eastAsia" w:ascii="宋体" w:hAnsi="宋体" w:eastAsia="宋体" w:cs="宋体"/>
      <w:color w:val="FF0000"/>
      <w:sz w:val="21"/>
      <w:szCs w:val="21"/>
      <w:u w:val="none"/>
    </w:rPr>
  </w:style>
  <w:style w:type="paragraph" w:customStyle="1" w:styleId="173">
    <w:name w:val="报告表小标题"/>
    <w:basedOn w:val="1"/>
    <w:qFormat/>
    <w:uiPriority w:val="0"/>
    <w:pPr>
      <w:spacing w:before="100" w:beforeAutospacing="1" w:line="360" w:lineRule="auto"/>
    </w:pPr>
    <w:rPr>
      <w:b/>
      <w:sz w:val="24"/>
    </w:rPr>
  </w:style>
  <w:style w:type="paragraph" w:customStyle="1" w:styleId="174">
    <w:name w:val="J-表格标题+图片标题（5号+居中）"/>
    <w:basedOn w:val="1"/>
    <w:qFormat/>
    <w:uiPriority w:val="0"/>
    <w:pPr>
      <w:jc w:val="center"/>
    </w:pPr>
    <w:rPr>
      <w:b/>
      <w:sz w:val="21"/>
      <w:szCs w:val="21"/>
    </w:rPr>
  </w:style>
  <w:style w:type="paragraph" w:customStyle="1" w:styleId="175">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76">
    <w:name w:val="（一）"/>
    <w:basedOn w:val="1"/>
    <w:qFormat/>
    <w:uiPriority w:val="0"/>
    <w:pPr>
      <w:numPr>
        <w:ilvl w:val="0"/>
        <w:numId w:val="9"/>
      </w:numPr>
      <w:spacing w:line="400" w:lineRule="exact"/>
    </w:pPr>
    <w:rPr>
      <w:b/>
      <w:sz w:val="24"/>
    </w:rPr>
  </w:style>
  <w:style w:type="paragraph" w:customStyle="1" w:styleId="177">
    <w:name w:val="正文~"/>
    <w:basedOn w:val="1"/>
    <w:qFormat/>
    <w:uiPriority w:val="0"/>
    <w:pPr>
      <w:spacing w:line="360" w:lineRule="auto"/>
      <w:ind w:firstLine="177" w:firstLineChars="177"/>
    </w:pPr>
  </w:style>
  <w:style w:type="character" w:customStyle="1" w:styleId="178">
    <w:name w:val="font12"/>
    <w:basedOn w:val="50"/>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69.jpeg"/><Relationship Id="rId98" Type="http://schemas.openxmlformats.org/officeDocument/2006/relationships/image" Target="media/image68.jpeg"/><Relationship Id="rId97" Type="http://schemas.openxmlformats.org/officeDocument/2006/relationships/image" Target="media/image67.jpeg"/><Relationship Id="rId96" Type="http://schemas.openxmlformats.org/officeDocument/2006/relationships/image" Target="media/image66.jpeg"/><Relationship Id="rId95" Type="http://schemas.openxmlformats.org/officeDocument/2006/relationships/image" Target="media/image65.jpeg"/><Relationship Id="rId94" Type="http://schemas.openxmlformats.org/officeDocument/2006/relationships/image" Target="media/image64.jpeg"/><Relationship Id="rId93" Type="http://schemas.openxmlformats.org/officeDocument/2006/relationships/image" Target="media/image63.jpeg"/><Relationship Id="rId92" Type="http://schemas.openxmlformats.org/officeDocument/2006/relationships/image" Target="media/image62.jpeg"/><Relationship Id="rId91" Type="http://schemas.openxmlformats.org/officeDocument/2006/relationships/image" Target="media/image61.jpeg"/><Relationship Id="rId90" Type="http://schemas.openxmlformats.org/officeDocument/2006/relationships/image" Target="media/image60.png"/><Relationship Id="rId9" Type="http://schemas.openxmlformats.org/officeDocument/2006/relationships/footer" Target="footer4.xml"/><Relationship Id="rId89" Type="http://schemas.openxmlformats.org/officeDocument/2006/relationships/image" Target="media/image59.jpeg"/><Relationship Id="rId88" Type="http://schemas.openxmlformats.org/officeDocument/2006/relationships/image" Target="media/image58.jpeg"/><Relationship Id="rId87" Type="http://schemas.openxmlformats.org/officeDocument/2006/relationships/image" Target="media/image57.jpeg"/><Relationship Id="rId86" Type="http://schemas.openxmlformats.org/officeDocument/2006/relationships/image" Target="media/image56.jpeg"/><Relationship Id="rId85" Type="http://schemas.openxmlformats.org/officeDocument/2006/relationships/image" Target="media/image55.png"/><Relationship Id="rId84" Type="http://schemas.openxmlformats.org/officeDocument/2006/relationships/image" Target="media/image54.jpeg"/><Relationship Id="rId83" Type="http://schemas.openxmlformats.org/officeDocument/2006/relationships/image" Target="media/image53.jpeg"/><Relationship Id="rId82" Type="http://schemas.openxmlformats.org/officeDocument/2006/relationships/image" Target="media/image52.png"/><Relationship Id="rId81" Type="http://schemas.openxmlformats.org/officeDocument/2006/relationships/image" Target="media/image51.jpeg"/><Relationship Id="rId80" Type="http://schemas.openxmlformats.org/officeDocument/2006/relationships/image" Target="media/image50.png"/><Relationship Id="rId8" Type="http://schemas.openxmlformats.org/officeDocument/2006/relationships/header" Target="header3.xml"/><Relationship Id="rId79" Type="http://schemas.openxmlformats.org/officeDocument/2006/relationships/image" Target="media/image49.jpeg"/><Relationship Id="rId78" Type="http://schemas.openxmlformats.org/officeDocument/2006/relationships/image" Target="media/image48.jpeg"/><Relationship Id="rId77" Type="http://schemas.openxmlformats.org/officeDocument/2006/relationships/image" Target="media/image47.png"/><Relationship Id="rId76" Type="http://schemas.openxmlformats.org/officeDocument/2006/relationships/image" Target="media/image46.jpeg"/><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jpeg"/><Relationship Id="rId72" Type="http://schemas.openxmlformats.org/officeDocument/2006/relationships/image" Target="media/image42.jpeg"/><Relationship Id="rId71" Type="http://schemas.openxmlformats.org/officeDocument/2006/relationships/image" Target="media/image41.jpeg"/><Relationship Id="rId70" Type="http://schemas.openxmlformats.org/officeDocument/2006/relationships/image" Target="media/image40.jpeg"/><Relationship Id="rId7" Type="http://schemas.openxmlformats.org/officeDocument/2006/relationships/footer" Target="footer3.xml"/><Relationship Id="rId69" Type="http://schemas.openxmlformats.org/officeDocument/2006/relationships/image" Target="media/image39.jpe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jpeg"/><Relationship Id="rId65" Type="http://schemas.openxmlformats.org/officeDocument/2006/relationships/image" Target="media/image35.png"/><Relationship Id="rId64" Type="http://schemas.openxmlformats.org/officeDocument/2006/relationships/image" Target="media/image34.jpeg"/><Relationship Id="rId63" Type="http://schemas.openxmlformats.org/officeDocument/2006/relationships/image" Target="media/image33.jpeg"/><Relationship Id="rId62" Type="http://schemas.openxmlformats.org/officeDocument/2006/relationships/image" Target="media/image32.jpeg"/><Relationship Id="rId61" Type="http://schemas.openxmlformats.org/officeDocument/2006/relationships/image" Target="media/image31.jpeg"/><Relationship Id="rId60" Type="http://schemas.openxmlformats.org/officeDocument/2006/relationships/image" Target="media/image30.jpeg"/><Relationship Id="rId6" Type="http://schemas.openxmlformats.org/officeDocument/2006/relationships/footer" Target="footer2.xml"/><Relationship Id="rId59" Type="http://schemas.openxmlformats.org/officeDocument/2006/relationships/image" Target="media/image29.png"/><Relationship Id="rId58" Type="http://schemas.openxmlformats.org/officeDocument/2006/relationships/image" Target="media/image28.bmp"/><Relationship Id="rId57" Type="http://schemas.openxmlformats.org/officeDocument/2006/relationships/image" Target="media/image27.png"/><Relationship Id="rId56" Type="http://schemas.openxmlformats.org/officeDocument/2006/relationships/image" Target="media/image26.jpe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jpeg"/><Relationship Id="rId51" Type="http://schemas.openxmlformats.org/officeDocument/2006/relationships/image" Target="media/image21.jpeg"/><Relationship Id="rId50" Type="http://schemas.openxmlformats.org/officeDocument/2006/relationships/image" Target="media/image20.jpeg"/><Relationship Id="rId5" Type="http://schemas.openxmlformats.org/officeDocument/2006/relationships/footer" Target="footer1.xml"/><Relationship Id="rId49" Type="http://schemas.openxmlformats.org/officeDocument/2006/relationships/image" Target="media/image19.jpeg"/><Relationship Id="rId48" Type="http://schemas.openxmlformats.org/officeDocument/2006/relationships/image" Target="media/image18.wmf"/><Relationship Id="rId47" Type="http://schemas.openxmlformats.org/officeDocument/2006/relationships/oleObject" Target="embeddings/oleObject12.bin"/><Relationship Id="rId46" Type="http://schemas.openxmlformats.org/officeDocument/2006/relationships/image" Target="media/image17.wmf"/><Relationship Id="rId45" Type="http://schemas.openxmlformats.org/officeDocument/2006/relationships/oleObject" Target="embeddings/oleObject11.bin"/><Relationship Id="rId44" Type="http://schemas.openxmlformats.org/officeDocument/2006/relationships/image" Target="media/image16.wmf"/><Relationship Id="rId43" Type="http://schemas.openxmlformats.org/officeDocument/2006/relationships/oleObject" Target="embeddings/oleObject10.bin"/><Relationship Id="rId42" Type="http://schemas.openxmlformats.org/officeDocument/2006/relationships/image" Target="media/image15.wmf"/><Relationship Id="rId41" Type="http://schemas.openxmlformats.org/officeDocument/2006/relationships/oleObject" Target="embeddings/oleObject9.bin"/><Relationship Id="rId40" Type="http://schemas.openxmlformats.org/officeDocument/2006/relationships/image" Target="media/image14.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13.wmf"/><Relationship Id="rId37" Type="http://schemas.openxmlformats.org/officeDocument/2006/relationships/oleObject" Target="embeddings/oleObject7.bin"/><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wmf"/><Relationship Id="rId32" Type="http://schemas.openxmlformats.org/officeDocument/2006/relationships/oleObject" Target="embeddings/oleObject6.bin"/><Relationship Id="rId31" Type="http://schemas.openxmlformats.org/officeDocument/2006/relationships/image" Target="media/image8.jpeg"/><Relationship Id="rId30" Type="http://schemas.openxmlformats.org/officeDocument/2006/relationships/image" Target="media/image7.e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6.png"/><Relationship Id="rId27" Type="http://schemas.openxmlformats.org/officeDocument/2006/relationships/image" Target="media/image5.emf"/><Relationship Id="rId26" Type="http://schemas.openxmlformats.org/officeDocument/2006/relationships/oleObject" Target="embeddings/oleObject4.bin"/><Relationship Id="rId25" Type="http://schemas.openxmlformats.org/officeDocument/2006/relationships/image" Target="media/image4.wmf"/><Relationship Id="rId24" Type="http://schemas.openxmlformats.org/officeDocument/2006/relationships/oleObject" Target="embeddings/oleObject3.bin"/><Relationship Id="rId23" Type="http://schemas.openxmlformats.org/officeDocument/2006/relationships/image" Target="media/image3.emf"/><Relationship Id="rId22" Type="http://schemas.openxmlformats.org/officeDocument/2006/relationships/oleObject" Target="embeddings/oleObject2.bin"/><Relationship Id="rId21" Type="http://schemas.openxmlformats.org/officeDocument/2006/relationships/image" Target="media/image2.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jpeg"/><Relationship Id="rId182" Type="http://schemas.openxmlformats.org/officeDocument/2006/relationships/fontTable" Target="fontTable.xml"/><Relationship Id="rId181" Type="http://schemas.openxmlformats.org/officeDocument/2006/relationships/numbering" Target="numbering.xml"/><Relationship Id="rId180" Type="http://schemas.openxmlformats.org/officeDocument/2006/relationships/customXml" Target="../customXml/item1.xml"/><Relationship Id="rId18" Type="http://schemas.openxmlformats.org/officeDocument/2006/relationships/theme" Target="theme/theme1.xml"/><Relationship Id="rId179" Type="http://schemas.openxmlformats.org/officeDocument/2006/relationships/image" Target="media/image149.png"/><Relationship Id="rId178" Type="http://schemas.openxmlformats.org/officeDocument/2006/relationships/image" Target="media/image148.png"/><Relationship Id="rId177" Type="http://schemas.openxmlformats.org/officeDocument/2006/relationships/image" Target="media/image147.jpeg"/><Relationship Id="rId176" Type="http://schemas.openxmlformats.org/officeDocument/2006/relationships/image" Target="media/image146.jpeg"/><Relationship Id="rId175" Type="http://schemas.openxmlformats.org/officeDocument/2006/relationships/image" Target="media/image145.jpeg"/><Relationship Id="rId174" Type="http://schemas.openxmlformats.org/officeDocument/2006/relationships/image" Target="media/image144.jpeg"/><Relationship Id="rId173" Type="http://schemas.openxmlformats.org/officeDocument/2006/relationships/image" Target="media/image143.jpeg"/><Relationship Id="rId172" Type="http://schemas.openxmlformats.org/officeDocument/2006/relationships/image" Target="media/image142.png"/><Relationship Id="rId171" Type="http://schemas.openxmlformats.org/officeDocument/2006/relationships/image" Target="media/image141.png"/><Relationship Id="rId170" Type="http://schemas.openxmlformats.org/officeDocument/2006/relationships/image" Target="media/image140.png"/><Relationship Id="rId17" Type="http://schemas.openxmlformats.org/officeDocument/2006/relationships/footer" Target="footer9.xml"/><Relationship Id="rId169" Type="http://schemas.openxmlformats.org/officeDocument/2006/relationships/image" Target="media/image139.png"/><Relationship Id="rId168" Type="http://schemas.openxmlformats.org/officeDocument/2006/relationships/image" Target="media/image138.png"/><Relationship Id="rId167" Type="http://schemas.openxmlformats.org/officeDocument/2006/relationships/image" Target="media/image137.png"/><Relationship Id="rId166" Type="http://schemas.openxmlformats.org/officeDocument/2006/relationships/image" Target="media/image136.png"/><Relationship Id="rId165" Type="http://schemas.openxmlformats.org/officeDocument/2006/relationships/image" Target="media/image135.png"/><Relationship Id="rId164" Type="http://schemas.openxmlformats.org/officeDocument/2006/relationships/image" Target="media/image134.png"/><Relationship Id="rId163" Type="http://schemas.openxmlformats.org/officeDocument/2006/relationships/image" Target="media/image133.png"/><Relationship Id="rId162" Type="http://schemas.openxmlformats.org/officeDocument/2006/relationships/image" Target="media/image132.png"/><Relationship Id="rId161" Type="http://schemas.openxmlformats.org/officeDocument/2006/relationships/image" Target="media/image131.png"/><Relationship Id="rId160" Type="http://schemas.openxmlformats.org/officeDocument/2006/relationships/image" Target="media/image130.png"/><Relationship Id="rId16" Type="http://schemas.openxmlformats.org/officeDocument/2006/relationships/header" Target="header6.xml"/><Relationship Id="rId159" Type="http://schemas.openxmlformats.org/officeDocument/2006/relationships/image" Target="media/image129.png"/><Relationship Id="rId158" Type="http://schemas.openxmlformats.org/officeDocument/2006/relationships/image" Target="media/image128.png"/><Relationship Id="rId157" Type="http://schemas.openxmlformats.org/officeDocument/2006/relationships/image" Target="media/image127.png"/><Relationship Id="rId156" Type="http://schemas.openxmlformats.org/officeDocument/2006/relationships/image" Target="media/image126.png"/><Relationship Id="rId155" Type="http://schemas.openxmlformats.org/officeDocument/2006/relationships/image" Target="media/image125.png"/><Relationship Id="rId154" Type="http://schemas.openxmlformats.org/officeDocument/2006/relationships/image" Target="media/image124.png"/><Relationship Id="rId153" Type="http://schemas.openxmlformats.org/officeDocument/2006/relationships/image" Target="media/image123.png"/><Relationship Id="rId152" Type="http://schemas.openxmlformats.org/officeDocument/2006/relationships/image" Target="media/image122.png"/><Relationship Id="rId151" Type="http://schemas.openxmlformats.org/officeDocument/2006/relationships/image" Target="media/image121.png"/><Relationship Id="rId150" Type="http://schemas.openxmlformats.org/officeDocument/2006/relationships/image" Target="media/image120.png"/><Relationship Id="rId15" Type="http://schemas.openxmlformats.org/officeDocument/2006/relationships/footer" Target="footer8.xml"/><Relationship Id="rId149" Type="http://schemas.openxmlformats.org/officeDocument/2006/relationships/image" Target="media/image119.png"/><Relationship Id="rId148" Type="http://schemas.openxmlformats.org/officeDocument/2006/relationships/image" Target="media/image118.png"/><Relationship Id="rId147" Type="http://schemas.openxmlformats.org/officeDocument/2006/relationships/image" Target="media/image117.png"/><Relationship Id="rId146" Type="http://schemas.openxmlformats.org/officeDocument/2006/relationships/image" Target="media/image116.png"/><Relationship Id="rId145" Type="http://schemas.openxmlformats.org/officeDocument/2006/relationships/image" Target="media/image115.png"/><Relationship Id="rId144" Type="http://schemas.openxmlformats.org/officeDocument/2006/relationships/image" Target="media/image114.png"/><Relationship Id="rId143" Type="http://schemas.openxmlformats.org/officeDocument/2006/relationships/image" Target="media/image113.png"/><Relationship Id="rId142" Type="http://schemas.openxmlformats.org/officeDocument/2006/relationships/image" Target="media/image112.png"/><Relationship Id="rId141" Type="http://schemas.openxmlformats.org/officeDocument/2006/relationships/image" Target="media/image111.png"/><Relationship Id="rId140" Type="http://schemas.openxmlformats.org/officeDocument/2006/relationships/image" Target="media/image110.png"/><Relationship Id="rId14" Type="http://schemas.openxmlformats.org/officeDocument/2006/relationships/header" Target="header5.xml"/><Relationship Id="rId139" Type="http://schemas.openxmlformats.org/officeDocument/2006/relationships/image" Target="media/image109.png"/><Relationship Id="rId138" Type="http://schemas.openxmlformats.org/officeDocument/2006/relationships/image" Target="media/image108.png"/><Relationship Id="rId137" Type="http://schemas.openxmlformats.org/officeDocument/2006/relationships/image" Target="media/image107.png"/><Relationship Id="rId136" Type="http://schemas.openxmlformats.org/officeDocument/2006/relationships/image" Target="media/image106.png"/><Relationship Id="rId135" Type="http://schemas.openxmlformats.org/officeDocument/2006/relationships/image" Target="media/image105.png"/><Relationship Id="rId134" Type="http://schemas.openxmlformats.org/officeDocument/2006/relationships/image" Target="media/image104.png"/><Relationship Id="rId133" Type="http://schemas.openxmlformats.org/officeDocument/2006/relationships/image" Target="media/image103.png"/><Relationship Id="rId132" Type="http://schemas.openxmlformats.org/officeDocument/2006/relationships/image" Target="media/image102.png"/><Relationship Id="rId131" Type="http://schemas.openxmlformats.org/officeDocument/2006/relationships/image" Target="media/image101.png"/><Relationship Id="rId130" Type="http://schemas.openxmlformats.org/officeDocument/2006/relationships/image" Target="media/image100.png"/><Relationship Id="rId13" Type="http://schemas.openxmlformats.org/officeDocument/2006/relationships/header" Target="header4.xml"/><Relationship Id="rId129" Type="http://schemas.openxmlformats.org/officeDocument/2006/relationships/image" Target="media/image99.png"/><Relationship Id="rId128" Type="http://schemas.openxmlformats.org/officeDocument/2006/relationships/image" Target="media/image98.png"/><Relationship Id="rId127" Type="http://schemas.openxmlformats.org/officeDocument/2006/relationships/image" Target="media/image97.png"/><Relationship Id="rId126" Type="http://schemas.openxmlformats.org/officeDocument/2006/relationships/image" Target="media/image96.png"/><Relationship Id="rId125" Type="http://schemas.openxmlformats.org/officeDocument/2006/relationships/image" Target="media/image95.png"/><Relationship Id="rId124" Type="http://schemas.openxmlformats.org/officeDocument/2006/relationships/image" Target="media/image94.png"/><Relationship Id="rId123" Type="http://schemas.openxmlformats.org/officeDocument/2006/relationships/image" Target="media/image93.png"/><Relationship Id="rId122" Type="http://schemas.openxmlformats.org/officeDocument/2006/relationships/image" Target="media/image92.png"/><Relationship Id="rId121" Type="http://schemas.openxmlformats.org/officeDocument/2006/relationships/image" Target="media/image91.png"/><Relationship Id="rId120" Type="http://schemas.openxmlformats.org/officeDocument/2006/relationships/image" Target="media/image90.png"/><Relationship Id="rId12" Type="http://schemas.openxmlformats.org/officeDocument/2006/relationships/footer" Target="footer7.xml"/><Relationship Id="rId119" Type="http://schemas.openxmlformats.org/officeDocument/2006/relationships/image" Target="media/image89.png"/><Relationship Id="rId118" Type="http://schemas.openxmlformats.org/officeDocument/2006/relationships/image" Target="media/image88.png"/><Relationship Id="rId117" Type="http://schemas.openxmlformats.org/officeDocument/2006/relationships/image" Target="media/image87.png"/><Relationship Id="rId116" Type="http://schemas.openxmlformats.org/officeDocument/2006/relationships/image" Target="media/image86.png"/><Relationship Id="rId115" Type="http://schemas.openxmlformats.org/officeDocument/2006/relationships/image" Target="media/image85.png"/><Relationship Id="rId114" Type="http://schemas.openxmlformats.org/officeDocument/2006/relationships/image" Target="media/image84.png"/><Relationship Id="rId113" Type="http://schemas.openxmlformats.org/officeDocument/2006/relationships/image" Target="media/image83.png"/><Relationship Id="rId112" Type="http://schemas.openxmlformats.org/officeDocument/2006/relationships/image" Target="media/image82.png"/><Relationship Id="rId111" Type="http://schemas.openxmlformats.org/officeDocument/2006/relationships/image" Target="media/image81.png"/><Relationship Id="rId110" Type="http://schemas.openxmlformats.org/officeDocument/2006/relationships/image" Target="media/image80.png"/><Relationship Id="rId11" Type="http://schemas.openxmlformats.org/officeDocument/2006/relationships/footer" Target="footer6.xml"/><Relationship Id="rId109" Type="http://schemas.openxmlformats.org/officeDocument/2006/relationships/image" Target="media/image79.png"/><Relationship Id="rId108" Type="http://schemas.openxmlformats.org/officeDocument/2006/relationships/image" Target="media/image78.png"/><Relationship Id="rId107" Type="http://schemas.openxmlformats.org/officeDocument/2006/relationships/image" Target="media/image77.png"/><Relationship Id="rId106" Type="http://schemas.openxmlformats.org/officeDocument/2006/relationships/image" Target="media/image76.png"/><Relationship Id="rId105" Type="http://schemas.openxmlformats.org/officeDocument/2006/relationships/image" Target="media/image75.png"/><Relationship Id="rId104" Type="http://schemas.openxmlformats.org/officeDocument/2006/relationships/image" Target="media/image74.png"/><Relationship Id="rId103" Type="http://schemas.openxmlformats.org/officeDocument/2006/relationships/image" Target="media/image73.jpeg"/><Relationship Id="rId102" Type="http://schemas.openxmlformats.org/officeDocument/2006/relationships/image" Target="media/image72.jpeg"/><Relationship Id="rId101" Type="http://schemas.openxmlformats.org/officeDocument/2006/relationships/image" Target="media/image71.jpeg"/><Relationship Id="rId100" Type="http://schemas.openxmlformats.org/officeDocument/2006/relationships/image" Target="media/image70.jpe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275</Pages>
  <Words>749</Words>
  <Characters>917</Characters>
  <Lines>353</Lines>
  <Paragraphs>99</Paragraphs>
  <TotalTime>1</TotalTime>
  <ScaleCrop>false</ScaleCrop>
  <LinksUpToDate>false</LinksUpToDate>
  <CharactersWithSpaces>1006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柳桤</cp:lastModifiedBy>
  <cp:lastPrinted>2021-03-31T08:31:00Z</cp:lastPrinted>
  <dcterms:modified xsi:type="dcterms:W3CDTF">2026-10-09T00:57:39Z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DBD0E132BC7441B4AA26D24F36243B5D_13</vt:lpwstr>
  </property>
  <property fmtid="{D5CDD505-2E9C-101B-9397-08002B2CF9AE}" pid="4" name="KSOTemplateDocerSaveRecord">
    <vt:lpwstr>eyJoZGlkIjoiODQzZjM4Y2JlY2VjZjE1YWMxZjcxOGU4N2IzNTk5OGEiLCJ1c2VySWQiOiI4NzIyMDUzOTgifQ==</vt:lpwstr>
  </property>
</Properties>
</file>